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1" w:type="dxa"/>
        <w:jc w:val="center"/>
        <w:tblBorders>
          <w:insideV w:val="single" w:sz="4" w:space="0" w:color="auto"/>
        </w:tblBorders>
        <w:tblLayout w:type="fixed"/>
        <w:tblLook w:val="04A0" w:firstRow="1" w:lastRow="0" w:firstColumn="1" w:lastColumn="0" w:noHBand="0" w:noVBand="1"/>
      </w:tblPr>
      <w:tblGrid>
        <w:gridCol w:w="7414"/>
        <w:gridCol w:w="1887"/>
      </w:tblGrid>
      <w:tr w:rsidR="006A34DD">
        <w:trPr>
          <w:trHeight w:hRule="exact" w:val="1287"/>
          <w:jc w:val="center"/>
        </w:trPr>
        <w:tc>
          <w:tcPr>
            <w:tcW w:w="7414" w:type="dxa"/>
            <w:tcBorders>
              <w:bottom w:val="nil"/>
              <w:right w:val="nil"/>
            </w:tcBorders>
          </w:tcPr>
          <w:p w:rsidR="006A34DD" w:rsidRDefault="00420EBC">
            <w:pPr>
              <w:spacing w:line="1200" w:lineRule="exact"/>
              <w:jc w:val="distribute"/>
              <w:rPr>
                <w:color w:val="FF0000"/>
                <w:w w:val="70"/>
                <w:sz w:val="120"/>
                <w:szCs w:val="120"/>
              </w:rPr>
            </w:pPr>
            <w:r>
              <w:rPr>
                <w:noProof/>
                <w:color w:val="FFFFFF"/>
                <w:w w:val="70"/>
                <w:sz w:val="120"/>
                <w:szCs w:val="120"/>
              </w:rPr>
              <mc:AlternateContent>
                <mc:Choice Requires="wps">
                  <w:drawing>
                    <wp:anchor distT="0" distB="0" distL="114300" distR="114300" simplePos="0" relativeHeight="251658240" behindDoc="0" locked="0" layoutInCell="1" allowOverlap="1">
                      <wp:simplePos x="0" y="0"/>
                      <wp:positionH relativeFrom="page">
                        <wp:posOffset>1270</wp:posOffset>
                      </wp:positionH>
                      <wp:positionV relativeFrom="margin">
                        <wp:posOffset>-5187950</wp:posOffset>
                      </wp:positionV>
                      <wp:extent cx="5888355" cy="13335"/>
                      <wp:effectExtent l="0" t="0" r="0" b="0"/>
                      <wp:wrapNone/>
                      <wp:docPr id="1" name="直线 3"/>
                      <wp:cNvGraphicFramePr/>
                      <a:graphic xmlns:a="http://schemas.openxmlformats.org/drawingml/2006/main">
                        <a:graphicData uri="http://schemas.microsoft.com/office/word/2010/wordprocessingShape">
                          <wps:wsp>
                            <wps:cNvCnPr/>
                            <wps:spPr>
                              <a:xfrm flipV="1">
                                <a:off x="0" y="0"/>
                                <a:ext cx="5888355" cy="13335"/>
                              </a:xfrm>
                              <a:prstGeom prst="straightConnector1">
                                <a:avLst/>
                              </a:prstGeom>
                              <a:ln w="22225" cap="flat" cmpd="sng">
                                <a:solidFill>
                                  <a:srgbClr val="FF0000"/>
                                </a:solidFill>
                                <a:prstDash val="solid"/>
                                <a:round/>
                                <a:headEnd type="none" w="med" len="med"/>
                                <a:tailEnd type="none" w="med" len="med"/>
                              </a:ln>
                              <a:effectLst/>
                            </wps:spPr>
                            <wps:bodyPr/>
                          </wps:wsp>
                        </a:graphicData>
                      </a:graphic>
                    </wp:anchor>
                  </w:drawing>
                </mc:Choice>
                <mc:Fallback>
                  <w:pict>
                    <v:shapetype w14:anchorId="21F300A4" id="_x0000_t32" coordsize="21600,21600" o:spt="32" o:oned="t" path="m,l21600,21600e" filled="f">
                      <v:path arrowok="t" fillok="f" o:connecttype="none"/>
                      <o:lock v:ext="edit" shapetype="t"/>
                    </v:shapetype>
                    <v:shape id="直线 3" o:spid="_x0000_s1026" type="#_x0000_t32" style="position:absolute;left:0;text-align:left;margin-left:.1pt;margin-top:-408.5pt;width:463.65pt;height:1.05pt;flip:y;z-index:251658240;visibility:visible;mso-wrap-style:square;mso-wrap-distance-left:9pt;mso-wrap-distance-top:0;mso-wrap-distance-right:9pt;mso-wrap-distance-bottom:0;mso-position-horizontal:absolute;mso-position-horizontal-relative:page;mso-position-vertical:absolut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" strokecolor="red" strokeweight="1.75pt">
                      <w10:wrap anchorx="page" anchory="margin"/>
                    </v:shape>
                  </w:pict>
                </mc:Fallback>
              </mc:AlternateContent>
            </w:r>
            <w:r>
              <w:rPr>
                <w:rFonts w:ascii="华文中宋" w:eastAsia="华文中宋" w:hAnsi="华文中宋" w:hint="eastAsia"/>
                <w:b/>
                <w:color w:val="FF0000"/>
                <w:spacing w:val="170"/>
                <w:w w:val="70"/>
                <w:kern w:val="0"/>
                <w:sz w:val="120"/>
                <w:szCs w:val="120"/>
              </w:rPr>
              <w:t>河北省教育</w:t>
            </w:r>
            <w:r>
              <w:rPr>
                <w:rFonts w:ascii="华文中宋" w:eastAsia="华文中宋" w:hAnsi="华文中宋" w:hint="eastAsia"/>
                <w:b/>
                <w:color w:val="FF0000"/>
                <w:spacing w:val="8"/>
                <w:w w:val="70"/>
                <w:kern w:val="0"/>
                <w:sz w:val="120"/>
                <w:szCs w:val="120"/>
              </w:rPr>
              <w:t>厅</w:t>
            </w:r>
          </w:p>
        </w:tc>
        <w:tc>
          <w:tcPr>
            <w:tcW w:w="1887" w:type="dxa"/>
            <w:tcBorders>
              <w:left w:val="nil"/>
              <w:bottom w:val="nil"/>
            </w:tcBorders>
            <w:vAlign w:val="center"/>
          </w:tcPr>
          <w:p w:rsidR="006A34DD" w:rsidRDefault="006A34DD">
            <w:pPr>
              <w:jc w:val="center"/>
              <w:rPr>
                <w:rFonts w:ascii="华文中宋" w:eastAsia="华文中宋" w:hAnsi="华文中宋" w:cs="华文中宋"/>
                <w:b/>
                <w:bCs/>
                <w:color w:val="FF0000"/>
                <w:w w:val="60"/>
                <w:sz w:val="136"/>
                <w:szCs w:val="136"/>
              </w:rPr>
            </w:pPr>
          </w:p>
        </w:tc>
      </w:tr>
      <w:tr w:rsidR="006A34DD">
        <w:trPr>
          <w:trHeight w:hRule="exact" w:val="1257"/>
          <w:jc w:val="center"/>
        </w:trPr>
        <w:tc>
          <w:tcPr>
            <w:tcW w:w="7414" w:type="dxa"/>
            <w:tcBorders>
              <w:bottom w:val="nil"/>
              <w:right w:val="nil"/>
            </w:tcBorders>
          </w:tcPr>
          <w:p w:rsidR="006A34DD" w:rsidRDefault="00420EBC">
            <w:pPr>
              <w:spacing w:line="1200" w:lineRule="exact"/>
              <w:ind w:rightChars="12" w:right="38"/>
              <w:jc w:val="distribute"/>
              <w:rPr>
                <w:color w:val="FF0000"/>
                <w:w w:val="37"/>
                <w:sz w:val="120"/>
                <w:szCs w:val="120"/>
              </w:rPr>
            </w:pPr>
            <w:r>
              <w:rPr>
                <w:rFonts w:ascii="华文中宋" w:eastAsia="华文中宋" w:hAnsi="华文中宋" w:hint="eastAsia"/>
                <w:b/>
                <w:color w:val="FF0000"/>
                <w:spacing w:val="170"/>
                <w:w w:val="70"/>
                <w:kern w:val="0"/>
                <w:sz w:val="120"/>
                <w:szCs w:val="120"/>
              </w:rPr>
              <w:t>河北省</w:t>
            </w:r>
            <w:r>
              <w:rPr>
                <w:rFonts w:ascii="华文中宋" w:eastAsia="华文中宋" w:hAnsi="华文中宋" w:hint="eastAsia"/>
                <w:b/>
                <w:color w:val="FF0000"/>
                <w:spacing w:val="170"/>
                <w:w w:val="70"/>
                <w:kern w:val="0"/>
                <w:sz w:val="120"/>
                <w:szCs w:val="120"/>
              </w:rPr>
              <w:t>财政</w:t>
            </w:r>
            <w:r>
              <w:rPr>
                <w:rFonts w:ascii="华文中宋" w:eastAsia="华文中宋" w:hAnsi="华文中宋" w:hint="eastAsia"/>
                <w:b/>
                <w:color w:val="FF0000"/>
                <w:spacing w:val="8"/>
                <w:w w:val="70"/>
                <w:kern w:val="0"/>
                <w:sz w:val="120"/>
                <w:szCs w:val="120"/>
              </w:rPr>
              <w:t>厅</w:t>
            </w:r>
          </w:p>
          <w:p w:rsidR="006A34DD" w:rsidRDefault="006A34DD">
            <w:pPr>
              <w:spacing w:line="1200" w:lineRule="exact"/>
              <w:jc w:val="center"/>
              <w:rPr>
                <w:color w:val="FF0000"/>
                <w:w w:val="60"/>
                <w:sz w:val="120"/>
                <w:szCs w:val="120"/>
              </w:rPr>
            </w:pPr>
          </w:p>
        </w:tc>
        <w:tc>
          <w:tcPr>
            <w:tcW w:w="1887" w:type="dxa"/>
            <w:vMerge w:val="restart"/>
            <w:tcBorders>
              <w:top w:val="nil"/>
              <w:left w:val="nil"/>
            </w:tcBorders>
            <w:vAlign w:val="center"/>
          </w:tcPr>
          <w:p w:rsidR="006A34DD" w:rsidRDefault="00420EBC">
            <w:pPr>
              <w:spacing w:line="1400" w:lineRule="exact"/>
              <w:jc w:val="center"/>
              <w:rPr>
                <w:color w:val="FF0000"/>
                <w:w w:val="60"/>
                <w:sz w:val="136"/>
                <w:szCs w:val="136"/>
              </w:rPr>
            </w:pPr>
            <w:r>
              <w:rPr>
                <w:rFonts w:ascii="华文中宋" w:eastAsia="华文中宋" w:hAnsi="华文中宋" w:cs="华文中宋" w:hint="eastAsia"/>
                <w:b/>
                <w:bCs/>
                <w:color w:val="FF0000"/>
                <w:w w:val="60"/>
                <w:sz w:val="136"/>
                <w:szCs w:val="136"/>
              </w:rPr>
              <w:t>文件</w:t>
            </w:r>
          </w:p>
        </w:tc>
      </w:tr>
      <w:tr w:rsidR="006A34DD">
        <w:trPr>
          <w:trHeight w:hRule="exact" w:val="1272"/>
          <w:jc w:val="center"/>
        </w:trPr>
        <w:tc>
          <w:tcPr>
            <w:tcW w:w="7414" w:type="dxa"/>
            <w:tcBorders>
              <w:bottom w:val="nil"/>
              <w:right w:val="nil"/>
            </w:tcBorders>
          </w:tcPr>
          <w:p w:rsidR="006A34DD" w:rsidRDefault="00420EBC">
            <w:pPr>
              <w:spacing w:line="1200" w:lineRule="exact"/>
              <w:ind w:rightChars="12" w:right="38"/>
              <w:jc w:val="distribute"/>
              <w:rPr>
                <w:color w:val="FF0000"/>
                <w:w w:val="37"/>
                <w:sz w:val="110"/>
                <w:szCs w:val="110"/>
              </w:rPr>
            </w:pPr>
            <w:r>
              <w:rPr>
                <w:rFonts w:ascii="华文中宋" w:eastAsia="华文中宋" w:hAnsi="华文中宋" w:cs="华文中宋" w:hint="eastAsia"/>
                <w:b/>
                <w:bCs/>
                <w:color w:val="FF0000"/>
                <w:w w:val="50"/>
                <w:sz w:val="110"/>
                <w:szCs w:val="110"/>
              </w:rPr>
              <w:t>河北省人力资源社会保障厅</w:t>
            </w:r>
          </w:p>
          <w:p w:rsidR="006A34DD" w:rsidRDefault="006A34DD">
            <w:pPr>
              <w:spacing w:line="1200" w:lineRule="exact"/>
              <w:jc w:val="distribute"/>
              <w:rPr>
                <w:color w:val="FF0000"/>
                <w:w w:val="60"/>
                <w:sz w:val="120"/>
                <w:szCs w:val="120"/>
              </w:rPr>
            </w:pPr>
          </w:p>
        </w:tc>
        <w:tc>
          <w:tcPr>
            <w:tcW w:w="1887" w:type="dxa"/>
            <w:vMerge/>
            <w:tcBorders>
              <w:left w:val="nil"/>
              <w:bottom w:val="nil"/>
            </w:tcBorders>
          </w:tcPr>
          <w:p w:rsidR="006A34DD" w:rsidRDefault="006A34DD">
            <w:pPr>
              <w:spacing w:line="1400" w:lineRule="exact"/>
              <w:jc w:val="center"/>
              <w:rPr>
                <w:color w:val="FF0000"/>
                <w:w w:val="60"/>
                <w:sz w:val="136"/>
                <w:szCs w:val="136"/>
              </w:rPr>
            </w:pPr>
          </w:p>
        </w:tc>
      </w:tr>
      <w:tr w:rsidR="006A34DD">
        <w:trPr>
          <w:trHeight w:hRule="exact" w:val="1587"/>
          <w:jc w:val="center"/>
        </w:trPr>
        <w:tc>
          <w:tcPr>
            <w:tcW w:w="7414" w:type="dxa"/>
            <w:tcBorders>
              <w:bottom w:val="nil"/>
              <w:right w:val="nil"/>
            </w:tcBorders>
          </w:tcPr>
          <w:p w:rsidR="006A34DD" w:rsidRDefault="00420EBC">
            <w:pPr>
              <w:spacing w:line="1200" w:lineRule="exact"/>
              <w:jc w:val="distribute"/>
              <w:rPr>
                <w:color w:val="FF0000"/>
                <w:w w:val="40"/>
                <w:sz w:val="120"/>
                <w:szCs w:val="120"/>
              </w:rPr>
            </w:pPr>
            <w:r>
              <w:rPr>
                <w:rFonts w:ascii="华文中宋" w:eastAsia="华文中宋" w:hAnsi="华文中宋" w:cs="华文中宋" w:hint="eastAsia"/>
                <w:b/>
                <w:bCs/>
                <w:color w:val="FF0000"/>
                <w:w w:val="55"/>
                <w:sz w:val="120"/>
                <w:szCs w:val="120"/>
              </w:rPr>
              <w:t>河北省卫生健康委员会</w:t>
            </w:r>
          </w:p>
          <w:p w:rsidR="006A34DD" w:rsidRDefault="006A34DD">
            <w:pPr>
              <w:spacing w:line="1200" w:lineRule="exact"/>
              <w:rPr>
                <w:color w:val="FFFFFF"/>
                <w:sz w:val="120"/>
                <w:szCs w:val="120"/>
              </w:rPr>
            </w:pPr>
          </w:p>
        </w:tc>
        <w:tc>
          <w:tcPr>
            <w:tcW w:w="1887" w:type="dxa"/>
            <w:tcBorders>
              <w:left w:val="nil"/>
              <w:bottom w:val="nil"/>
            </w:tcBorders>
            <w:vAlign w:val="center"/>
          </w:tcPr>
          <w:p w:rsidR="006A34DD" w:rsidRDefault="006A34DD">
            <w:pPr>
              <w:jc w:val="center"/>
              <w:rPr>
                <w:rFonts w:ascii="华文中宋" w:eastAsia="华文中宋" w:hAnsi="华文中宋" w:cs="华文中宋"/>
                <w:b/>
                <w:bCs/>
                <w:color w:val="FF0000"/>
                <w:w w:val="60"/>
                <w:sz w:val="136"/>
                <w:szCs w:val="136"/>
              </w:rPr>
            </w:pPr>
          </w:p>
        </w:tc>
      </w:tr>
      <w:tr w:rsidR="006A34DD">
        <w:trPr>
          <w:trHeight w:hRule="exact" w:val="1293"/>
          <w:jc w:val="center"/>
        </w:trPr>
        <w:tc>
          <w:tcPr>
            <w:tcW w:w="9301" w:type="dxa"/>
            <w:gridSpan w:val="2"/>
            <w:vAlign w:val="bottom"/>
          </w:tcPr>
          <w:p w:rsidR="006A34DD" w:rsidRDefault="006A34DD">
            <w:pPr>
              <w:spacing w:line="240" w:lineRule="exact"/>
              <w:jc w:val="center"/>
              <w:rPr>
                <w:rFonts w:ascii="方正仿宋" w:eastAsia="方正仿宋"/>
                <w:sz w:val="30"/>
              </w:rPr>
            </w:pPr>
          </w:p>
          <w:p w:rsidR="006A34DD" w:rsidRDefault="00420EBC">
            <w:pPr>
              <w:tabs>
                <w:tab w:val="right" w:pos="3845"/>
              </w:tabs>
              <w:ind w:rightChars="114" w:right="360"/>
              <w:jc w:val="center"/>
              <w:rPr>
                <w:rFonts w:ascii="方正仿宋" w:eastAsia="楷体"/>
                <w:sz w:val="30"/>
              </w:rPr>
            </w:pPr>
            <w:r>
              <w:rPr>
                <w:rFonts w:ascii="仿宋" w:eastAsia="仿宋" w:hAnsi="仿宋" w:cs="仿宋" w:hint="eastAsia"/>
                <w:szCs w:val="32"/>
              </w:rPr>
              <w:t>冀教</w:t>
            </w:r>
            <w:r>
              <w:rPr>
                <w:rFonts w:ascii="仿宋" w:eastAsia="仿宋" w:hAnsi="仿宋" w:cs="仿宋" w:hint="eastAsia"/>
                <w:szCs w:val="32"/>
              </w:rPr>
              <w:t>财〔</w:t>
            </w:r>
            <w:r>
              <w:rPr>
                <w:rFonts w:ascii="仿宋" w:eastAsia="仿宋" w:hAnsi="仿宋" w:cs="仿宋" w:hint="eastAsia"/>
                <w:szCs w:val="32"/>
              </w:rPr>
              <w:t>20</w:t>
            </w:r>
            <w:r>
              <w:rPr>
                <w:rFonts w:ascii="仿宋" w:eastAsia="仿宋" w:hAnsi="仿宋" w:cs="仿宋" w:hint="eastAsia"/>
                <w:szCs w:val="32"/>
              </w:rPr>
              <w:t>20</w:t>
            </w:r>
            <w:r>
              <w:rPr>
                <w:rFonts w:ascii="仿宋" w:eastAsia="仿宋" w:hAnsi="仿宋" w:cs="仿宋" w:hint="eastAsia"/>
                <w:szCs w:val="32"/>
              </w:rPr>
              <w:t>〕</w:t>
            </w:r>
            <w:r>
              <w:rPr>
                <w:rFonts w:ascii="仿宋" w:eastAsia="仿宋" w:hAnsi="仿宋" w:cs="仿宋" w:hint="eastAsia"/>
                <w:szCs w:val="32"/>
              </w:rPr>
              <w:t xml:space="preserve"> </w:t>
            </w:r>
            <w:r>
              <w:rPr>
                <w:rFonts w:ascii="仿宋" w:eastAsia="仿宋" w:hAnsi="仿宋" w:cs="仿宋" w:hint="eastAsia"/>
                <w:szCs w:val="32"/>
              </w:rPr>
              <w:t>号</w:t>
            </w:r>
          </w:p>
        </w:tc>
      </w:tr>
      <w:tr w:rsidR="006A34DD">
        <w:trPr>
          <w:trHeight w:val="984"/>
          <w:jc w:val="center"/>
        </w:trPr>
        <w:tc>
          <w:tcPr>
            <w:tcW w:w="9301" w:type="dxa"/>
            <w:gridSpan w:val="2"/>
          </w:tcPr>
          <w:p w:rsidR="006A34DD" w:rsidRDefault="00420EBC">
            <w:pPr>
              <w:rPr>
                <w:color w:val="FFFFFF"/>
                <w:sz w:val="20"/>
              </w:rPr>
            </w:pPr>
            <w:r>
              <w:rPr>
                <w:noProof/>
                <w:color w:val="FFFFFF"/>
                <w:sz w:val="20"/>
              </w:rPr>
              <mc:AlternateContent>
                <mc:Choice Requires="wps">
                  <w:drawing>
                    <wp:anchor distT="0" distB="0" distL="114300" distR="114300" simplePos="0" relativeHeight="251660288" behindDoc="0" locked="0" layoutInCell="1" allowOverlap="1">
                      <wp:simplePos x="0" y="0"/>
                      <wp:positionH relativeFrom="page">
                        <wp:posOffset>40005</wp:posOffset>
                      </wp:positionH>
                      <wp:positionV relativeFrom="margin">
                        <wp:posOffset>30480</wp:posOffset>
                      </wp:positionV>
                      <wp:extent cx="5853430" cy="8890"/>
                      <wp:effectExtent l="0" t="0" r="0" b="0"/>
                      <wp:wrapNone/>
                      <wp:docPr id="2" name="直线 3"/>
                      <wp:cNvGraphicFramePr/>
                      <a:graphic xmlns:a="http://schemas.openxmlformats.org/drawingml/2006/main">
                        <a:graphicData uri="http://schemas.microsoft.com/office/word/2010/wordprocessingShape">
                          <wps:wsp>
                            <wps:cNvCnPr/>
                            <wps:spPr>
                              <a:xfrm flipV="1">
                                <a:off x="0" y="0"/>
                                <a:ext cx="5853430" cy="8890"/>
                              </a:xfrm>
                              <a:prstGeom prst="line">
                                <a:avLst/>
                              </a:prstGeom>
                              <a:ln w="22225" cap="flat" cmpd="sng">
                                <a:solidFill>
                                  <a:srgbClr val="FF0000"/>
                                </a:solidFill>
                                <a:prstDash val="solid"/>
                                <a:round/>
                                <a:headEnd type="none" w="med" len="med"/>
                                <a:tailEnd type="none" w="med" len="med"/>
                              </a:ln>
                              <a:effectLst/>
                            </wps:spPr>
                            <wps:bodyPr/>
                          </wps:wsp>
                        </a:graphicData>
                      </a:graphic>
                    </wp:anchor>
                  </w:drawing>
                </mc:Choice>
                <mc:Fallback>
                  <w:pict>
                    <v:line w14:anchorId="4608E5E4" id="直线 3" o:spid="_x0000_s1026" style="position:absolute;left:0;text-align:left;flip:y;z-index:251660288;visibility:visible;mso-wrap-style:square;mso-wrap-distance-left:9pt;mso-wrap-distance-top:0;mso-wrap-distance-right:9pt;mso-wrap-distance-bottom:0;mso-position-horizontal:absolute;mso-position-horizontal-relative:page;mso-position-vertical:absolute;mso-position-vertical-relative:margin" from="3.15pt,2.4pt" to="464.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" strokecolor="red" strokeweight="1.75pt">
                      <w10:wrap anchorx="page" anchory="margin"/>
                    </v:line>
                  </w:pict>
                </mc:Fallback>
              </mc:AlternateContent>
            </w:r>
          </w:p>
        </w:tc>
      </w:tr>
    </w:tbl>
    <w:p w:rsidR="006A34DD" w:rsidRDefault="00420EBC">
      <w:pPr>
        <w:spacing w:line="660" w:lineRule="exact"/>
        <w:jc w:val="center"/>
        <w:rPr>
          <w:rFonts w:ascii="方正小标宋_GBK" w:eastAsia="方正小标宋_GBK" w:hAnsi="方正小标宋_GBK" w:cs="方正小标宋_GBK"/>
          <w:bCs/>
          <w:sz w:val="44"/>
          <w:szCs w:val="44"/>
        </w:rPr>
      </w:pPr>
      <w:bookmarkStart w:id="0" w:name="_GoBack"/>
      <w:r>
        <w:rPr>
          <w:rFonts w:ascii="方正小标宋_GBK" w:eastAsia="方正小标宋_GBK" w:hAnsi="方正小标宋_GBK" w:cs="方正小标宋_GBK" w:hint="eastAsia"/>
          <w:bCs/>
          <w:sz w:val="44"/>
          <w:szCs w:val="44"/>
        </w:rPr>
        <w:t>河北省教育厅</w:t>
      </w:r>
      <w:r>
        <w:rPr>
          <w:rFonts w:ascii="方正小标宋_GBK" w:eastAsia="方正小标宋_GBK" w:hAnsi="方正小标宋_GBK" w:cs="方正小标宋_GBK" w:hint="eastAsia"/>
          <w:bCs/>
          <w:sz w:val="44"/>
          <w:szCs w:val="44"/>
        </w:rPr>
        <w:t>等四部门</w:t>
      </w:r>
    </w:p>
    <w:p w:rsidR="006A34DD" w:rsidRDefault="00420EBC">
      <w:pPr>
        <w:spacing w:line="6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关于做好</w:t>
      </w:r>
      <w:r>
        <w:rPr>
          <w:rFonts w:ascii="方正小标宋_GBK" w:eastAsia="方正小标宋_GBK" w:hAnsi="方正小标宋_GBK" w:cs="方正小标宋_GBK" w:hint="eastAsia"/>
          <w:bCs/>
          <w:sz w:val="44"/>
          <w:szCs w:val="44"/>
        </w:rPr>
        <w:t>2020</w:t>
      </w:r>
      <w:r>
        <w:rPr>
          <w:rFonts w:ascii="方正小标宋_GBK" w:eastAsia="方正小标宋_GBK" w:hAnsi="方正小标宋_GBK" w:cs="方正小标宋_GBK" w:hint="eastAsia"/>
          <w:bCs/>
          <w:sz w:val="44"/>
          <w:szCs w:val="44"/>
        </w:rPr>
        <w:t>年度高等学校家庭经济困难</w:t>
      </w:r>
    </w:p>
    <w:p w:rsidR="006A34DD" w:rsidRDefault="00420EBC">
      <w:pPr>
        <w:spacing w:line="6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毕业生学费和国家助学贷款代偿申报</w:t>
      </w:r>
    </w:p>
    <w:p w:rsidR="006A34DD" w:rsidRDefault="00420EBC">
      <w:pPr>
        <w:spacing w:line="6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工作的通知</w:t>
      </w:r>
    </w:p>
    <w:bookmarkEnd w:id="0"/>
    <w:p w:rsidR="006A34DD" w:rsidRDefault="00420EBC">
      <w:pPr>
        <w:spacing w:line="570" w:lineRule="exact"/>
        <w:rPr>
          <w:rFonts w:ascii="仿宋" w:eastAsia="仿宋" w:hAnsi="仿宋" w:cs="仿宋"/>
          <w:szCs w:val="32"/>
        </w:rPr>
      </w:pPr>
      <w:r>
        <w:rPr>
          <w:rFonts w:ascii="仿宋" w:eastAsia="仿宋" w:hAnsi="仿宋" w:cs="仿宋" w:hint="eastAsia"/>
          <w:szCs w:val="32"/>
        </w:rPr>
        <w:t xml:space="preserve"> </w:t>
      </w:r>
    </w:p>
    <w:p w:rsidR="006A34DD" w:rsidRDefault="00420EBC">
      <w:pPr>
        <w:spacing w:line="590" w:lineRule="exact"/>
        <w:rPr>
          <w:rFonts w:ascii="仿宋" w:eastAsia="仿宋" w:hAnsi="仿宋" w:cs="仿宋"/>
          <w:szCs w:val="32"/>
        </w:rPr>
      </w:pPr>
      <w:r>
        <w:rPr>
          <w:rFonts w:ascii="仿宋" w:eastAsia="仿宋" w:hAnsi="仿宋" w:cs="仿宋" w:hint="eastAsia"/>
          <w:szCs w:val="32"/>
        </w:rPr>
        <w:t>有关市教育局、财政局、人力资源社会保障局、卫生健康委，国家扶贫开发工作重点县和集中连片特困县教育局、财政局、人力资源社会保障局、卫生健康局，</w:t>
      </w:r>
      <w:r>
        <w:rPr>
          <w:rFonts w:ascii="仿宋" w:eastAsia="仿宋" w:hAnsi="仿宋" w:cs="仿宋" w:hint="eastAsia"/>
          <w:szCs w:val="32"/>
        </w:rPr>
        <w:t>省直各单位，</w:t>
      </w:r>
      <w:r>
        <w:rPr>
          <w:rFonts w:ascii="仿宋" w:eastAsia="仿宋" w:hAnsi="仿宋" w:cs="仿宋" w:hint="eastAsia"/>
          <w:szCs w:val="32"/>
        </w:rPr>
        <w:t>各省属高等学校：</w:t>
      </w:r>
    </w:p>
    <w:p w:rsidR="006A34DD" w:rsidRDefault="00420EBC">
      <w:pPr>
        <w:spacing w:line="590" w:lineRule="exact"/>
        <w:rPr>
          <w:rFonts w:ascii="仿宋" w:eastAsia="仿宋" w:hAnsi="仿宋" w:cs="仿宋"/>
          <w:szCs w:val="32"/>
        </w:rPr>
      </w:pPr>
      <w:r>
        <w:rPr>
          <w:rFonts w:ascii="仿宋" w:eastAsia="仿宋" w:hAnsi="仿宋" w:cs="仿宋" w:hint="eastAsia"/>
          <w:szCs w:val="32"/>
        </w:rPr>
        <w:lastRenderedPageBreak/>
        <w:t xml:space="preserve">    </w:t>
      </w:r>
      <w:r>
        <w:rPr>
          <w:rFonts w:ascii="仿宋" w:eastAsia="仿宋" w:hAnsi="仿宋" w:cs="仿宋" w:hint="eastAsia"/>
          <w:szCs w:val="32"/>
        </w:rPr>
        <w:t>按照《河北省高等学校家庭经济困难毕业生学费和国家助学贷款代偿暂行办法》（冀财教〔</w:t>
      </w:r>
      <w:r>
        <w:rPr>
          <w:rFonts w:ascii="仿宋" w:eastAsia="仿宋" w:hAnsi="仿宋" w:cs="仿宋" w:hint="eastAsia"/>
          <w:szCs w:val="32"/>
        </w:rPr>
        <w:t>2016</w:t>
      </w:r>
      <w:r>
        <w:rPr>
          <w:rFonts w:ascii="仿宋" w:eastAsia="仿宋" w:hAnsi="仿宋" w:cs="仿宋" w:hint="eastAsia"/>
          <w:szCs w:val="32"/>
        </w:rPr>
        <w:t>〕</w:t>
      </w:r>
      <w:r>
        <w:rPr>
          <w:rFonts w:ascii="仿宋" w:eastAsia="仿宋" w:hAnsi="仿宋" w:cs="仿宋" w:hint="eastAsia"/>
          <w:szCs w:val="32"/>
        </w:rPr>
        <w:t>59</w:t>
      </w:r>
      <w:r>
        <w:rPr>
          <w:rFonts w:ascii="仿宋" w:eastAsia="仿宋" w:hAnsi="仿宋" w:cs="仿宋" w:hint="eastAsia"/>
          <w:szCs w:val="32"/>
        </w:rPr>
        <w:t>号）（以下简称《办法》），截止</w:t>
      </w:r>
      <w:r>
        <w:rPr>
          <w:rFonts w:ascii="仿宋" w:eastAsia="仿宋" w:hAnsi="仿宋" w:cs="仿宋" w:hint="eastAsia"/>
          <w:szCs w:val="32"/>
        </w:rPr>
        <w:t>2020</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日，符合《办法》规定条件的</w:t>
      </w:r>
      <w:r>
        <w:rPr>
          <w:rFonts w:ascii="仿宋" w:eastAsia="仿宋" w:hAnsi="仿宋" w:cs="仿宋" w:hint="eastAsia"/>
          <w:szCs w:val="32"/>
        </w:rPr>
        <w:t>2017</w:t>
      </w:r>
      <w:r>
        <w:rPr>
          <w:rFonts w:ascii="仿宋" w:eastAsia="仿宋" w:hAnsi="仿宋" w:cs="仿宋" w:hint="eastAsia"/>
          <w:szCs w:val="32"/>
        </w:rPr>
        <w:t>年省属高校应届毕业生可进行申报。现就申报工作通知如下：</w:t>
      </w:r>
    </w:p>
    <w:p w:rsidR="006A34DD" w:rsidRDefault="00420EBC">
      <w:pPr>
        <w:spacing w:line="590" w:lineRule="exact"/>
        <w:ind w:firstLineChars="200" w:firstLine="632"/>
        <w:rPr>
          <w:rFonts w:ascii="黑体" w:eastAsia="黑体" w:hAnsi="黑体" w:cs="黑体"/>
          <w:szCs w:val="32"/>
        </w:rPr>
      </w:pPr>
      <w:r>
        <w:rPr>
          <w:rFonts w:ascii="黑体" w:eastAsia="黑体" w:hAnsi="黑体" w:cs="黑体" w:hint="eastAsia"/>
          <w:szCs w:val="32"/>
        </w:rPr>
        <w:t>一、申报条件</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《办法》规定，自</w:t>
      </w:r>
      <w:r>
        <w:rPr>
          <w:rFonts w:ascii="仿宋" w:eastAsia="仿宋" w:hAnsi="仿宋" w:cs="仿宋" w:hint="eastAsia"/>
          <w:szCs w:val="32"/>
        </w:rPr>
        <w:t>2016</w:t>
      </w:r>
      <w:r>
        <w:rPr>
          <w:rFonts w:ascii="仿宋" w:eastAsia="仿宋" w:hAnsi="仿宋" w:cs="仿宋" w:hint="eastAsia"/>
          <w:szCs w:val="32"/>
        </w:rPr>
        <w:t>年起，享受城乡低保政策家庭的省属高校应届毕业生，自愿到我省艰苦边远地区基层单位就业、服务期在</w:t>
      </w:r>
      <w:r>
        <w:rPr>
          <w:rFonts w:ascii="仿宋" w:eastAsia="仿宋" w:hAnsi="仿宋" w:cs="仿宋" w:hint="eastAsia"/>
          <w:szCs w:val="32"/>
        </w:rPr>
        <w:t>3</w:t>
      </w:r>
      <w:r>
        <w:rPr>
          <w:rFonts w:ascii="仿宋" w:eastAsia="仿宋" w:hAnsi="仿宋" w:cs="仿宋" w:hint="eastAsia"/>
          <w:szCs w:val="32"/>
        </w:rPr>
        <w:t>年（含</w:t>
      </w:r>
      <w:r>
        <w:rPr>
          <w:rFonts w:ascii="仿宋" w:eastAsia="仿宋" w:hAnsi="仿宋" w:cs="仿宋" w:hint="eastAsia"/>
          <w:szCs w:val="32"/>
        </w:rPr>
        <w:t>36</w:t>
      </w:r>
      <w:r>
        <w:rPr>
          <w:rFonts w:ascii="仿宋" w:eastAsia="仿宋" w:hAnsi="仿宋" w:cs="仿宋" w:hint="eastAsia"/>
          <w:szCs w:val="32"/>
        </w:rPr>
        <w:t>个月）及以上、服务期内考评合格的，对其在校学习期间的学费或国家助学贷款本金实行代偿。在校学习期间已享受国家免除或代偿全部学费政策的，不在本</w:t>
      </w:r>
      <w:r>
        <w:rPr>
          <w:rFonts w:ascii="仿宋" w:eastAsia="仿宋" w:hAnsi="仿宋" w:cs="仿宋" w:hint="eastAsia"/>
          <w:szCs w:val="32"/>
        </w:rPr>
        <w:t>《办法》规定范围内。艰苦边远地区是指我省国家扶贫开发工作重点县和</w:t>
      </w:r>
      <w:r>
        <w:rPr>
          <w:rFonts w:ascii="仿宋" w:eastAsia="仿宋" w:hAnsi="仿宋" w:cs="仿宋" w:hint="eastAsia"/>
          <w:szCs w:val="32"/>
        </w:rPr>
        <w:t>22</w:t>
      </w:r>
      <w:r>
        <w:rPr>
          <w:rFonts w:ascii="仿宋" w:eastAsia="仿宋" w:hAnsi="仿宋" w:cs="仿宋" w:hint="eastAsia"/>
          <w:szCs w:val="32"/>
        </w:rPr>
        <w:t>个集中连片特殊困难县。截止</w:t>
      </w:r>
      <w:r>
        <w:rPr>
          <w:rFonts w:ascii="仿宋" w:eastAsia="仿宋" w:hAnsi="仿宋" w:cs="仿宋" w:hint="eastAsia"/>
          <w:szCs w:val="32"/>
        </w:rPr>
        <w:t>2020</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日，符合《办法》规定条件的</w:t>
      </w:r>
      <w:r>
        <w:rPr>
          <w:rFonts w:ascii="仿宋" w:eastAsia="仿宋" w:hAnsi="仿宋" w:cs="仿宋" w:hint="eastAsia"/>
          <w:szCs w:val="32"/>
        </w:rPr>
        <w:t>2017</w:t>
      </w:r>
      <w:r>
        <w:rPr>
          <w:rFonts w:ascii="仿宋" w:eastAsia="仿宋" w:hAnsi="仿宋" w:cs="仿宋" w:hint="eastAsia"/>
          <w:szCs w:val="32"/>
        </w:rPr>
        <w:t>年省属高校应届毕业生可进行申报。符合规定的</w:t>
      </w:r>
      <w:r>
        <w:rPr>
          <w:rFonts w:ascii="仿宋" w:eastAsia="仿宋" w:hAnsi="仿宋" w:cs="仿宋" w:hint="eastAsia"/>
          <w:szCs w:val="32"/>
        </w:rPr>
        <w:t>2016</w:t>
      </w:r>
      <w:r>
        <w:rPr>
          <w:rFonts w:ascii="仿宋" w:eastAsia="仿宋" w:hAnsi="仿宋" w:cs="仿宋" w:hint="eastAsia"/>
          <w:szCs w:val="32"/>
        </w:rPr>
        <w:t>年省属高校应届毕业生未申报的</w:t>
      </w:r>
      <w:r>
        <w:rPr>
          <w:rFonts w:ascii="仿宋" w:eastAsia="仿宋" w:hAnsi="仿宋" w:cs="仿宋" w:hint="eastAsia"/>
          <w:szCs w:val="32"/>
        </w:rPr>
        <w:t>，</w:t>
      </w:r>
      <w:r>
        <w:rPr>
          <w:rFonts w:ascii="仿宋" w:eastAsia="仿宋" w:hAnsi="仿宋" w:cs="仿宋" w:hint="eastAsia"/>
          <w:szCs w:val="32"/>
        </w:rPr>
        <w:t>此次可以补报。</w:t>
      </w:r>
    </w:p>
    <w:p w:rsidR="006A34DD" w:rsidRDefault="00420EBC">
      <w:pPr>
        <w:spacing w:line="590" w:lineRule="exact"/>
        <w:ind w:firstLineChars="200" w:firstLine="632"/>
        <w:rPr>
          <w:rFonts w:ascii="黑体" w:eastAsia="黑体" w:hAnsi="黑体" w:cs="黑体"/>
          <w:szCs w:val="32"/>
        </w:rPr>
      </w:pPr>
      <w:r>
        <w:rPr>
          <w:rFonts w:ascii="黑体" w:eastAsia="黑体" w:hAnsi="黑体" w:cs="黑体" w:hint="eastAsia"/>
          <w:szCs w:val="32"/>
        </w:rPr>
        <w:t>二、工作要求</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（一）各级行政部门要高度重视到艰苦边远地区基层就业的家庭经济困难毕业生的学费和助学贷款代偿工作，在本系统内加大宣传力度，积极组织符合条件的毕业生进行申报，确保政策落实到位。</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（二）各级行政部门对在本系统内就业的申请学费代偿毕业生就业信息的真实性负责，并按《办法》要求审核毕业生代偿资</w:t>
      </w:r>
      <w:r>
        <w:rPr>
          <w:rFonts w:ascii="仿宋" w:eastAsia="仿宋" w:hAnsi="仿宋" w:cs="仿宋" w:hint="eastAsia"/>
          <w:szCs w:val="32"/>
        </w:rPr>
        <w:lastRenderedPageBreak/>
        <w:t>格，公示审核结果，汇总后加盖公章报同级教育部门。</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（三）有关高校要严格审核学生毕业情况、在校期间实际缴纳的学费、获得的国家助学贷款金额、是否享受过国家免除或补偿学费政策等信息，对学生在校信息真实性负责。</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（四）申请学生须在申请表内对申请信息的真实性进行书面承诺，如有虚假，应承担相应责任。</w:t>
      </w:r>
    </w:p>
    <w:p w:rsidR="006A34DD" w:rsidRDefault="00420EBC">
      <w:pPr>
        <w:spacing w:line="590" w:lineRule="exact"/>
        <w:ind w:firstLineChars="200" w:firstLine="632"/>
        <w:rPr>
          <w:rFonts w:ascii="黑体" w:eastAsia="黑体" w:hAnsi="黑体" w:cs="黑体"/>
          <w:szCs w:val="32"/>
        </w:rPr>
      </w:pPr>
      <w:r>
        <w:rPr>
          <w:rFonts w:ascii="黑体" w:eastAsia="黑体" w:hAnsi="黑体" w:cs="黑体" w:hint="eastAsia"/>
          <w:szCs w:val="32"/>
        </w:rPr>
        <w:t>三、上报程序</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（一）申请学生填写《河北省高等学校家庭经济困难毕业生学费和国家助学贷款代偿申请表》（对《办法》中表格</w:t>
      </w:r>
      <w:r>
        <w:rPr>
          <w:rFonts w:ascii="仿宋" w:eastAsia="仿宋" w:hAnsi="仿宋" w:cs="仿宋" w:hint="eastAsia"/>
          <w:szCs w:val="32"/>
        </w:rPr>
        <w:t>有关内容进行了修订，见附件</w:t>
      </w:r>
      <w:r>
        <w:rPr>
          <w:rFonts w:ascii="仿宋" w:eastAsia="仿宋" w:hAnsi="仿宋" w:cs="仿宋" w:hint="eastAsia"/>
          <w:szCs w:val="32"/>
        </w:rPr>
        <w:t>1</w:t>
      </w:r>
      <w:r>
        <w:rPr>
          <w:rFonts w:ascii="仿宋" w:eastAsia="仿宋" w:hAnsi="仿宋" w:cs="仿宋" w:hint="eastAsia"/>
          <w:szCs w:val="32"/>
        </w:rPr>
        <w:t>；一式两份），按要求办理相关手续，将《申请表》和相关材料提交工作单位主管部门审核。</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（二）县级教育行政部门汇总各部门毕业生代偿名单，会同县级财政部门将审核通过的毕业生信息上报各设区市教育局、财政局。</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（三）各市教育、财政部门汇总形成本市《河北省高等学校家庭经济困难毕业生学费和国家助学贷款代偿申请汇总表》（见附件</w:t>
      </w:r>
      <w:r>
        <w:rPr>
          <w:rFonts w:ascii="仿宋" w:eastAsia="仿宋" w:hAnsi="仿宋" w:cs="仿宋" w:hint="eastAsia"/>
          <w:szCs w:val="32"/>
        </w:rPr>
        <w:t>2</w:t>
      </w:r>
      <w:r>
        <w:rPr>
          <w:rFonts w:ascii="仿宋" w:eastAsia="仿宋" w:hAnsi="仿宋" w:cs="仿宋" w:hint="eastAsia"/>
          <w:szCs w:val="32"/>
        </w:rPr>
        <w:t>），于</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30</w:t>
      </w:r>
      <w:r>
        <w:rPr>
          <w:rFonts w:ascii="仿宋" w:eastAsia="仿宋" w:hAnsi="仿宋" w:cs="仿宋" w:hint="eastAsia"/>
          <w:szCs w:val="32"/>
        </w:rPr>
        <w:t>日前以正式公文形式通过“冀教网盘”报送省教育厅，同时报送纸质材料。</w:t>
      </w:r>
    </w:p>
    <w:p w:rsidR="006A34DD" w:rsidRDefault="006A34DD">
      <w:pPr>
        <w:spacing w:line="590" w:lineRule="exact"/>
        <w:ind w:firstLineChars="200" w:firstLine="632"/>
        <w:rPr>
          <w:rFonts w:ascii="仿宋" w:eastAsia="仿宋" w:hAnsi="仿宋" w:cs="仿宋"/>
          <w:szCs w:val="32"/>
        </w:rPr>
      </w:pP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附件：</w:t>
      </w:r>
      <w:r>
        <w:rPr>
          <w:rFonts w:ascii="仿宋" w:eastAsia="仿宋" w:hAnsi="仿宋" w:cs="仿宋" w:hint="eastAsia"/>
          <w:szCs w:val="32"/>
        </w:rPr>
        <w:t>1.</w:t>
      </w:r>
      <w:r>
        <w:rPr>
          <w:rFonts w:ascii="仿宋" w:eastAsia="仿宋" w:hAnsi="仿宋" w:cs="仿宋" w:hint="eastAsia"/>
          <w:szCs w:val="32"/>
        </w:rPr>
        <w:t>河北省高等学校家庭经济困难毕业生学费和国家</w:t>
      </w:r>
      <w:r>
        <w:rPr>
          <w:rFonts w:ascii="仿宋" w:eastAsia="仿宋" w:hAnsi="仿宋" w:cs="仿宋" w:hint="eastAsia"/>
          <w:szCs w:val="32"/>
        </w:rPr>
        <w:t>助</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 xml:space="preserve">        </w:t>
      </w:r>
      <w:r>
        <w:rPr>
          <w:rFonts w:ascii="仿宋" w:eastAsia="仿宋" w:hAnsi="仿宋" w:cs="仿宋" w:hint="eastAsia"/>
          <w:szCs w:val="32"/>
        </w:rPr>
        <w:t>学贷款代偿申请表</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lastRenderedPageBreak/>
        <w:t xml:space="preserve">      </w:t>
      </w:r>
      <w:r>
        <w:rPr>
          <w:rFonts w:ascii="仿宋" w:eastAsia="仿宋" w:hAnsi="仿宋" w:cs="仿宋" w:hint="eastAsia"/>
          <w:szCs w:val="32"/>
        </w:rPr>
        <w:t>2.</w:t>
      </w:r>
      <w:r>
        <w:rPr>
          <w:rFonts w:ascii="仿宋" w:eastAsia="仿宋" w:hAnsi="仿宋" w:cs="仿宋" w:hint="eastAsia"/>
          <w:szCs w:val="32"/>
        </w:rPr>
        <w:t>河北省高等学校家庭经济困难毕业生学费和国家</w:t>
      </w:r>
      <w:r>
        <w:rPr>
          <w:rFonts w:ascii="仿宋" w:eastAsia="仿宋" w:hAnsi="仿宋" w:cs="仿宋" w:hint="eastAsia"/>
          <w:szCs w:val="32"/>
        </w:rPr>
        <w:t>助</w:t>
      </w:r>
    </w:p>
    <w:p w:rsidR="006A34DD" w:rsidRDefault="00420EBC">
      <w:pPr>
        <w:spacing w:line="590" w:lineRule="exact"/>
        <w:ind w:firstLineChars="200" w:firstLine="632"/>
        <w:rPr>
          <w:rFonts w:ascii="仿宋" w:eastAsia="仿宋" w:hAnsi="仿宋" w:cs="仿宋"/>
          <w:szCs w:val="32"/>
        </w:rPr>
      </w:pPr>
      <w:r>
        <w:rPr>
          <w:rFonts w:ascii="仿宋" w:eastAsia="仿宋" w:hAnsi="仿宋" w:cs="仿宋" w:hint="eastAsia"/>
          <w:szCs w:val="32"/>
        </w:rPr>
        <w:t xml:space="preserve">        </w:t>
      </w:r>
      <w:r>
        <w:rPr>
          <w:rFonts w:ascii="仿宋" w:eastAsia="仿宋" w:hAnsi="仿宋" w:cs="仿宋" w:hint="eastAsia"/>
          <w:szCs w:val="32"/>
        </w:rPr>
        <w:t>学贷款代偿申请汇总表</w:t>
      </w:r>
    </w:p>
    <w:p w:rsidR="006A34DD" w:rsidRDefault="006A34DD">
      <w:pPr>
        <w:spacing w:line="570" w:lineRule="exact"/>
        <w:rPr>
          <w:rFonts w:ascii="仿宋" w:eastAsia="仿宋" w:hAnsi="仿宋" w:cs="仿宋"/>
          <w:szCs w:val="32"/>
        </w:rPr>
      </w:pPr>
    </w:p>
    <w:p w:rsidR="006A34DD" w:rsidRDefault="006A34DD">
      <w:pPr>
        <w:spacing w:line="570" w:lineRule="exact"/>
        <w:rPr>
          <w:rFonts w:ascii="仿宋" w:eastAsia="仿宋" w:hAnsi="仿宋" w:cs="仿宋"/>
          <w:szCs w:val="32"/>
        </w:rPr>
      </w:pPr>
    </w:p>
    <w:p w:rsidR="006A34DD" w:rsidRDefault="006A34DD">
      <w:pPr>
        <w:spacing w:line="570" w:lineRule="exact"/>
        <w:rPr>
          <w:rFonts w:ascii="仿宋" w:eastAsia="仿宋" w:hAnsi="仿宋" w:cs="仿宋"/>
          <w:szCs w:val="32"/>
        </w:rPr>
      </w:pPr>
    </w:p>
    <w:p w:rsidR="006A34DD" w:rsidRDefault="00420EBC">
      <w:pPr>
        <w:spacing w:line="570" w:lineRule="exact"/>
        <w:jc w:val="center"/>
        <w:rPr>
          <w:rFonts w:ascii="仿宋" w:eastAsia="仿宋" w:hAnsi="仿宋"/>
          <w:szCs w:val="32"/>
        </w:rPr>
      </w:pPr>
      <w:r>
        <w:rPr>
          <w:rFonts w:ascii="仿宋" w:eastAsia="仿宋" w:hAnsi="仿宋" w:hint="eastAsia"/>
          <w:szCs w:val="32"/>
        </w:rPr>
        <w:t xml:space="preserve"> </w:t>
      </w:r>
      <w:r>
        <w:rPr>
          <w:rFonts w:ascii="仿宋" w:eastAsia="仿宋" w:hAnsi="仿宋" w:hint="eastAsia"/>
          <w:szCs w:val="32"/>
        </w:rPr>
        <w:t>河北省教育厅</w:t>
      </w:r>
      <w:r>
        <w:rPr>
          <w:rFonts w:ascii="仿宋" w:eastAsia="仿宋" w:hAnsi="仿宋" w:hint="eastAsia"/>
          <w:szCs w:val="32"/>
        </w:rPr>
        <w:t xml:space="preserve">                </w:t>
      </w:r>
      <w:r>
        <w:rPr>
          <w:rFonts w:ascii="仿宋" w:eastAsia="仿宋" w:hAnsi="仿宋" w:hint="eastAsia"/>
          <w:szCs w:val="32"/>
        </w:rPr>
        <w:t>河北省财政厅</w:t>
      </w:r>
    </w:p>
    <w:p w:rsidR="006A34DD" w:rsidRDefault="006A34DD">
      <w:pPr>
        <w:spacing w:line="570" w:lineRule="exact"/>
        <w:rPr>
          <w:rFonts w:ascii="仿宋" w:eastAsia="仿宋" w:hAnsi="仿宋"/>
          <w:szCs w:val="32"/>
        </w:rPr>
      </w:pPr>
    </w:p>
    <w:p w:rsidR="006A34DD" w:rsidRDefault="00420EBC">
      <w:pPr>
        <w:spacing w:line="570" w:lineRule="exact"/>
        <w:rPr>
          <w:rFonts w:ascii="仿宋" w:eastAsia="仿宋" w:hAnsi="仿宋"/>
          <w:szCs w:val="32"/>
        </w:rPr>
      </w:pPr>
      <w:r>
        <w:rPr>
          <w:rFonts w:ascii="仿宋" w:eastAsia="仿宋" w:hAnsi="仿宋" w:hint="eastAsia"/>
          <w:szCs w:val="32"/>
        </w:rPr>
        <w:t xml:space="preserve">   </w:t>
      </w:r>
      <w:r>
        <w:rPr>
          <w:rFonts w:ascii="仿宋" w:eastAsia="仿宋" w:hAnsi="仿宋" w:hint="eastAsia"/>
          <w:szCs w:val="32"/>
        </w:rPr>
        <w:t>河北省人力资源社会保障厅</w:t>
      </w:r>
      <w:r>
        <w:rPr>
          <w:rFonts w:ascii="仿宋" w:eastAsia="仿宋" w:hAnsi="仿宋" w:hint="eastAsia"/>
          <w:szCs w:val="32"/>
        </w:rPr>
        <w:t xml:space="preserve">      </w:t>
      </w:r>
      <w:r>
        <w:rPr>
          <w:rFonts w:ascii="仿宋" w:eastAsia="仿宋" w:hAnsi="仿宋" w:hint="eastAsia"/>
          <w:szCs w:val="32"/>
        </w:rPr>
        <w:t>河北省卫生健康委员会</w:t>
      </w:r>
    </w:p>
    <w:p w:rsidR="006A34DD" w:rsidRDefault="00420EBC">
      <w:pPr>
        <w:spacing w:line="570" w:lineRule="exact"/>
        <w:ind w:firstLineChars="1650" w:firstLine="5212"/>
        <w:rPr>
          <w:rFonts w:ascii="仿宋" w:eastAsia="仿宋" w:hAnsi="仿宋"/>
          <w:szCs w:val="32"/>
        </w:rPr>
      </w:pPr>
      <w:r>
        <w:rPr>
          <w:rFonts w:ascii="仿宋" w:eastAsia="仿宋" w:hAnsi="仿宋" w:hint="eastAsia"/>
          <w:szCs w:val="32"/>
        </w:rPr>
        <w:t xml:space="preserve">    2020</w:t>
      </w:r>
      <w:r>
        <w:rPr>
          <w:rFonts w:ascii="仿宋" w:eastAsia="仿宋" w:hAnsi="仿宋" w:hint="eastAsia"/>
          <w:szCs w:val="32"/>
        </w:rPr>
        <w:t>年</w:t>
      </w:r>
      <w:r>
        <w:rPr>
          <w:rFonts w:ascii="仿宋" w:eastAsia="仿宋" w:hAnsi="仿宋" w:hint="eastAsia"/>
          <w:szCs w:val="32"/>
        </w:rPr>
        <w:t>1</w:t>
      </w:r>
      <w:r>
        <w:rPr>
          <w:rFonts w:ascii="仿宋" w:eastAsia="仿宋" w:hAnsi="仿宋" w:hint="eastAsia"/>
          <w:szCs w:val="32"/>
        </w:rPr>
        <w:t>1</w:t>
      </w:r>
      <w:r>
        <w:rPr>
          <w:rFonts w:ascii="仿宋" w:eastAsia="仿宋" w:hAnsi="仿宋" w:hint="eastAsia"/>
          <w:szCs w:val="32"/>
        </w:rPr>
        <w:t>月</w:t>
      </w:r>
      <w:r>
        <w:rPr>
          <w:rFonts w:ascii="仿宋" w:eastAsia="仿宋" w:hAnsi="仿宋" w:hint="eastAsia"/>
          <w:szCs w:val="32"/>
        </w:rPr>
        <w:t xml:space="preserve"> </w:t>
      </w:r>
      <w:r>
        <w:rPr>
          <w:rFonts w:ascii="仿宋" w:eastAsia="仿宋" w:hAnsi="仿宋" w:hint="eastAsia"/>
          <w:szCs w:val="32"/>
        </w:rPr>
        <w:t>日</w:t>
      </w: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p w:rsidR="006A34DD" w:rsidRDefault="006A34DD">
      <w:pPr>
        <w:spacing w:line="570" w:lineRule="exact"/>
        <w:ind w:firstLineChars="1650" w:firstLine="5212"/>
        <w:rPr>
          <w:rFonts w:ascii="仿宋" w:eastAsia="仿宋" w:hAnsi="仿宋"/>
          <w:szCs w:val="32"/>
        </w:rPr>
      </w:pPr>
    </w:p>
    <w:tbl>
      <w:tblPr>
        <w:tblStyle w:val="a8"/>
        <w:tblW w:w="9071" w:type="dxa"/>
        <w:tblLayout w:type="fixed"/>
        <w:tblLook w:val="04A0" w:firstRow="1" w:lastRow="0" w:firstColumn="1" w:lastColumn="0" w:noHBand="0" w:noVBand="1"/>
      </w:tblPr>
      <w:tblGrid>
        <w:gridCol w:w="9071"/>
      </w:tblGrid>
      <w:tr w:rsidR="006A34DD">
        <w:trPr>
          <w:trHeight w:val="605"/>
        </w:trPr>
        <w:tc>
          <w:tcPr>
            <w:tcW w:w="9071" w:type="dxa"/>
            <w:tcBorders>
              <w:top w:val="single" w:sz="6" w:space="0" w:color="auto"/>
              <w:left w:val="nil"/>
              <w:bottom w:val="single" w:sz="4" w:space="0" w:color="auto"/>
              <w:right w:val="nil"/>
            </w:tcBorders>
            <w:vAlign w:val="center"/>
          </w:tcPr>
          <w:p w:rsidR="006A34DD" w:rsidRDefault="00420EBC">
            <w:pPr>
              <w:spacing w:line="500" w:lineRule="exact"/>
              <w:ind w:leftChars="100" w:left="316" w:rightChars="100" w:right="316"/>
              <w:rPr>
                <w:rFonts w:ascii="仿宋" w:eastAsia="仿宋" w:hAnsi="仿宋" w:cs="仿宋"/>
                <w:sz w:val="28"/>
                <w:szCs w:val="28"/>
              </w:rPr>
            </w:pPr>
            <w:r>
              <w:rPr>
                <w:rFonts w:ascii="仿宋" w:eastAsia="仿宋" w:hAnsi="仿宋" w:cs="仿宋" w:hint="eastAsia"/>
                <w:sz w:val="28"/>
                <w:szCs w:val="28"/>
              </w:rPr>
              <w:t>抄送：</w:t>
            </w:r>
            <w:r>
              <w:rPr>
                <w:rFonts w:ascii="仿宋" w:eastAsia="仿宋" w:hAnsi="仿宋" w:cs="仿宋" w:hint="eastAsia"/>
                <w:sz w:val="28"/>
                <w:szCs w:val="28"/>
              </w:rPr>
              <w:t>国家扶贫开发工作重点县和集中连片特困县人民政府。</w:t>
            </w:r>
          </w:p>
        </w:tc>
      </w:tr>
      <w:tr w:rsidR="006A34DD">
        <w:trPr>
          <w:trHeight w:val="605"/>
        </w:trPr>
        <w:tc>
          <w:tcPr>
            <w:tcW w:w="9071" w:type="dxa"/>
            <w:tcBorders>
              <w:top w:val="single" w:sz="4" w:space="0" w:color="auto"/>
              <w:left w:val="nil"/>
              <w:bottom w:val="single" w:sz="4" w:space="0" w:color="auto"/>
              <w:right w:val="nil"/>
            </w:tcBorders>
            <w:vAlign w:val="center"/>
          </w:tcPr>
          <w:p w:rsidR="006A34DD" w:rsidRDefault="00420EBC">
            <w:pPr>
              <w:spacing w:line="500" w:lineRule="exact"/>
              <w:ind w:leftChars="100" w:left="316" w:rightChars="100" w:right="316"/>
              <w:rPr>
                <w:rFonts w:ascii="仿宋" w:eastAsia="仿宋" w:hAnsi="仿宋" w:cs="仿宋"/>
                <w:sz w:val="28"/>
                <w:szCs w:val="28"/>
              </w:rPr>
            </w:pPr>
            <w:r>
              <w:rPr>
                <w:rFonts w:ascii="仿宋" w:eastAsia="仿宋" w:hAnsi="仿宋" w:cs="仿宋" w:hint="eastAsia"/>
                <w:sz w:val="28"/>
                <w:szCs w:val="28"/>
              </w:rPr>
              <w:t>厅内发送：委厅领导。</w:t>
            </w:r>
          </w:p>
        </w:tc>
      </w:tr>
      <w:tr w:rsidR="006A34DD">
        <w:trPr>
          <w:trHeight w:val="605"/>
        </w:trPr>
        <w:tc>
          <w:tcPr>
            <w:tcW w:w="9071" w:type="dxa"/>
            <w:tcBorders>
              <w:top w:val="single" w:sz="4" w:space="0" w:color="auto"/>
              <w:left w:val="nil"/>
              <w:bottom w:val="single" w:sz="6" w:space="0" w:color="auto"/>
              <w:right w:val="nil"/>
            </w:tcBorders>
            <w:vAlign w:val="center"/>
          </w:tcPr>
          <w:p w:rsidR="006A34DD" w:rsidRDefault="00420EBC">
            <w:pPr>
              <w:spacing w:line="500" w:lineRule="exact"/>
              <w:ind w:leftChars="100" w:left="316" w:rightChars="100" w:right="316"/>
              <w:rPr>
                <w:rFonts w:ascii="仿宋" w:eastAsia="仿宋" w:hAnsi="仿宋" w:cs="仿宋"/>
                <w:sz w:val="28"/>
                <w:szCs w:val="28"/>
              </w:rPr>
            </w:pPr>
            <w:r>
              <w:rPr>
                <w:rFonts w:ascii="仿宋" w:eastAsia="仿宋" w:hAnsi="仿宋" w:cs="仿宋" w:hint="eastAsia"/>
                <w:sz w:val="28"/>
                <w:szCs w:val="28"/>
              </w:rPr>
              <w:t>河北省教育厅办公室</w:t>
            </w:r>
            <w:r>
              <w:rPr>
                <w:rFonts w:ascii="仿宋" w:eastAsia="仿宋" w:hAnsi="仿宋" w:cs="仿宋" w:hint="eastAsia"/>
                <w:sz w:val="28"/>
                <w:szCs w:val="28"/>
              </w:rPr>
              <w:t xml:space="preserve">      </w:t>
            </w:r>
            <w:r>
              <w:rPr>
                <w:rFonts w:ascii="仿宋" w:eastAsia="仿宋" w:hAnsi="仿宋" w:cs="仿宋" w:hint="eastAsia"/>
                <w:sz w:val="28"/>
                <w:szCs w:val="28"/>
              </w:rPr>
              <w:t>（主动公开）</w:t>
            </w:r>
            <w:r>
              <w:rPr>
                <w:rFonts w:ascii="仿宋" w:eastAsia="仿宋" w:hAnsi="仿宋" w:cs="仿宋" w:hint="eastAsia"/>
                <w:sz w:val="28"/>
                <w:szCs w:val="28"/>
              </w:rPr>
              <w:t xml:space="preserve">      </w:t>
            </w:r>
            <w:r>
              <w:rPr>
                <w:rFonts w:ascii="仿宋" w:eastAsia="仿宋" w:hAnsi="仿宋" w:cs="仿宋" w:hint="eastAsia"/>
                <w:sz w:val="28"/>
                <w:szCs w:val="28"/>
              </w:rPr>
              <w:t>20</w:t>
            </w:r>
            <w:r>
              <w:rPr>
                <w:rFonts w:ascii="仿宋" w:eastAsia="仿宋" w:hAnsi="仿宋" w:cs="仿宋" w:hint="eastAsia"/>
                <w:sz w:val="28"/>
                <w:szCs w:val="28"/>
              </w:rPr>
              <w:t>20</w:t>
            </w:r>
            <w:r>
              <w:rPr>
                <w:rFonts w:ascii="仿宋" w:eastAsia="仿宋" w:hAnsi="仿宋" w:cs="仿宋" w:hint="eastAsia"/>
                <w:sz w:val="28"/>
                <w:szCs w:val="28"/>
              </w:rPr>
              <w:t>年</w:t>
            </w:r>
            <w:r>
              <w:rPr>
                <w:rFonts w:ascii="仿宋" w:eastAsia="仿宋" w:hAnsi="仿宋" w:cs="仿宋" w:hint="eastAsia"/>
                <w:sz w:val="28"/>
                <w:szCs w:val="28"/>
              </w:rPr>
              <w:t>X</w:t>
            </w:r>
            <w:r>
              <w:rPr>
                <w:rFonts w:ascii="仿宋" w:eastAsia="仿宋" w:hAnsi="仿宋" w:cs="仿宋" w:hint="eastAsia"/>
                <w:sz w:val="28"/>
                <w:szCs w:val="28"/>
              </w:rPr>
              <w:t>月</w:t>
            </w:r>
            <w:r>
              <w:rPr>
                <w:rFonts w:ascii="仿宋" w:eastAsia="仿宋" w:hAnsi="仿宋" w:cs="仿宋" w:hint="eastAsia"/>
                <w:sz w:val="28"/>
                <w:szCs w:val="28"/>
              </w:rPr>
              <w:t>X</w:t>
            </w:r>
            <w:r>
              <w:rPr>
                <w:rFonts w:ascii="仿宋" w:eastAsia="仿宋" w:hAnsi="仿宋" w:cs="仿宋" w:hint="eastAsia"/>
                <w:sz w:val="28"/>
                <w:szCs w:val="28"/>
              </w:rPr>
              <w:t>日印</w:t>
            </w:r>
            <w:r>
              <w:rPr>
                <w:rFonts w:ascii="仿宋" w:eastAsia="仿宋" w:hAnsi="仿宋" w:cs="仿宋" w:hint="eastAsia"/>
                <w:sz w:val="28"/>
                <w:szCs w:val="28"/>
              </w:rPr>
              <w:lastRenderedPageBreak/>
              <w:t>发</w:t>
            </w:r>
          </w:p>
        </w:tc>
      </w:tr>
    </w:tbl>
    <w:p w:rsidR="006A34DD" w:rsidRDefault="006A34DD">
      <w:pPr>
        <w:spacing w:line="570" w:lineRule="exact"/>
        <w:ind w:firstLineChars="1650" w:firstLine="5212"/>
        <w:rPr>
          <w:rFonts w:ascii="仿宋" w:eastAsia="仿宋" w:hAnsi="仿宋"/>
          <w:szCs w:val="32"/>
        </w:rPr>
      </w:pPr>
    </w:p>
    <w:sectPr w:rsidR="006A34DD">
      <w:footerReference w:type="even" r:id="rId7"/>
      <w:footerReference w:type="default" r:id="rId8"/>
      <w:pgSz w:w="11906" w:h="16838"/>
      <w:pgMar w:top="2098" w:right="1474" w:bottom="1984" w:left="1588" w:header="851" w:footer="1587"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BC" w:rsidRDefault="00420EBC">
      <w:r>
        <w:separator/>
      </w:r>
    </w:p>
  </w:endnote>
  <w:endnote w:type="continuationSeparator" w:id="0">
    <w:p w:rsidR="00420EBC" w:rsidRDefault="0042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4DD" w:rsidRDefault="00420EBC">
    <w:pPr>
      <w:pStyle w:val="a5"/>
      <w:framePr w:wrap="around" w:vAnchor="text" w:hAnchor="margin" w:xAlign="outside" w:y="1"/>
      <w:rPr>
        <w:rStyle w:val="a7"/>
        <w:rFonts w:ascii="宋体" w:eastAsia="宋体" w:hAnsi="宋体" w:cs="宋体"/>
        <w:sz w:val="28"/>
        <w:szCs w:val="28"/>
      </w:rPr>
    </w:pPr>
    <w:r>
      <w:rPr>
        <w:rFonts w:ascii="宋体" w:eastAsia="宋体" w:hAnsi="宋体" w:cs="宋体" w:hint="eastAsia"/>
        <w:sz w:val="28"/>
        <w:szCs w:val="28"/>
      </w:rPr>
      <w:fldChar w:fldCharType="begin"/>
    </w:r>
    <w:r>
      <w:rPr>
        <w:rStyle w:val="a7"/>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656E70">
      <w:rPr>
        <w:rStyle w:val="a7"/>
        <w:rFonts w:ascii="宋体" w:eastAsia="宋体" w:hAnsi="宋体" w:cs="宋体"/>
        <w:noProof/>
        <w:sz w:val="28"/>
        <w:szCs w:val="28"/>
      </w:rPr>
      <w:t>- 2 -</w:t>
    </w:r>
    <w:r>
      <w:rPr>
        <w:rFonts w:ascii="宋体" w:eastAsia="宋体" w:hAnsi="宋体" w:cs="宋体" w:hint="eastAsia"/>
        <w:sz w:val="28"/>
        <w:szCs w:val="28"/>
      </w:rPr>
      <w:fldChar w:fldCharType="end"/>
    </w:r>
  </w:p>
  <w:p w:rsidR="006A34DD" w:rsidRDefault="006A34DD">
    <w:pPr>
      <w:pStyle w:val="a5"/>
      <w:ind w:right="360" w:firstLine="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4DD" w:rsidRDefault="00420EBC">
    <w:pPr>
      <w:pStyle w:val="a5"/>
      <w:framePr w:wrap="around" w:vAnchor="text" w:hAnchor="margin" w:xAlign="outside" w:y="1"/>
      <w:rPr>
        <w:rStyle w:val="a7"/>
        <w:sz w:val="30"/>
        <w:szCs w:val="30"/>
      </w:rPr>
    </w:pPr>
    <w:r>
      <w:rPr>
        <w:rFonts w:ascii="宋体" w:eastAsia="宋体" w:hAnsi="宋体" w:cs="宋体" w:hint="eastAsia"/>
        <w:sz w:val="28"/>
        <w:szCs w:val="28"/>
      </w:rPr>
      <w:fldChar w:fldCharType="begin"/>
    </w:r>
    <w:r>
      <w:rPr>
        <w:rStyle w:val="a7"/>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656E70">
      <w:rPr>
        <w:rStyle w:val="a7"/>
        <w:rFonts w:ascii="宋体" w:eastAsia="宋体" w:hAnsi="宋体" w:cs="宋体"/>
        <w:noProof/>
        <w:sz w:val="28"/>
        <w:szCs w:val="28"/>
      </w:rPr>
      <w:t>- 1 -</w:t>
    </w:r>
    <w:r>
      <w:rPr>
        <w:rFonts w:ascii="宋体" w:eastAsia="宋体" w:hAnsi="宋体" w:cs="宋体" w:hint="eastAsia"/>
        <w:sz w:val="28"/>
        <w:szCs w:val="28"/>
      </w:rPr>
      <w:fldChar w:fldCharType="end"/>
    </w:r>
  </w:p>
  <w:p w:rsidR="006A34DD" w:rsidRDefault="006A34D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BC" w:rsidRDefault="00420EBC">
      <w:r>
        <w:separator/>
      </w:r>
    </w:p>
  </w:footnote>
  <w:footnote w:type="continuationSeparator" w:id="0">
    <w:p w:rsidR="00420EBC" w:rsidRDefault="00420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76F48"/>
    <w:rsid w:val="00053DD6"/>
    <w:rsid w:val="0006340F"/>
    <w:rsid w:val="0007089A"/>
    <w:rsid w:val="00085074"/>
    <w:rsid w:val="00097A04"/>
    <w:rsid w:val="000B169E"/>
    <w:rsid w:val="001115A0"/>
    <w:rsid w:val="00114062"/>
    <w:rsid w:val="00114BD3"/>
    <w:rsid w:val="00116AEB"/>
    <w:rsid w:val="00126BC1"/>
    <w:rsid w:val="001B61AD"/>
    <w:rsid w:val="001C2525"/>
    <w:rsid w:val="001E2E06"/>
    <w:rsid w:val="001F37D1"/>
    <w:rsid w:val="001F49C7"/>
    <w:rsid w:val="001F6301"/>
    <w:rsid w:val="00257BE3"/>
    <w:rsid w:val="00275203"/>
    <w:rsid w:val="002B1BB8"/>
    <w:rsid w:val="002F22F4"/>
    <w:rsid w:val="002F2F63"/>
    <w:rsid w:val="003078D0"/>
    <w:rsid w:val="00313CC8"/>
    <w:rsid w:val="003173C6"/>
    <w:rsid w:val="0033653D"/>
    <w:rsid w:val="0034219C"/>
    <w:rsid w:val="003528DE"/>
    <w:rsid w:val="00352CDE"/>
    <w:rsid w:val="0037472C"/>
    <w:rsid w:val="003A4ED2"/>
    <w:rsid w:val="003E4E5F"/>
    <w:rsid w:val="003F5D7D"/>
    <w:rsid w:val="0040177B"/>
    <w:rsid w:val="00420EBC"/>
    <w:rsid w:val="004521B8"/>
    <w:rsid w:val="004940AA"/>
    <w:rsid w:val="004F1B7F"/>
    <w:rsid w:val="004F3BFB"/>
    <w:rsid w:val="00500A83"/>
    <w:rsid w:val="005230E6"/>
    <w:rsid w:val="005255A7"/>
    <w:rsid w:val="005604C6"/>
    <w:rsid w:val="0057438C"/>
    <w:rsid w:val="00587762"/>
    <w:rsid w:val="005F1723"/>
    <w:rsid w:val="00611AF6"/>
    <w:rsid w:val="00656E70"/>
    <w:rsid w:val="006A34DD"/>
    <w:rsid w:val="006F3296"/>
    <w:rsid w:val="006F684A"/>
    <w:rsid w:val="0070100A"/>
    <w:rsid w:val="00707F15"/>
    <w:rsid w:val="00723C52"/>
    <w:rsid w:val="00740024"/>
    <w:rsid w:val="007529DA"/>
    <w:rsid w:val="00757C9C"/>
    <w:rsid w:val="00765A83"/>
    <w:rsid w:val="00766FB0"/>
    <w:rsid w:val="007960C4"/>
    <w:rsid w:val="007A5A6B"/>
    <w:rsid w:val="007B334A"/>
    <w:rsid w:val="007B7E9B"/>
    <w:rsid w:val="007E3DB5"/>
    <w:rsid w:val="007F14EE"/>
    <w:rsid w:val="00831A3F"/>
    <w:rsid w:val="00855A93"/>
    <w:rsid w:val="00870AFF"/>
    <w:rsid w:val="008742D3"/>
    <w:rsid w:val="008A4639"/>
    <w:rsid w:val="008C636D"/>
    <w:rsid w:val="00953A62"/>
    <w:rsid w:val="00962481"/>
    <w:rsid w:val="00970DCF"/>
    <w:rsid w:val="00970EDC"/>
    <w:rsid w:val="0099566A"/>
    <w:rsid w:val="009B086D"/>
    <w:rsid w:val="009D21A1"/>
    <w:rsid w:val="009E5286"/>
    <w:rsid w:val="00A018CC"/>
    <w:rsid w:val="00A328C7"/>
    <w:rsid w:val="00A347A5"/>
    <w:rsid w:val="00A42E38"/>
    <w:rsid w:val="00A57155"/>
    <w:rsid w:val="00A86253"/>
    <w:rsid w:val="00AA05A2"/>
    <w:rsid w:val="00AC0809"/>
    <w:rsid w:val="00AE397E"/>
    <w:rsid w:val="00AF73C6"/>
    <w:rsid w:val="00B00A50"/>
    <w:rsid w:val="00B204FB"/>
    <w:rsid w:val="00B6437A"/>
    <w:rsid w:val="00BA6EAE"/>
    <w:rsid w:val="00BB5AC3"/>
    <w:rsid w:val="00BF66B0"/>
    <w:rsid w:val="00C064B0"/>
    <w:rsid w:val="00C15DE7"/>
    <w:rsid w:val="00C7487E"/>
    <w:rsid w:val="00C76916"/>
    <w:rsid w:val="00C923AE"/>
    <w:rsid w:val="00CC05C2"/>
    <w:rsid w:val="00CD5B6D"/>
    <w:rsid w:val="00D333E5"/>
    <w:rsid w:val="00D66160"/>
    <w:rsid w:val="00D86517"/>
    <w:rsid w:val="00E31342"/>
    <w:rsid w:val="00E40E2C"/>
    <w:rsid w:val="00E44D53"/>
    <w:rsid w:val="00E6197D"/>
    <w:rsid w:val="00E640D7"/>
    <w:rsid w:val="00E8528B"/>
    <w:rsid w:val="00EA1B31"/>
    <w:rsid w:val="00EA77B1"/>
    <w:rsid w:val="00ED69BD"/>
    <w:rsid w:val="00F06E4B"/>
    <w:rsid w:val="00F3596D"/>
    <w:rsid w:val="00F4206F"/>
    <w:rsid w:val="00F45337"/>
    <w:rsid w:val="00F73564"/>
    <w:rsid w:val="00F743F7"/>
    <w:rsid w:val="00F749D0"/>
    <w:rsid w:val="00F763BB"/>
    <w:rsid w:val="00F90C5B"/>
    <w:rsid w:val="00FB2C3D"/>
    <w:rsid w:val="00FC4DBF"/>
    <w:rsid w:val="00FD7ABA"/>
    <w:rsid w:val="025D4F0F"/>
    <w:rsid w:val="066837B0"/>
    <w:rsid w:val="07260184"/>
    <w:rsid w:val="097448E1"/>
    <w:rsid w:val="0FD47093"/>
    <w:rsid w:val="15D215E7"/>
    <w:rsid w:val="17004916"/>
    <w:rsid w:val="17791A0A"/>
    <w:rsid w:val="19BD10D6"/>
    <w:rsid w:val="240C0CE3"/>
    <w:rsid w:val="28D364A9"/>
    <w:rsid w:val="2A254F3F"/>
    <w:rsid w:val="2AA16FD9"/>
    <w:rsid w:val="2C0577FC"/>
    <w:rsid w:val="314256A5"/>
    <w:rsid w:val="322421B2"/>
    <w:rsid w:val="350A3137"/>
    <w:rsid w:val="3EDC7002"/>
    <w:rsid w:val="3FB82058"/>
    <w:rsid w:val="408F0154"/>
    <w:rsid w:val="422915BE"/>
    <w:rsid w:val="45583CDC"/>
    <w:rsid w:val="49A6146F"/>
    <w:rsid w:val="51B97D73"/>
    <w:rsid w:val="554536FA"/>
    <w:rsid w:val="5FDA19EB"/>
    <w:rsid w:val="60465388"/>
    <w:rsid w:val="61557CD1"/>
    <w:rsid w:val="67894A59"/>
    <w:rsid w:val="6CFA0889"/>
    <w:rsid w:val="6EBB6339"/>
    <w:rsid w:val="700C2001"/>
    <w:rsid w:val="76076CE6"/>
    <w:rsid w:val="7C6670D2"/>
    <w:rsid w:val="7D1E646C"/>
    <w:rsid w:val="7DB76F48"/>
    <w:rsid w:val="7EAE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v:stroke color="red" weight="2.25pt"/>
    </o:shapedefaults>
    <o:shapelayout v:ext="edit">
      <o:idmap v:ext="edit" data="1"/>
    </o:shapelayout>
  </w:shapeDefaults>
  <w:decimalSymbol w:val="."/>
  <w:listSeparator w:val=","/>
  <w15:docId w15:val="{A65D9F32-12C0-41D1-B38A-C90D90D6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qFormat/>
    <w:pPr>
      <w:jc w:val="center"/>
    </w:pPr>
    <w:rPr>
      <w:rFonts w:ascii="宋体" w:hAnsi="宋体"/>
      <w:sz w:val="44"/>
    </w:r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2235;&#23478;&#32418;&#2283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四家红头.dot</Template>
  <TotalTime>0</TotalTime>
  <Pages>5</Pages>
  <Words>212</Words>
  <Characters>1211</Characters>
  <Application>Microsoft Office Word</Application>
  <DocSecurity>0</DocSecurity>
  <Lines>10</Lines>
  <Paragraphs>2</Paragraphs>
  <ScaleCrop>false</ScaleCrop>
  <Company>china</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Secrety</dc:title>
  <dc:creator>史双健</dc:creator>
  <dc:description>createdate</dc:description>
  <cp:lastModifiedBy>杜丽娟</cp:lastModifiedBy>
  <cp:revision>2</cp:revision>
  <cp:lastPrinted>2020-11-02T07:00:00Z</cp:lastPrinted>
  <dcterms:created xsi:type="dcterms:W3CDTF">2020-11-12T06:52:00Z</dcterms:created>
  <dcterms:modified xsi:type="dcterms:W3CDTF">2020-11-12T06:52:00Z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