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Style w:val="12"/>
          <w:rFonts w:hint="eastAsia" w:ascii="黑体" w:hAnsi="黑体" w:eastAsia="黑体" w:cs="方正小标宋简体"/>
          <w:b w:val="0"/>
          <w:sz w:val="32"/>
          <w:szCs w:val="32"/>
          <w:lang w:val="en-US"/>
        </w:rPr>
      </w:pPr>
    </w:p>
    <w:p>
      <w:pPr>
        <w:tabs>
          <w:tab w:val="left" w:pos="2226"/>
        </w:tabs>
        <w:ind w:firstLine="923"/>
        <w:jc w:val="left"/>
        <w:rPr>
          <w:rStyle w:val="12"/>
          <w:rFonts w:hint="eastAsia" w:ascii="方正小标宋简体" w:hAnsi="方正小标宋简体" w:eastAsia="方正小标宋简体" w:cs="方正小标宋简体"/>
          <w:sz w:val="44"/>
          <w:szCs w:val="44"/>
          <w:lang w:val="en-US"/>
        </w:rPr>
      </w:pPr>
      <w:r>
        <w:rPr>
          <w:rStyle w:val="12"/>
          <w:rFonts w:hint="eastAsia" w:ascii="方正小标宋简体" w:hAnsi="方正小标宋简体" w:eastAsia="方正小标宋简体" w:cs="方正小标宋简体"/>
          <w:sz w:val="44"/>
          <w:szCs w:val="44"/>
          <w:lang w:val="en-US"/>
        </w:rPr>
        <w:tab/>
      </w:r>
      <w:bookmarkStart w:id="26" w:name="_GoBack"/>
      <w:bookmarkEnd w:id="26"/>
    </w:p>
    <w:p>
      <w:pPr>
        <w:ind w:firstLine="923"/>
        <w:jc w:val="center"/>
        <w:rPr>
          <w:rStyle w:val="12"/>
          <w:rFonts w:hint="eastAsia" w:ascii="方正小标宋简体" w:hAnsi="方正小标宋简体" w:eastAsia="方正小标宋简体" w:cs="方正小标宋简体"/>
          <w:sz w:val="44"/>
          <w:szCs w:val="44"/>
          <w:lang w:val="en-US"/>
        </w:rPr>
      </w:pPr>
    </w:p>
    <w:p>
      <w:pPr>
        <w:ind w:firstLine="923"/>
        <w:jc w:val="center"/>
        <w:rPr>
          <w:rStyle w:val="12"/>
          <w:rFonts w:hint="eastAsia" w:ascii="方正小标宋简体" w:hAnsi="方正小标宋简体" w:eastAsia="方正小标宋简体" w:cs="方正小标宋简体"/>
          <w:sz w:val="44"/>
          <w:szCs w:val="44"/>
          <w:lang w:val="en-US"/>
        </w:rPr>
      </w:pPr>
    </w:p>
    <w:p>
      <w:pPr>
        <w:spacing w:line="580" w:lineRule="exact"/>
        <w:ind w:firstLine="0" w:firstLineChars="0"/>
        <w:contextualSpacing/>
        <w:jc w:val="center"/>
        <w:rPr>
          <w:rStyle w:val="12"/>
          <w:rFonts w:hint="eastAsia" w:ascii="方正小标宋简体" w:hAnsi="黑体" w:eastAsia="方正小标宋简体" w:cs="黑体"/>
          <w:b w:val="0"/>
          <w:sz w:val="44"/>
          <w:szCs w:val="44"/>
          <w:lang w:val="en-US"/>
        </w:rPr>
      </w:pPr>
      <w:r>
        <w:rPr>
          <w:rStyle w:val="12"/>
          <w:rFonts w:hint="eastAsia" w:ascii="方正小标宋简体" w:hAnsi="黑体" w:eastAsia="方正小标宋简体" w:cs="黑体"/>
          <w:b w:val="0"/>
          <w:sz w:val="44"/>
          <w:szCs w:val="44"/>
          <w:lang w:val="en-US"/>
        </w:rPr>
        <w:t>河北省雷电灾害</w:t>
      </w:r>
    </w:p>
    <w:p>
      <w:pPr>
        <w:spacing w:line="580" w:lineRule="exact"/>
        <w:ind w:firstLine="0" w:firstLineChars="0"/>
        <w:contextualSpacing/>
        <w:jc w:val="center"/>
        <w:rPr>
          <w:rStyle w:val="12"/>
          <w:rFonts w:hint="eastAsia" w:ascii="方正小标宋简体" w:hAnsi="黑体" w:eastAsia="方正小标宋简体" w:cs="黑体"/>
          <w:b w:val="0"/>
          <w:sz w:val="44"/>
          <w:szCs w:val="44"/>
          <w:lang w:val="en-US"/>
        </w:rPr>
      </w:pPr>
      <w:r>
        <w:rPr>
          <w:rStyle w:val="12"/>
          <w:rFonts w:hint="eastAsia" w:ascii="方正小标宋简体" w:hAnsi="黑体" w:eastAsia="方正小标宋简体" w:cs="黑体"/>
          <w:b w:val="0"/>
          <w:sz w:val="44"/>
          <w:szCs w:val="44"/>
          <w:lang w:val="en-US"/>
        </w:rPr>
        <w:t>风险辨识与分级管控指南</w:t>
      </w:r>
    </w:p>
    <w:p>
      <w:pPr>
        <w:spacing w:line="1400" w:lineRule="exact"/>
        <w:ind w:firstLine="0" w:firstLineChars="0"/>
        <w:jc w:val="center"/>
        <w:rPr>
          <w:rStyle w:val="12"/>
          <w:rFonts w:hint="eastAsia" w:ascii="黑体" w:hAnsi="黑体" w:eastAsia="黑体" w:cs="黑体"/>
          <w:sz w:val="72"/>
          <w:szCs w:val="72"/>
          <w:lang w:val="en-US"/>
        </w:rPr>
      </w:pPr>
    </w:p>
    <w:p>
      <w:pPr>
        <w:spacing w:line="1400" w:lineRule="exact"/>
        <w:ind w:firstLine="1486"/>
        <w:jc w:val="center"/>
        <w:rPr>
          <w:rStyle w:val="12"/>
          <w:rFonts w:hint="eastAsia" w:ascii="黑体" w:hAnsi="黑体" w:eastAsia="黑体" w:cs="黑体"/>
          <w:sz w:val="72"/>
          <w:szCs w:val="72"/>
          <w:lang w:val="en-US"/>
        </w:rPr>
      </w:pPr>
    </w:p>
    <w:p>
      <w:pPr>
        <w:spacing w:line="1400" w:lineRule="exact"/>
        <w:ind w:firstLine="1486"/>
        <w:jc w:val="center"/>
        <w:rPr>
          <w:rStyle w:val="12"/>
          <w:rFonts w:hint="eastAsia" w:ascii="黑体" w:hAnsi="黑体" w:eastAsia="黑体" w:cs="黑体"/>
          <w:sz w:val="72"/>
          <w:szCs w:val="72"/>
          <w:lang w:val="en-US"/>
        </w:rPr>
      </w:pPr>
    </w:p>
    <w:p>
      <w:pPr>
        <w:spacing w:line="1400" w:lineRule="exact"/>
        <w:ind w:firstLine="1486"/>
        <w:jc w:val="center"/>
        <w:rPr>
          <w:rStyle w:val="12"/>
          <w:rFonts w:hint="eastAsia" w:ascii="黑体" w:hAnsi="黑体" w:eastAsia="黑体" w:cs="黑体"/>
          <w:sz w:val="72"/>
          <w:szCs w:val="72"/>
          <w:lang w:val="en-US"/>
        </w:rPr>
      </w:pPr>
    </w:p>
    <w:p>
      <w:pPr>
        <w:spacing w:line="1400" w:lineRule="exact"/>
        <w:ind w:firstLine="1486"/>
        <w:jc w:val="center"/>
        <w:rPr>
          <w:rStyle w:val="12"/>
          <w:rFonts w:hint="eastAsia" w:ascii="黑体" w:hAnsi="黑体" w:eastAsia="黑体" w:cs="黑体"/>
          <w:sz w:val="72"/>
          <w:szCs w:val="72"/>
          <w:lang w:val="en-US"/>
        </w:rPr>
      </w:pPr>
    </w:p>
    <w:p>
      <w:pPr>
        <w:spacing w:line="276" w:lineRule="auto"/>
        <w:ind w:firstLine="0" w:firstLineChars="0"/>
        <w:jc w:val="center"/>
        <w:rPr>
          <w:rStyle w:val="12"/>
          <w:rFonts w:hint="eastAsia" w:ascii="楷体_GB2312" w:hAnsi="黑体" w:eastAsia="楷体_GB2312" w:cs="黑体"/>
          <w:b w:val="0"/>
          <w:color w:val="auto"/>
          <w:sz w:val="32"/>
          <w:szCs w:val="32"/>
          <w:lang w:val="en-US"/>
        </w:rPr>
      </w:pPr>
      <w:r>
        <w:rPr>
          <w:rStyle w:val="12"/>
          <w:rFonts w:hint="eastAsia" w:ascii="楷体_GB2312" w:hAnsi="黑体" w:eastAsia="楷体_GB2312" w:cs="黑体"/>
          <w:b w:val="0"/>
          <w:color w:val="auto"/>
          <w:sz w:val="32"/>
          <w:szCs w:val="32"/>
          <w:lang w:val="en-US"/>
        </w:rPr>
        <w:t>河北省气象局</w:t>
      </w:r>
    </w:p>
    <w:p>
      <w:pPr>
        <w:spacing w:line="276" w:lineRule="auto"/>
        <w:ind w:firstLine="0" w:firstLineChars="0"/>
        <w:jc w:val="center"/>
        <w:rPr>
          <w:rStyle w:val="12"/>
          <w:rFonts w:hint="eastAsia" w:ascii="楷体_GB2312" w:hAnsi="黑体" w:eastAsia="楷体_GB2312" w:cs="黑体"/>
          <w:b w:val="0"/>
          <w:sz w:val="32"/>
          <w:szCs w:val="32"/>
          <w:lang w:val="en-US"/>
        </w:rPr>
      </w:pPr>
      <w:r>
        <w:rPr>
          <w:rStyle w:val="12"/>
          <w:rFonts w:hint="eastAsia" w:ascii="楷体_GB2312" w:hAnsi="黑体" w:eastAsia="楷体_GB2312" w:cs="黑体"/>
          <w:b w:val="0"/>
          <w:sz w:val="32"/>
          <w:szCs w:val="32"/>
          <w:lang w:val="en-US"/>
        </w:rPr>
        <w:t>2020年</w:t>
      </w:r>
    </w:p>
    <w:p>
      <w:pPr>
        <w:spacing w:line="1400" w:lineRule="exact"/>
        <w:ind w:firstLine="1486"/>
        <w:rPr>
          <w:rStyle w:val="12"/>
          <w:rFonts w:hint="eastAsia" w:ascii="黑体" w:hAnsi="黑体" w:eastAsia="黑体" w:cs="黑体"/>
          <w:sz w:val="72"/>
          <w:szCs w:val="72"/>
          <w:lang w:val="en-US"/>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spacing w:line="240" w:lineRule="auto"/>
        <w:ind w:firstLine="0" w:firstLineChars="0"/>
        <w:jc w:val="center"/>
        <w:rPr>
          <w:rFonts w:hint="eastAsia" w:ascii="黑体" w:hAnsi="黑体" w:eastAsia="黑体"/>
          <w:bCs/>
          <w:sz w:val="44"/>
          <w:szCs w:val="44"/>
        </w:rPr>
      </w:pPr>
      <w:r>
        <w:rPr>
          <w:rFonts w:hint="eastAsia" w:ascii="黑体" w:hAnsi="黑体" w:eastAsia="黑体"/>
          <w:bCs/>
          <w:sz w:val="44"/>
          <w:szCs w:val="44"/>
        </w:rPr>
        <w:br w:type="textWrapping"/>
      </w:r>
    </w:p>
    <w:p>
      <w:pPr>
        <w:spacing w:line="240" w:lineRule="auto"/>
        <w:ind w:firstLine="880" w:firstLineChars="0"/>
        <w:jc w:val="center"/>
        <w:rPr>
          <w:rFonts w:hint="eastAsia" w:ascii="黑体" w:hAnsi="黑体" w:eastAsia="黑体"/>
          <w:bCs/>
          <w:sz w:val="44"/>
          <w:szCs w:val="44"/>
        </w:rPr>
      </w:pPr>
      <w:r>
        <w:rPr>
          <w:rFonts w:ascii="黑体" w:hAnsi="黑体" w:eastAsia="黑体"/>
          <w:bCs/>
          <w:sz w:val="44"/>
          <w:szCs w:val="44"/>
        </w:rPr>
        <w:t>目</w:t>
      </w:r>
      <w:r>
        <w:rPr>
          <w:rFonts w:hint="eastAsia" w:ascii="黑体" w:hAnsi="黑体" w:eastAsia="黑体"/>
          <w:bCs/>
          <w:sz w:val="44"/>
          <w:szCs w:val="44"/>
          <w:lang w:val="en-US"/>
        </w:rPr>
        <w:t xml:space="preserve"> </w:t>
      </w:r>
      <w:r>
        <w:rPr>
          <w:rFonts w:ascii="黑体" w:hAnsi="黑体" w:eastAsia="黑体"/>
          <w:bCs/>
          <w:sz w:val="44"/>
          <w:szCs w:val="44"/>
        </w:rPr>
        <w:t>录</w:t>
      </w:r>
    </w:p>
    <w:p>
      <w:pPr>
        <w:spacing w:line="240" w:lineRule="auto"/>
        <w:ind w:firstLine="960" w:firstLineChars="0"/>
        <w:jc w:val="center"/>
        <w:rPr>
          <w:rFonts w:hint="eastAsia" w:ascii="宋体" w:hAnsi="宋体" w:eastAsia="宋体"/>
          <w:bCs/>
          <w:sz w:val="48"/>
          <w:szCs w:val="52"/>
        </w:rPr>
      </w:pPr>
    </w:p>
    <w:p>
      <w:pPr>
        <w:pStyle w:val="7"/>
        <w:tabs>
          <w:tab w:val="right" w:leader="dot" w:pos="8306"/>
        </w:tabs>
        <w:ind w:firstLine="0" w:firstLineChars="0"/>
        <w:rPr>
          <w:rFonts w:ascii="黑体" w:hAnsi="黑体" w:eastAsia="黑体"/>
          <w:b w:val="0"/>
          <w:bCs w:val="0"/>
          <w:sz w:val="32"/>
          <w:szCs w:val="28"/>
        </w:rPr>
      </w:pPr>
      <w:r>
        <w:rPr>
          <w:b w:val="0"/>
          <w:bCs w:val="0"/>
          <w:sz w:val="24"/>
          <w:szCs w:val="24"/>
        </w:rPr>
        <w:fldChar w:fldCharType="begin"/>
      </w:r>
      <w:r>
        <w:rPr>
          <w:b w:val="0"/>
          <w:bCs w:val="0"/>
          <w:sz w:val="24"/>
          <w:szCs w:val="24"/>
        </w:rPr>
        <w:instrText xml:space="preserve"> TOC \o "1-3" \h \z \u </w:instrText>
      </w:r>
      <w:r>
        <w:rPr>
          <w:b w:val="0"/>
          <w:bCs w:val="0"/>
          <w:sz w:val="24"/>
          <w:szCs w:val="24"/>
        </w:rPr>
        <w:fldChar w:fldCharType="separate"/>
      </w:r>
      <w:r>
        <w:rPr>
          <w:rFonts w:ascii="黑体" w:hAnsi="黑体" w:eastAsia="黑体"/>
          <w:b w:val="0"/>
          <w:bCs w:val="0"/>
          <w:sz w:val="32"/>
          <w:szCs w:val="28"/>
        </w:rPr>
        <w:fldChar w:fldCharType="begin"/>
      </w:r>
      <w:r>
        <w:rPr>
          <w:rFonts w:ascii="黑体" w:hAnsi="黑体" w:eastAsia="黑体"/>
          <w:b w:val="0"/>
          <w:bCs w:val="0"/>
          <w:sz w:val="32"/>
          <w:szCs w:val="28"/>
        </w:rPr>
        <w:instrText xml:space="preserve"> HYPERLINK \l _Toc14829 </w:instrText>
      </w:r>
      <w:r>
        <w:rPr>
          <w:rFonts w:ascii="黑体" w:hAnsi="黑体" w:eastAsia="黑体"/>
          <w:b w:val="0"/>
          <w:bCs w:val="0"/>
          <w:sz w:val="32"/>
          <w:szCs w:val="28"/>
        </w:rPr>
        <w:fldChar w:fldCharType="separate"/>
      </w:r>
      <w:r>
        <w:rPr>
          <w:rFonts w:hint="eastAsia" w:ascii="黑体" w:hAnsi="黑体" w:eastAsia="黑体"/>
          <w:b w:val="0"/>
          <w:bCs w:val="0"/>
          <w:snapToGrid w:val="0"/>
          <w:sz w:val="32"/>
          <w:szCs w:val="28"/>
        </w:rPr>
        <w:t>第一章</w:t>
      </w:r>
      <w:r>
        <w:rPr>
          <w:rFonts w:hint="eastAsia" w:ascii="黑体" w:hAnsi="黑体" w:eastAsia="黑体"/>
          <w:b w:val="0"/>
          <w:bCs w:val="0"/>
          <w:snapToGrid w:val="0"/>
          <w:sz w:val="32"/>
          <w:szCs w:val="28"/>
          <w:lang w:val="en-US"/>
        </w:rPr>
        <w:t xml:space="preserve"> </w:t>
      </w:r>
      <w:r>
        <w:rPr>
          <w:rFonts w:hint="eastAsia" w:ascii="黑体" w:hAnsi="黑体" w:eastAsia="黑体"/>
          <w:b w:val="0"/>
          <w:bCs w:val="0"/>
          <w:snapToGrid w:val="0"/>
          <w:sz w:val="32"/>
          <w:szCs w:val="28"/>
        </w:rPr>
        <w:t>河北省雷电灾害风险区划</w:t>
      </w:r>
      <w:r>
        <w:rPr>
          <w:rFonts w:ascii="黑体" w:hAnsi="黑体" w:eastAsia="黑体"/>
          <w:b w:val="0"/>
          <w:bCs w:val="0"/>
          <w:sz w:val="32"/>
          <w:szCs w:val="28"/>
        </w:rPr>
        <w:tab/>
      </w:r>
      <w:r>
        <w:rPr>
          <w:rFonts w:ascii="黑体" w:hAnsi="黑体" w:eastAsia="黑体"/>
          <w:b w:val="0"/>
          <w:bCs w:val="0"/>
          <w:sz w:val="32"/>
          <w:szCs w:val="28"/>
        </w:rPr>
        <w:fldChar w:fldCharType="begin"/>
      </w:r>
      <w:r>
        <w:rPr>
          <w:rFonts w:ascii="黑体" w:hAnsi="黑体" w:eastAsia="黑体"/>
          <w:b w:val="0"/>
          <w:bCs w:val="0"/>
          <w:sz w:val="32"/>
          <w:szCs w:val="28"/>
        </w:rPr>
        <w:instrText xml:space="preserve"> PAGEREF _Toc14829 </w:instrText>
      </w:r>
      <w:r>
        <w:rPr>
          <w:rFonts w:ascii="黑体" w:hAnsi="黑体" w:eastAsia="黑体"/>
          <w:b w:val="0"/>
          <w:bCs w:val="0"/>
          <w:sz w:val="32"/>
          <w:szCs w:val="28"/>
        </w:rPr>
        <w:fldChar w:fldCharType="separate"/>
      </w:r>
      <w:r>
        <w:rPr>
          <w:rFonts w:ascii="黑体" w:hAnsi="黑体" w:eastAsia="黑体"/>
          <w:b w:val="0"/>
          <w:bCs w:val="0"/>
          <w:sz w:val="32"/>
          <w:szCs w:val="28"/>
        </w:rPr>
        <w:t>2</w:t>
      </w:r>
      <w:r>
        <w:rPr>
          <w:rFonts w:ascii="黑体" w:hAnsi="黑体" w:eastAsia="黑体"/>
          <w:b w:val="0"/>
          <w:bCs w:val="0"/>
          <w:sz w:val="32"/>
          <w:szCs w:val="28"/>
        </w:rPr>
        <w:fldChar w:fldCharType="end"/>
      </w:r>
      <w:r>
        <w:rPr>
          <w:rFonts w:ascii="黑体" w:hAnsi="黑体" w:eastAsia="黑体"/>
          <w:b w:val="0"/>
          <w:bCs w:val="0"/>
          <w:sz w:val="32"/>
          <w:szCs w:val="28"/>
        </w:rPr>
        <w:fldChar w:fldCharType="end"/>
      </w:r>
    </w:p>
    <w:p>
      <w:pPr>
        <w:pStyle w:val="7"/>
        <w:tabs>
          <w:tab w:val="right" w:leader="dot" w:pos="8306"/>
        </w:tabs>
        <w:ind w:firstLine="198" w:firstLineChars="62"/>
        <w:rPr>
          <w:rFonts w:hint="eastAsia" w:ascii="仿宋_GB2312" w:eastAsia="仿宋_GB2312"/>
          <w:b w:val="0"/>
          <w:bCs w:val="0"/>
          <w:sz w:val="32"/>
          <w:szCs w:val="32"/>
        </w:rPr>
      </w:pPr>
      <w:r>
        <w:rPr>
          <w:rFonts w:hint="eastAsia" w:ascii="仿宋_GB2312" w:eastAsia="仿宋_GB2312"/>
          <w:b w:val="0"/>
          <w:bCs w:val="0"/>
          <w:sz w:val="32"/>
          <w:szCs w:val="32"/>
        </w:rPr>
        <w:fldChar w:fldCharType="begin"/>
      </w:r>
      <w:r>
        <w:rPr>
          <w:rFonts w:hint="eastAsia" w:ascii="仿宋_GB2312" w:eastAsia="仿宋_GB2312"/>
          <w:b w:val="0"/>
          <w:bCs w:val="0"/>
          <w:sz w:val="32"/>
          <w:szCs w:val="32"/>
        </w:rPr>
        <w:instrText xml:space="preserve"> HYPERLINK \l _Toc16285 </w:instrText>
      </w:r>
      <w:r>
        <w:rPr>
          <w:rFonts w:hint="eastAsia" w:ascii="仿宋_GB2312" w:eastAsia="仿宋_GB2312"/>
          <w:b w:val="0"/>
          <w:bCs w:val="0"/>
          <w:sz w:val="32"/>
          <w:szCs w:val="32"/>
        </w:rPr>
        <w:fldChar w:fldCharType="separate"/>
      </w:r>
      <w:r>
        <w:rPr>
          <w:rFonts w:hint="eastAsia" w:ascii="仿宋_GB2312" w:eastAsia="仿宋_GB2312"/>
          <w:b w:val="0"/>
          <w:bCs w:val="0"/>
          <w:sz w:val="32"/>
          <w:szCs w:val="32"/>
        </w:rPr>
        <w:t>1 术语和定义</w:t>
      </w:r>
      <w:r>
        <w:rPr>
          <w:rFonts w:hint="eastAsia" w:ascii="仿宋_GB2312" w:eastAsia="仿宋_GB2312"/>
          <w:b w:val="0"/>
          <w:bCs w:val="0"/>
          <w:sz w:val="32"/>
          <w:szCs w:val="32"/>
        </w:rPr>
        <w:tab/>
      </w:r>
      <w:r>
        <w:rPr>
          <w:rFonts w:hint="eastAsia" w:ascii="仿宋_GB2312" w:eastAsia="仿宋_GB2312"/>
          <w:b w:val="0"/>
          <w:bCs w:val="0"/>
          <w:sz w:val="32"/>
          <w:szCs w:val="32"/>
        </w:rPr>
        <w:fldChar w:fldCharType="begin"/>
      </w:r>
      <w:r>
        <w:rPr>
          <w:rFonts w:hint="eastAsia" w:ascii="仿宋_GB2312" w:eastAsia="仿宋_GB2312"/>
          <w:b w:val="0"/>
          <w:bCs w:val="0"/>
          <w:sz w:val="32"/>
          <w:szCs w:val="32"/>
        </w:rPr>
        <w:instrText xml:space="preserve"> PAGEREF _Toc16285 </w:instrText>
      </w:r>
      <w:r>
        <w:rPr>
          <w:rFonts w:hint="eastAsia" w:ascii="仿宋_GB2312" w:eastAsia="仿宋_GB2312"/>
          <w:b w:val="0"/>
          <w:bCs w:val="0"/>
          <w:sz w:val="32"/>
          <w:szCs w:val="32"/>
        </w:rPr>
        <w:fldChar w:fldCharType="separate"/>
      </w:r>
      <w:r>
        <w:rPr>
          <w:rFonts w:ascii="仿宋_GB2312" w:eastAsia="仿宋_GB2312"/>
          <w:b w:val="0"/>
          <w:bCs w:val="0"/>
          <w:sz w:val="32"/>
          <w:szCs w:val="32"/>
        </w:rPr>
        <w:t>2</w:t>
      </w:r>
      <w:r>
        <w:rPr>
          <w:rFonts w:hint="eastAsia" w:ascii="仿宋_GB2312" w:eastAsia="仿宋_GB2312"/>
          <w:b w:val="0"/>
          <w:bCs w:val="0"/>
          <w:sz w:val="32"/>
          <w:szCs w:val="32"/>
        </w:rPr>
        <w:fldChar w:fldCharType="end"/>
      </w:r>
      <w:r>
        <w:rPr>
          <w:rFonts w:hint="eastAsia" w:ascii="仿宋_GB2312" w:eastAsia="仿宋_GB2312"/>
          <w:b w:val="0"/>
          <w:bCs w:val="0"/>
          <w:sz w:val="32"/>
          <w:szCs w:val="32"/>
        </w:rPr>
        <w:fldChar w:fldCharType="end"/>
      </w:r>
    </w:p>
    <w:p>
      <w:pPr>
        <w:pStyle w:val="7"/>
        <w:tabs>
          <w:tab w:val="right" w:leader="dot" w:pos="8306"/>
        </w:tabs>
        <w:ind w:firstLine="198" w:firstLineChars="62"/>
        <w:rPr>
          <w:rFonts w:hint="eastAsia" w:ascii="仿宋_GB2312" w:eastAsia="仿宋_GB2312"/>
          <w:b w:val="0"/>
          <w:bCs w:val="0"/>
          <w:sz w:val="32"/>
          <w:szCs w:val="32"/>
        </w:rPr>
      </w:pPr>
      <w:r>
        <w:rPr>
          <w:rFonts w:hint="eastAsia" w:ascii="仿宋_GB2312" w:eastAsia="仿宋_GB2312"/>
          <w:b w:val="0"/>
          <w:bCs w:val="0"/>
          <w:sz w:val="32"/>
          <w:szCs w:val="32"/>
        </w:rPr>
        <w:fldChar w:fldCharType="begin"/>
      </w:r>
      <w:r>
        <w:rPr>
          <w:rFonts w:hint="eastAsia" w:ascii="仿宋_GB2312" w:eastAsia="仿宋_GB2312"/>
          <w:b w:val="0"/>
          <w:bCs w:val="0"/>
          <w:sz w:val="32"/>
          <w:szCs w:val="32"/>
        </w:rPr>
        <w:instrText xml:space="preserve"> HYPERLINK \l _Toc6818 </w:instrText>
      </w:r>
      <w:r>
        <w:rPr>
          <w:rFonts w:hint="eastAsia" w:ascii="仿宋_GB2312" w:eastAsia="仿宋_GB2312"/>
          <w:b w:val="0"/>
          <w:bCs w:val="0"/>
          <w:sz w:val="32"/>
          <w:szCs w:val="32"/>
        </w:rPr>
        <w:fldChar w:fldCharType="separate"/>
      </w:r>
      <w:r>
        <w:rPr>
          <w:rFonts w:hint="eastAsia" w:ascii="仿宋_GB2312" w:eastAsia="仿宋_GB2312"/>
          <w:b w:val="0"/>
          <w:bCs w:val="0"/>
          <w:sz w:val="32"/>
          <w:szCs w:val="32"/>
        </w:rPr>
        <w:t>2区划方法</w:t>
      </w:r>
      <w:r>
        <w:rPr>
          <w:rFonts w:hint="eastAsia" w:ascii="仿宋_GB2312" w:eastAsia="仿宋_GB2312"/>
          <w:b w:val="0"/>
          <w:bCs w:val="0"/>
          <w:sz w:val="32"/>
          <w:szCs w:val="32"/>
        </w:rPr>
        <w:tab/>
      </w:r>
      <w:r>
        <w:rPr>
          <w:rFonts w:hint="eastAsia" w:ascii="仿宋_GB2312" w:eastAsia="仿宋_GB2312"/>
          <w:b w:val="0"/>
          <w:bCs w:val="0"/>
          <w:sz w:val="32"/>
          <w:szCs w:val="32"/>
        </w:rPr>
        <w:fldChar w:fldCharType="begin"/>
      </w:r>
      <w:r>
        <w:rPr>
          <w:rFonts w:hint="eastAsia" w:ascii="仿宋_GB2312" w:eastAsia="仿宋_GB2312"/>
          <w:b w:val="0"/>
          <w:bCs w:val="0"/>
          <w:sz w:val="32"/>
          <w:szCs w:val="32"/>
        </w:rPr>
        <w:instrText xml:space="preserve"> PAGEREF _Toc6818 </w:instrText>
      </w:r>
      <w:r>
        <w:rPr>
          <w:rFonts w:hint="eastAsia" w:ascii="仿宋_GB2312" w:eastAsia="仿宋_GB2312"/>
          <w:b w:val="0"/>
          <w:bCs w:val="0"/>
          <w:sz w:val="32"/>
          <w:szCs w:val="32"/>
        </w:rPr>
        <w:fldChar w:fldCharType="separate"/>
      </w:r>
      <w:r>
        <w:rPr>
          <w:rFonts w:ascii="仿宋_GB2312" w:eastAsia="仿宋_GB2312"/>
          <w:b w:val="0"/>
          <w:bCs w:val="0"/>
          <w:sz w:val="32"/>
          <w:szCs w:val="32"/>
        </w:rPr>
        <w:t>3</w:t>
      </w:r>
      <w:r>
        <w:rPr>
          <w:rFonts w:hint="eastAsia" w:ascii="仿宋_GB2312" w:eastAsia="仿宋_GB2312"/>
          <w:b w:val="0"/>
          <w:bCs w:val="0"/>
          <w:sz w:val="32"/>
          <w:szCs w:val="32"/>
        </w:rPr>
        <w:fldChar w:fldCharType="end"/>
      </w:r>
      <w:r>
        <w:rPr>
          <w:rFonts w:hint="eastAsia" w:ascii="仿宋_GB2312" w:eastAsia="仿宋_GB2312"/>
          <w:b w:val="0"/>
          <w:bCs w:val="0"/>
          <w:sz w:val="32"/>
          <w:szCs w:val="32"/>
        </w:rPr>
        <w:fldChar w:fldCharType="end"/>
      </w:r>
    </w:p>
    <w:p>
      <w:pPr>
        <w:pStyle w:val="4"/>
        <w:tabs>
          <w:tab w:val="right" w:leader="dot" w:pos="8306"/>
        </w:tabs>
        <w:ind w:firstLine="198" w:firstLineChars="62"/>
        <w:rPr>
          <w:rFonts w:hint="eastAsia" w:ascii="仿宋_GB2312" w:eastAsia="仿宋_GB2312"/>
          <w:i w:val="0"/>
          <w:iCs w:val="0"/>
          <w:sz w:val="32"/>
          <w:szCs w:val="32"/>
        </w:rPr>
      </w:pPr>
      <w:r>
        <w:rPr>
          <w:rFonts w:hint="eastAsia" w:ascii="仿宋_GB2312" w:eastAsia="仿宋_GB2312"/>
          <w:i w:val="0"/>
          <w:iCs w:val="0"/>
          <w:sz w:val="32"/>
          <w:szCs w:val="32"/>
        </w:rPr>
        <w:fldChar w:fldCharType="begin"/>
      </w:r>
      <w:r>
        <w:rPr>
          <w:rFonts w:hint="eastAsia" w:ascii="仿宋_GB2312" w:eastAsia="仿宋_GB2312"/>
          <w:i w:val="0"/>
          <w:iCs w:val="0"/>
          <w:sz w:val="32"/>
          <w:szCs w:val="32"/>
        </w:rPr>
        <w:instrText xml:space="preserve"> HYPERLINK \l _Toc9479 </w:instrText>
      </w:r>
      <w:r>
        <w:rPr>
          <w:rFonts w:hint="eastAsia" w:ascii="仿宋_GB2312" w:eastAsia="仿宋_GB2312"/>
          <w:i w:val="0"/>
          <w:iCs w:val="0"/>
          <w:sz w:val="32"/>
          <w:szCs w:val="32"/>
        </w:rPr>
        <w:fldChar w:fldCharType="separate"/>
      </w:r>
      <w:r>
        <w:rPr>
          <w:rFonts w:hint="eastAsia" w:ascii="仿宋_GB2312" w:eastAsia="仿宋_GB2312"/>
          <w:i w:val="0"/>
          <w:iCs w:val="0"/>
          <w:sz w:val="32"/>
          <w:szCs w:val="32"/>
          <w:lang w:val="en-US"/>
        </w:rPr>
        <w:t>2.1雷电灾害风险区划流程</w:t>
      </w:r>
      <w:r>
        <w:rPr>
          <w:rFonts w:hint="eastAsia" w:ascii="仿宋_GB2312" w:eastAsia="仿宋_GB2312"/>
          <w:i w:val="0"/>
          <w:iCs w:val="0"/>
          <w:sz w:val="32"/>
          <w:szCs w:val="32"/>
        </w:rPr>
        <w:tab/>
      </w:r>
      <w:r>
        <w:rPr>
          <w:rFonts w:hint="eastAsia" w:ascii="仿宋_GB2312" w:eastAsia="仿宋_GB2312"/>
          <w:i w:val="0"/>
          <w:iCs w:val="0"/>
          <w:sz w:val="32"/>
          <w:szCs w:val="32"/>
        </w:rPr>
        <w:fldChar w:fldCharType="begin"/>
      </w:r>
      <w:r>
        <w:rPr>
          <w:rFonts w:hint="eastAsia" w:ascii="仿宋_GB2312" w:eastAsia="仿宋_GB2312"/>
          <w:i w:val="0"/>
          <w:iCs w:val="0"/>
          <w:sz w:val="32"/>
          <w:szCs w:val="32"/>
        </w:rPr>
        <w:instrText xml:space="preserve"> PAGEREF _Toc9479 </w:instrText>
      </w:r>
      <w:r>
        <w:rPr>
          <w:rFonts w:hint="eastAsia" w:ascii="仿宋_GB2312" w:eastAsia="仿宋_GB2312"/>
          <w:i w:val="0"/>
          <w:iCs w:val="0"/>
          <w:sz w:val="32"/>
          <w:szCs w:val="32"/>
        </w:rPr>
        <w:fldChar w:fldCharType="separate"/>
      </w:r>
      <w:r>
        <w:rPr>
          <w:rFonts w:ascii="仿宋_GB2312" w:eastAsia="仿宋_GB2312"/>
          <w:i w:val="0"/>
          <w:iCs w:val="0"/>
          <w:sz w:val="32"/>
          <w:szCs w:val="32"/>
        </w:rPr>
        <w:t>3</w:t>
      </w:r>
      <w:r>
        <w:rPr>
          <w:rFonts w:hint="eastAsia" w:ascii="仿宋_GB2312" w:eastAsia="仿宋_GB2312"/>
          <w:i w:val="0"/>
          <w:iCs w:val="0"/>
          <w:sz w:val="32"/>
          <w:szCs w:val="32"/>
        </w:rPr>
        <w:fldChar w:fldCharType="end"/>
      </w:r>
      <w:r>
        <w:rPr>
          <w:rFonts w:hint="eastAsia" w:ascii="仿宋_GB2312" w:eastAsia="仿宋_GB2312"/>
          <w:i w:val="0"/>
          <w:iCs w:val="0"/>
          <w:sz w:val="32"/>
          <w:szCs w:val="32"/>
        </w:rPr>
        <w:fldChar w:fldCharType="end"/>
      </w:r>
    </w:p>
    <w:p>
      <w:pPr>
        <w:pStyle w:val="4"/>
        <w:tabs>
          <w:tab w:val="right" w:leader="dot" w:pos="8306"/>
        </w:tabs>
        <w:ind w:firstLine="198" w:firstLineChars="62"/>
        <w:rPr>
          <w:rFonts w:hint="eastAsia" w:ascii="仿宋_GB2312" w:eastAsia="仿宋_GB2312"/>
          <w:i w:val="0"/>
          <w:iCs w:val="0"/>
          <w:sz w:val="32"/>
          <w:szCs w:val="32"/>
        </w:rPr>
      </w:pPr>
      <w:r>
        <w:rPr>
          <w:rFonts w:hint="eastAsia" w:ascii="仿宋_GB2312" w:eastAsia="仿宋_GB2312"/>
          <w:i w:val="0"/>
          <w:iCs w:val="0"/>
          <w:sz w:val="32"/>
          <w:szCs w:val="32"/>
        </w:rPr>
        <w:fldChar w:fldCharType="begin"/>
      </w:r>
      <w:r>
        <w:rPr>
          <w:rFonts w:hint="eastAsia" w:ascii="仿宋_GB2312" w:eastAsia="仿宋_GB2312"/>
          <w:i w:val="0"/>
          <w:iCs w:val="0"/>
          <w:sz w:val="32"/>
          <w:szCs w:val="32"/>
        </w:rPr>
        <w:instrText xml:space="preserve"> HYPERLINK \l _Toc21614 </w:instrText>
      </w:r>
      <w:r>
        <w:rPr>
          <w:rFonts w:hint="eastAsia" w:ascii="仿宋_GB2312" w:eastAsia="仿宋_GB2312"/>
          <w:i w:val="0"/>
          <w:iCs w:val="0"/>
          <w:sz w:val="32"/>
          <w:szCs w:val="32"/>
        </w:rPr>
        <w:fldChar w:fldCharType="separate"/>
      </w:r>
      <w:r>
        <w:rPr>
          <w:rFonts w:hint="eastAsia" w:ascii="仿宋_GB2312" w:eastAsia="仿宋_GB2312"/>
          <w:i w:val="0"/>
          <w:iCs w:val="0"/>
          <w:sz w:val="32"/>
          <w:szCs w:val="32"/>
          <w:lang w:val="en-US"/>
        </w:rPr>
        <w:t>2.2雷电灾害风险区划模型</w:t>
      </w:r>
      <w:r>
        <w:rPr>
          <w:rFonts w:hint="eastAsia" w:ascii="仿宋_GB2312" w:eastAsia="仿宋_GB2312"/>
          <w:i w:val="0"/>
          <w:iCs w:val="0"/>
          <w:sz w:val="32"/>
          <w:szCs w:val="32"/>
        </w:rPr>
        <w:tab/>
      </w:r>
      <w:r>
        <w:rPr>
          <w:rFonts w:hint="eastAsia" w:ascii="仿宋_GB2312" w:eastAsia="仿宋_GB2312"/>
          <w:i w:val="0"/>
          <w:iCs w:val="0"/>
          <w:sz w:val="32"/>
          <w:szCs w:val="32"/>
        </w:rPr>
        <w:fldChar w:fldCharType="begin"/>
      </w:r>
      <w:r>
        <w:rPr>
          <w:rFonts w:hint="eastAsia" w:ascii="仿宋_GB2312" w:eastAsia="仿宋_GB2312"/>
          <w:i w:val="0"/>
          <w:iCs w:val="0"/>
          <w:sz w:val="32"/>
          <w:szCs w:val="32"/>
        </w:rPr>
        <w:instrText xml:space="preserve"> PAGEREF _Toc21614 </w:instrText>
      </w:r>
      <w:r>
        <w:rPr>
          <w:rFonts w:hint="eastAsia" w:ascii="仿宋_GB2312" w:eastAsia="仿宋_GB2312"/>
          <w:i w:val="0"/>
          <w:iCs w:val="0"/>
          <w:sz w:val="32"/>
          <w:szCs w:val="32"/>
        </w:rPr>
        <w:fldChar w:fldCharType="separate"/>
      </w:r>
      <w:r>
        <w:rPr>
          <w:rFonts w:ascii="仿宋_GB2312" w:eastAsia="仿宋_GB2312"/>
          <w:i w:val="0"/>
          <w:iCs w:val="0"/>
          <w:sz w:val="32"/>
          <w:szCs w:val="32"/>
        </w:rPr>
        <w:t>4</w:t>
      </w:r>
      <w:r>
        <w:rPr>
          <w:rFonts w:hint="eastAsia" w:ascii="仿宋_GB2312" w:eastAsia="仿宋_GB2312"/>
          <w:i w:val="0"/>
          <w:iCs w:val="0"/>
          <w:sz w:val="32"/>
          <w:szCs w:val="32"/>
        </w:rPr>
        <w:fldChar w:fldCharType="end"/>
      </w:r>
      <w:r>
        <w:rPr>
          <w:rFonts w:hint="eastAsia" w:ascii="仿宋_GB2312" w:eastAsia="仿宋_GB2312"/>
          <w:i w:val="0"/>
          <w:iCs w:val="0"/>
          <w:sz w:val="32"/>
          <w:szCs w:val="32"/>
        </w:rPr>
        <w:fldChar w:fldCharType="end"/>
      </w:r>
    </w:p>
    <w:p>
      <w:pPr>
        <w:pStyle w:val="4"/>
        <w:tabs>
          <w:tab w:val="right" w:leader="dot" w:pos="8306"/>
        </w:tabs>
        <w:ind w:firstLine="198" w:firstLineChars="62"/>
        <w:rPr>
          <w:rFonts w:hint="eastAsia" w:ascii="仿宋_GB2312" w:eastAsia="仿宋_GB2312"/>
          <w:i w:val="0"/>
          <w:iCs w:val="0"/>
          <w:sz w:val="32"/>
          <w:szCs w:val="32"/>
        </w:rPr>
      </w:pPr>
      <w:r>
        <w:rPr>
          <w:rFonts w:hint="eastAsia" w:ascii="仿宋_GB2312" w:eastAsia="仿宋_GB2312"/>
          <w:i w:val="0"/>
          <w:iCs w:val="0"/>
          <w:sz w:val="32"/>
          <w:szCs w:val="32"/>
        </w:rPr>
        <w:fldChar w:fldCharType="begin"/>
      </w:r>
      <w:r>
        <w:rPr>
          <w:rFonts w:hint="eastAsia" w:ascii="仿宋_GB2312" w:eastAsia="仿宋_GB2312"/>
          <w:i w:val="0"/>
          <w:iCs w:val="0"/>
          <w:sz w:val="32"/>
          <w:szCs w:val="32"/>
        </w:rPr>
        <w:instrText xml:space="preserve"> HYPERLINK \l _Toc14247 </w:instrText>
      </w:r>
      <w:r>
        <w:rPr>
          <w:rFonts w:hint="eastAsia" w:ascii="仿宋_GB2312" w:eastAsia="仿宋_GB2312"/>
          <w:i w:val="0"/>
          <w:iCs w:val="0"/>
          <w:sz w:val="32"/>
          <w:szCs w:val="32"/>
        </w:rPr>
        <w:fldChar w:fldCharType="separate"/>
      </w:r>
      <w:r>
        <w:rPr>
          <w:rFonts w:hint="eastAsia" w:ascii="仿宋_GB2312" w:eastAsia="仿宋_GB2312"/>
          <w:i w:val="0"/>
          <w:iCs w:val="0"/>
          <w:sz w:val="32"/>
          <w:szCs w:val="32"/>
          <w:lang w:val="en-US"/>
        </w:rPr>
        <w:t>2.3资料收集</w:t>
      </w:r>
      <w:r>
        <w:rPr>
          <w:rFonts w:hint="eastAsia" w:ascii="仿宋_GB2312" w:eastAsia="仿宋_GB2312"/>
          <w:i w:val="0"/>
          <w:iCs w:val="0"/>
          <w:sz w:val="32"/>
          <w:szCs w:val="32"/>
        </w:rPr>
        <w:tab/>
      </w:r>
      <w:r>
        <w:rPr>
          <w:rFonts w:hint="eastAsia" w:ascii="仿宋_GB2312" w:eastAsia="仿宋_GB2312"/>
          <w:i w:val="0"/>
          <w:iCs w:val="0"/>
          <w:sz w:val="32"/>
          <w:szCs w:val="32"/>
        </w:rPr>
        <w:fldChar w:fldCharType="begin"/>
      </w:r>
      <w:r>
        <w:rPr>
          <w:rFonts w:hint="eastAsia" w:ascii="仿宋_GB2312" w:eastAsia="仿宋_GB2312"/>
          <w:i w:val="0"/>
          <w:iCs w:val="0"/>
          <w:sz w:val="32"/>
          <w:szCs w:val="32"/>
        </w:rPr>
        <w:instrText xml:space="preserve"> PAGEREF _Toc14247 </w:instrText>
      </w:r>
      <w:r>
        <w:rPr>
          <w:rFonts w:hint="eastAsia" w:ascii="仿宋_GB2312" w:eastAsia="仿宋_GB2312"/>
          <w:i w:val="0"/>
          <w:iCs w:val="0"/>
          <w:sz w:val="32"/>
          <w:szCs w:val="32"/>
        </w:rPr>
        <w:fldChar w:fldCharType="separate"/>
      </w:r>
      <w:r>
        <w:rPr>
          <w:rFonts w:ascii="仿宋_GB2312" w:eastAsia="仿宋_GB2312"/>
          <w:i w:val="0"/>
          <w:iCs w:val="0"/>
          <w:sz w:val="32"/>
          <w:szCs w:val="32"/>
        </w:rPr>
        <w:t>5</w:t>
      </w:r>
      <w:r>
        <w:rPr>
          <w:rFonts w:hint="eastAsia" w:ascii="仿宋_GB2312" w:eastAsia="仿宋_GB2312"/>
          <w:i w:val="0"/>
          <w:iCs w:val="0"/>
          <w:sz w:val="32"/>
          <w:szCs w:val="32"/>
        </w:rPr>
        <w:fldChar w:fldCharType="end"/>
      </w:r>
      <w:r>
        <w:rPr>
          <w:rFonts w:hint="eastAsia" w:ascii="仿宋_GB2312" w:eastAsia="仿宋_GB2312"/>
          <w:i w:val="0"/>
          <w:iCs w:val="0"/>
          <w:sz w:val="32"/>
          <w:szCs w:val="32"/>
        </w:rPr>
        <w:fldChar w:fldCharType="end"/>
      </w:r>
    </w:p>
    <w:p>
      <w:pPr>
        <w:pStyle w:val="7"/>
        <w:tabs>
          <w:tab w:val="right" w:leader="dot" w:pos="8306"/>
        </w:tabs>
        <w:ind w:firstLine="198" w:firstLineChars="62"/>
        <w:rPr>
          <w:rFonts w:hint="eastAsia" w:ascii="仿宋_GB2312" w:eastAsia="仿宋_GB2312"/>
          <w:b w:val="0"/>
          <w:bCs w:val="0"/>
          <w:sz w:val="32"/>
          <w:szCs w:val="32"/>
        </w:rPr>
      </w:pPr>
      <w:r>
        <w:rPr>
          <w:rFonts w:hint="eastAsia" w:ascii="仿宋_GB2312" w:eastAsia="仿宋_GB2312"/>
          <w:b w:val="0"/>
          <w:bCs w:val="0"/>
          <w:sz w:val="32"/>
          <w:szCs w:val="32"/>
        </w:rPr>
        <w:fldChar w:fldCharType="begin"/>
      </w:r>
      <w:r>
        <w:rPr>
          <w:rFonts w:hint="eastAsia" w:ascii="仿宋_GB2312" w:eastAsia="仿宋_GB2312"/>
          <w:b w:val="0"/>
          <w:bCs w:val="0"/>
          <w:sz w:val="32"/>
          <w:szCs w:val="32"/>
        </w:rPr>
        <w:instrText xml:space="preserve"> HYPERLINK \l _Toc25118 </w:instrText>
      </w:r>
      <w:r>
        <w:rPr>
          <w:rFonts w:hint="eastAsia" w:ascii="仿宋_GB2312" w:eastAsia="仿宋_GB2312"/>
          <w:b w:val="0"/>
          <w:bCs w:val="0"/>
          <w:sz w:val="32"/>
          <w:szCs w:val="32"/>
        </w:rPr>
        <w:fldChar w:fldCharType="separate"/>
      </w:r>
      <w:r>
        <w:rPr>
          <w:rFonts w:hint="eastAsia" w:ascii="仿宋_GB2312" w:eastAsia="仿宋_GB2312"/>
          <w:b w:val="0"/>
          <w:bCs w:val="0"/>
          <w:sz w:val="32"/>
          <w:szCs w:val="32"/>
          <w:lang w:val="en-US"/>
        </w:rPr>
        <w:t>3</w:t>
      </w:r>
      <w:r>
        <w:rPr>
          <w:rFonts w:hint="eastAsia" w:ascii="仿宋_GB2312" w:eastAsia="仿宋_GB2312"/>
          <w:b w:val="0"/>
          <w:bCs w:val="0"/>
          <w:sz w:val="32"/>
          <w:szCs w:val="32"/>
        </w:rPr>
        <w:t>区划结果</w:t>
      </w:r>
      <w:r>
        <w:rPr>
          <w:rFonts w:hint="eastAsia" w:ascii="仿宋_GB2312" w:eastAsia="仿宋_GB2312"/>
          <w:b w:val="0"/>
          <w:bCs w:val="0"/>
          <w:sz w:val="32"/>
          <w:szCs w:val="32"/>
        </w:rPr>
        <w:tab/>
      </w:r>
      <w:r>
        <w:rPr>
          <w:rFonts w:hint="eastAsia" w:ascii="仿宋_GB2312" w:eastAsia="仿宋_GB2312"/>
          <w:b w:val="0"/>
          <w:bCs w:val="0"/>
          <w:sz w:val="32"/>
          <w:szCs w:val="32"/>
        </w:rPr>
        <w:fldChar w:fldCharType="begin"/>
      </w:r>
      <w:r>
        <w:rPr>
          <w:rFonts w:hint="eastAsia" w:ascii="仿宋_GB2312" w:eastAsia="仿宋_GB2312"/>
          <w:b w:val="0"/>
          <w:bCs w:val="0"/>
          <w:sz w:val="32"/>
          <w:szCs w:val="32"/>
        </w:rPr>
        <w:instrText xml:space="preserve"> PAGEREF _Toc25118 </w:instrText>
      </w:r>
      <w:r>
        <w:rPr>
          <w:rFonts w:hint="eastAsia" w:ascii="仿宋_GB2312" w:eastAsia="仿宋_GB2312"/>
          <w:b w:val="0"/>
          <w:bCs w:val="0"/>
          <w:sz w:val="32"/>
          <w:szCs w:val="32"/>
        </w:rPr>
        <w:fldChar w:fldCharType="separate"/>
      </w:r>
      <w:r>
        <w:rPr>
          <w:rFonts w:ascii="仿宋_GB2312" w:eastAsia="仿宋_GB2312"/>
          <w:b w:val="0"/>
          <w:bCs w:val="0"/>
          <w:sz w:val="32"/>
          <w:szCs w:val="32"/>
        </w:rPr>
        <w:t>7</w:t>
      </w:r>
      <w:r>
        <w:rPr>
          <w:rFonts w:hint="eastAsia" w:ascii="仿宋_GB2312" w:eastAsia="仿宋_GB2312"/>
          <w:b w:val="0"/>
          <w:bCs w:val="0"/>
          <w:sz w:val="32"/>
          <w:szCs w:val="32"/>
        </w:rPr>
        <w:fldChar w:fldCharType="end"/>
      </w:r>
      <w:r>
        <w:rPr>
          <w:rFonts w:hint="eastAsia" w:ascii="仿宋_GB2312" w:eastAsia="仿宋_GB2312"/>
          <w:b w:val="0"/>
          <w:bCs w:val="0"/>
          <w:sz w:val="32"/>
          <w:szCs w:val="32"/>
        </w:rPr>
        <w:fldChar w:fldCharType="end"/>
      </w:r>
    </w:p>
    <w:p>
      <w:pPr>
        <w:pStyle w:val="7"/>
        <w:tabs>
          <w:tab w:val="right" w:leader="dot" w:pos="8306"/>
        </w:tabs>
        <w:ind w:firstLine="0" w:firstLineChars="0"/>
        <w:rPr>
          <w:rFonts w:ascii="黑体" w:hAnsi="黑体" w:eastAsia="黑体"/>
          <w:b w:val="0"/>
          <w:bCs w:val="0"/>
          <w:snapToGrid w:val="0"/>
          <w:sz w:val="32"/>
          <w:szCs w:val="28"/>
        </w:rPr>
      </w:pPr>
      <w:r>
        <w:rPr>
          <w:rFonts w:ascii="黑体" w:hAnsi="黑体" w:eastAsia="黑体"/>
          <w:b w:val="0"/>
          <w:bCs w:val="0"/>
          <w:snapToGrid w:val="0"/>
          <w:sz w:val="32"/>
          <w:szCs w:val="28"/>
        </w:rPr>
        <w:fldChar w:fldCharType="begin"/>
      </w:r>
      <w:r>
        <w:rPr>
          <w:rFonts w:ascii="黑体" w:hAnsi="黑体" w:eastAsia="黑体"/>
          <w:b w:val="0"/>
          <w:bCs w:val="0"/>
          <w:snapToGrid w:val="0"/>
          <w:sz w:val="32"/>
          <w:szCs w:val="28"/>
        </w:rPr>
        <w:instrText xml:space="preserve"> HYPERLINK \l _Toc11523 </w:instrText>
      </w:r>
      <w:r>
        <w:rPr>
          <w:rFonts w:ascii="黑体" w:hAnsi="黑体" w:eastAsia="黑体"/>
          <w:b w:val="0"/>
          <w:bCs w:val="0"/>
          <w:snapToGrid w:val="0"/>
          <w:sz w:val="32"/>
          <w:szCs w:val="28"/>
        </w:rPr>
        <w:fldChar w:fldCharType="separate"/>
      </w:r>
      <w:r>
        <w:rPr>
          <w:rFonts w:hint="eastAsia" w:ascii="黑体" w:hAnsi="黑体" w:eastAsia="黑体"/>
          <w:b w:val="0"/>
          <w:bCs w:val="0"/>
          <w:snapToGrid w:val="0"/>
          <w:sz w:val="32"/>
          <w:szCs w:val="28"/>
        </w:rPr>
        <w:t>第二章 雷电灾害风险辨识与分级管控指南</w:t>
      </w:r>
      <w:r>
        <w:rPr>
          <w:rFonts w:ascii="黑体" w:hAnsi="黑体" w:eastAsia="黑体"/>
          <w:b w:val="0"/>
          <w:bCs w:val="0"/>
          <w:snapToGrid w:val="0"/>
          <w:sz w:val="32"/>
          <w:szCs w:val="28"/>
        </w:rPr>
        <w:tab/>
      </w:r>
      <w:r>
        <w:rPr>
          <w:rFonts w:ascii="黑体" w:hAnsi="黑体" w:eastAsia="黑体"/>
          <w:b w:val="0"/>
          <w:bCs w:val="0"/>
          <w:snapToGrid w:val="0"/>
          <w:sz w:val="32"/>
          <w:szCs w:val="28"/>
        </w:rPr>
        <w:fldChar w:fldCharType="begin"/>
      </w:r>
      <w:r>
        <w:rPr>
          <w:rFonts w:ascii="黑体" w:hAnsi="黑体" w:eastAsia="黑体"/>
          <w:b w:val="0"/>
          <w:bCs w:val="0"/>
          <w:snapToGrid w:val="0"/>
          <w:sz w:val="32"/>
          <w:szCs w:val="28"/>
        </w:rPr>
        <w:instrText xml:space="preserve"> PAGEREF _Toc11523 </w:instrText>
      </w:r>
      <w:r>
        <w:rPr>
          <w:rFonts w:ascii="黑体" w:hAnsi="黑体" w:eastAsia="黑体"/>
          <w:b w:val="0"/>
          <w:bCs w:val="0"/>
          <w:snapToGrid w:val="0"/>
          <w:sz w:val="32"/>
          <w:szCs w:val="28"/>
        </w:rPr>
        <w:fldChar w:fldCharType="separate"/>
      </w:r>
      <w:r>
        <w:rPr>
          <w:rFonts w:ascii="黑体" w:hAnsi="黑体" w:eastAsia="黑体"/>
          <w:b w:val="0"/>
          <w:bCs w:val="0"/>
          <w:snapToGrid w:val="0"/>
          <w:sz w:val="32"/>
          <w:szCs w:val="28"/>
        </w:rPr>
        <w:t>8</w:t>
      </w:r>
      <w:r>
        <w:rPr>
          <w:rFonts w:ascii="黑体" w:hAnsi="黑体" w:eastAsia="黑体"/>
          <w:b w:val="0"/>
          <w:bCs w:val="0"/>
          <w:snapToGrid w:val="0"/>
          <w:sz w:val="32"/>
          <w:szCs w:val="28"/>
        </w:rPr>
        <w:fldChar w:fldCharType="end"/>
      </w:r>
      <w:r>
        <w:rPr>
          <w:rFonts w:ascii="黑体" w:hAnsi="黑体" w:eastAsia="黑体"/>
          <w:b w:val="0"/>
          <w:bCs w:val="0"/>
          <w:snapToGrid w:val="0"/>
          <w:sz w:val="32"/>
          <w:szCs w:val="28"/>
        </w:rPr>
        <w:fldChar w:fldCharType="end"/>
      </w:r>
    </w:p>
    <w:p>
      <w:pPr>
        <w:pStyle w:val="7"/>
        <w:tabs>
          <w:tab w:val="right" w:leader="dot" w:pos="8306"/>
        </w:tabs>
        <w:ind w:firstLine="0" w:firstLineChars="0"/>
        <w:rPr>
          <w:rFonts w:ascii="黑体" w:hAnsi="黑体" w:eastAsia="黑体"/>
          <w:b w:val="0"/>
          <w:bCs w:val="0"/>
          <w:snapToGrid w:val="0"/>
          <w:sz w:val="32"/>
          <w:szCs w:val="28"/>
        </w:rPr>
      </w:pPr>
      <w:r>
        <w:rPr>
          <w:rFonts w:ascii="黑体" w:hAnsi="黑体" w:eastAsia="黑体"/>
          <w:b w:val="0"/>
          <w:bCs w:val="0"/>
          <w:snapToGrid w:val="0"/>
          <w:sz w:val="32"/>
          <w:szCs w:val="28"/>
        </w:rPr>
        <w:fldChar w:fldCharType="begin"/>
      </w:r>
      <w:r>
        <w:rPr>
          <w:rFonts w:ascii="黑体" w:hAnsi="黑体" w:eastAsia="黑体"/>
          <w:b w:val="0"/>
          <w:bCs w:val="0"/>
          <w:snapToGrid w:val="0"/>
          <w:sz w:val="32"/>
          <w:szCs w:val="28"/>
        </w:rPr>
        <w:instrText xml:space="preserve"> HYPERLINK \l _Toc22886 </w:instrText>
      </w:r>
      <w:r>
        <w:rPr>
          <w:rFonts w:ascii="黑体" w:hAnsi="黑体" w:eastAsia="黑体"/>
          <w:b w:val="0"/>
          <w:bCs w:val="0"/>
          <w:snapToGrid w:val="0"/>
          <w:sz w:val="32"/>
          <w:szCs w:val="28"/>
        </w:rPr>
        <w:fldChar w:fldCharType="separate"/>
      </w:r>
      <w:r>
        <w:rPr>
          <w:rFonts w:hint="eastAsia" w:ascii="黑体" w:hAnsi="黑体" w:eastAsia="黑体"/>
          <w:b w:val="0"/>
          <w:bCs w:val="0"/>
          <w:snapToGrid w:val="0"/>
          <w:sz w:val="32"/>
          <w:szCs w:val="28"/>
        </w:rPr>
        <w:t>第三章 易燃易爆场所雷电灾害风险辨识与防范指南</w:t>
      </w:r>
      <w:r>
        <w:rPr>
          <w:rFonts w:ascii="黑体" w:hAnsi="黑体" w:eastAsia="黑体"/>
          <w:b w:val="0"/>
          <w:bCs w:val="0"/>
          <w:snapToGrid w:val="0"/>
          <w:sz w:val="32"/>
          <w:szCs w:val="28"/>
        </w:rPr>
        <w:tab/>
      </w:r>
      <w:r>
        <w:rPr>
          <w:rFonts w:ascii="黑体" w:hAnsi="黑体" w:eastAsia="黑体"/>
          <w:b w:val="0"/>
          <w:bCs w:val="0"/>
          <w:snapToGrid w:val="0"/>
          <w:sz w:val="32"/>
          <w:szCs w:val="28"/>
        </w:rPr>
        <w:fldChar w:fldCharType="begin"/>
      </w:r>
      <w:r>
        <w:rPr>
          <w:rFonts w:ascii="黑体" w:hAnsi="黑体" w:eastAsia="黑体"/>
          <w:b w:val="0"/>
          <w:bCs w:val="0"/>
          <w:snapToGrid w:val="0"/>
          <w:sz w:val="32"/>
          <w:szCs w:val="28"/>
        </w:rPr>
        <w:instrText xml:space="preserve"> PAGEREF _Toc22886 </w:instrText>
      </w:r>
      <w:r>
        <w:rPr>
          <w:rFonts w:ascii="黑体" w:hAnsi="黑体" w:eastAsia="黑体"/>
          <w:b w:val="0"/>
          <w:bCs w:val="0"/>
          <w:snapToGrid w:val="0"/>
          <w:sz w:val="32"/>
          <w:szCs w:val="28"/>
        </w:rPr>
        <w:fldChar w:fldCharType="separate"/>
      </w:r>
      <w:r>
        <w:rPr>
          <w:rFonts w:ascii="黑体" w:hAnsi="黑体" w:eastAsia="黑体"/>
          <w:b w:val="0"/>
          <w:bCs w:val="0"/>
          <w:snapToGrid w:val="0"/>
          <w:sz w:val="32"/>
          <w:szCs w:val="28"/>
        </w:rPr>
        <w:t>35</w:t>
      </w:r>
      <w:r>
        <w:rPr>
          <w:rFonts w:ascii="黑体" w:hAnsi="黑体" w:eastAsia="黑体"/>
          <w:b w:val="0"/>
          <w:bCs w:val="0"/>
          <w:snapToGrid w:val="0"/>
          <w:sz w:val="32"/>
          <w:szCs w:val="28"/>
        </w:rPr>
        <w:fldChar w:fldCharType="end"/>
      </w:r>
      <w:r>
        <w:rPr>
          <w:rFonts w:ascii="黑体" w:hAnsi="黑体" w:eastAsia="黑体"/>
          <w:b w:val="0"/>
          <w:bCs w:val="0"/>
          <w:snapToGrid w:val="0"/>
          <w:sz w:val="32"/>
          <w:szCs w:val="28"/>
        </w:rPr>
        <w:fldChar w:fldCharType="end"/>
      </w:r>
    </w:p>
    <w:p>
      <w:pPr>
        <w:ind w:firstLine="480"/>
      </w:pPr>
      <w:r>
        <w:fldChar w:fldCharType="end"/>
      </w:r>
    </w:p>
    <w:p>
      <w:pPr>
        <w:spacing w:line="1400" w:lineRule="exact"/>
        <w:ind w:firstLine="1486"/>
        <w:rPr>
          <w:rStyle w:val="12"/>
          <w:rFonts w:hint="eastAsia" w:ascii="黑体" w:hAnsi="黑体" w:eastAsia="黑体" w:cs="黑体"/>
          <w:sz w:val="72"/>
          <w:szCs w:val="72"/>
          <w:lang w:val="en-US"/>
        </w:rPr>
        <w:sectPr>
          <w:footerReference r:id="rId9" w:type="default"/>
          <w:pgSz w:w="11906" w:h="16838"/>
          <w:pgMar w:top="1440" w:right="1800" w:bottom="1440" w:left="1800" w:header="851" w:footer="992" w:gutter="0"/>
          <w:pgNumType w:start="1"/>
          <w:cols w:space="720" w:num="1"/>
          <w:docGrid w:type="lines" w:linePitch="312" w:charSpace="0"/>
        </w:sectPr>
      </w:pPr>
    </w:p>
    <w:p>
      <w:pPr>
        <w:pStyle w:val="2"/>
        <w:spacing w:line="580" w:lineRule="exact"/>
        <w:ind w:firstLine="198" w:firstLineChars="62"/>
        <w:contextualSpacing/>
        <w:jc w:val="center"/>
        <w:rPr>
          <w:rFonts w:ascii="黑体" w:hAnsi="黑体" w:eastAsia="黑体"/>
          <w:b w:val="0"/>
          <w:bCs/>
          <w:snapToGrid w:val="0"/>
          <w:kern w:val="0"/>
          <w:sz w:val="32"/>
          <w:szCs w:val="32"/>
        </w:rPr>
      </w:pPr>
      <w:bookmarkStart w:id="0" w:name="_Toc42094763"/>
      <w:bookmarkStart w:id="1" w:name="_Toc42094814"/>
      <w:bookmarkStart w:id="2" w:name="_Toc14829"/>
      <w:r>
        <w:rPr>
          <w:rFonts w:hint="eastAsia" w:ascii="黑体" w:hAnsi="黑体" w:eastAsia="黑体"/>
          <w:b w:val="0"/>
          <w:bCs/>
          <w:snapToGrid w:val="0"/>
          <w:kern w:val="0"/>
          <w:sz w:val="32"/>
          <w:szCs w:val="32"/>
        </w:rPr>
        <w:t>第一章</w:t>
      </w:r>
      <w:r>
        <w:rPr>
          <w:rFonts w:hint="eastAsia" w:ascii="黑体" w:hAnsi="黑体" w:eastAsia="黑体"/>
          <w:b w:val="0"/>
          <w:bCs/>
          <w:snapToGrid w:val="0"/>
          <w:kern w:val="0"/>
          <w:sz w:val="32"/>
          <w:szCs w:val="32"/>
          <w:lang w:val="en-US"/>
        </w:rPr>
        <w:t xml:space="preserve"> </w:t>
      </w:r>
      <w:r>
        <w:rPr>
          <w:rFonts w:hint="eastAsia" w:ascii="黑体" w:hAnsi="黑体" w:eastAsia="黑体"/>
          <w:b w:val="0"/>
          <w:bCs/>
          <w:snapToGrid w:val="0"/>
          <w:kern w:val="0"/>
          <w:sz w:val="32"/>
          <w:szCs w:val="32"/>
        </w:rPr>
        <w:t>河北省</w:t>
      </w:r>
      <w:r>
        <w:rPr>
          <w:rFonts w:ascii="黑体" w:hAnsi="黑体" w:eastAsia="黑体"/>
          <w:b w:val="0"/>
          <w:bCs/>
          <w:snapToGrid w:val="0"/>
          <w:kern w:val="0"/>
          <w:sz w:val="32"/>
          <w:szCs w:val="32"/>
        </w:rPr>
        <w:fldChar w:fldCharType="begin"/>
      </w:r>
      <w:r>
        <w:rPr>
          <w:rFonts w:ascii="黑体" w:hAnsi="黑体" w:eastAsia="黑体"/>
          <w:b w:val="0"/>
          <w:bCs/>
          <w:snapToGrid w:val="0"/>
          <w:kern w:val="0"/>
          <w:sz w:val="32"/>
          <w:szCs w:val="32"/>
        </w:rPr>
        <w:instrText xml:space="preserve">ADDIN CNKISM.UserStyle</w:instrText>
      </w:r>
      <w:r>
        <w:rPr>
          <w:rFonts w:ascii="黑体" w:hAnsi="黑体" w:eastAsia="黑体"/>
          <w:b w:val="0"/>
          <w:bCs/>
          <w:snapToGrid w:val="0"/>
          <w:kern w:val="0"/>
          <w:sz w:val="32"/>
          <w:szCs w:val="32"/>
        </w:rPr>
        <w:fldChar w:fldCharType="end"/>
      </w:r>
      <w:r>
        <w:rPr>
          <w:rFonts w:hint="eastAsia" w:ascii="黑体" w:hAnsi="黑体" w:eastAsia="黑体"/>
          <w:b w:val="0"/>
          <w:bCs/>
          <w:snapToGrid w:val="0"/>
          <w:kern w:val="0"/>
          <w:sz w:val="32"/>
          <w:szCs w:val="32"/>
        </w:rPr>
        <w:t>雷电灾害风险区划</w:t>
      </w:r>
      <w:bookmarkEnd w:id="0"/>
      <w:bookmarkEnd w:id="1"/>
      <w:bookmarkEnd w:id="2"/>
    </w:p>
    <w:p>
      <w:pPr>
        <w:pStyle w:val="8"/>
        <w:spacing w:line="580" w:lineRule="exact"/>
        <w:ind w:firstLine="643"/>
        <w:contextualSpacing/>
        <w:rPr>
          <w:rFonts w:hint="eastAsia" w:ascii="仿宋_GB2312" w:eastAsia="仿宋_GB2312"/>
          <w:sz w:val="32"/>
          <w:lang w:val="en-US"/>
        </w:rPr>
      </w:pPr>
      <w:bookmarkStart w:id="3" w:name="_Toc16285"/>
      <w:bookmarkStart w:id="4" w:name="_Toc42094764"/>
      <w:bookmarkStart w:id="5" w:name="_Toc42094815"/>
      <w:r>
        <w:rPr>
          <w:rFonts w:hint="eastAsia" w:ascii="仿宋_GB2312" w:eastAsia="仿宋_GB2312"/>
          <w:sz w:val="32"/>
        </w:rPr>
        <w:t>1 术语和定义</w:t>
      </w:r>
      <w:bookmarkEnd w:id="3"/>
      <w:bookmarkEnd w:id="4"/>
      <w:bookmarkEnd w:id="5"/>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 xml:space="preserve">（1）雷电灾害风险  </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雷电灾害发生的可能性及其可能损失。</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（2）致灾因子</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可能造成人员伤亡、财产损失、资源与环境破坏、社会系统混乱等的异变因子。</w:t>
      </w:r>
    </w:p>
    <w:p>
      <w:pPr>
        <w:spacing w:line="580" w:lineRule="exact"/>
        <w:ind w:firstLine="640"/>
        <w:contextualSpacing/>
        <w:rPr>
          <w:rFonts w:hint="eastAsia" w:ascii="仿宋_GB2312" w:eastAsia="仿宋_GB2312"/>
          <w:sz w:val="32"/>
          <w:szCs w:val="32"/>
        </w:rPr>
      </w:pPr>
      <w:r>
        <w:rPr>
          <w:rFonts w:hint="eastAsia" w:ascii="仿宋_GB2312" w:eastAsia="仿宋_GB2312"/>
          <w:sz w:val="32"/>
          <w:szCs w:val="32"/>
          <w:lang w:val="en-US"/>
        </w:rPr>
        <w:t>（3）承灾体</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承受灾害的对象。</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（4）暴露度</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受雷电灾害影响的承灾体的数量和价值量。</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（5）脆弱性</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受到不利影响的倾向或趋势。</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 xml:space="preserve">（6）易损性 </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承灾体的易损程度，包含暴露度和脆弱性2方面。</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 xml:space="preserve">（7）雷电灾害风险指数 </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根据致灾因子危险性和承灾体易损性对雷电灾害风险进行评定的量化指标。</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（8）雷电灾害风险区划</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根据雷电灾害风险指数大小，对雷电灾害风险的空间范围进行区域划分。</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 xml:space="preserve">（9）闪电定位系统 </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利用多种闪电定位技术和方法，通过探测闪电放电过程中一些特定放电事件产生的电磁辐射信号来确定该事件发生的时间和位置，用来监测闪电时空演变和特征的设备系统。从构成上闪电定位系统一般由多个设在不同地理位置的探测子站(简称子站)、数据处理和系统监控中心(简称闪电定位中心站或中心站)、产品输出和显示系统以及配套的通信设施等组成。</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 xml:space="preserve">（10）地闪 </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发生在雷暴云体与大地和地物之间的闪电放电。</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（11）</w:t>
      </w:r>
      <w:r>
        <w:rPr>
          <w:rFonts w:hint="eastAsia" w:ascii="仿宋_GB2312" w:eastAsia="仿宋_GB2312"/>
          <w:sz w:val="32"/>
          <w:szCs w:val="32"/>
          <w:lang w:val="en-US" w:eastAsia="zh-CN"/>
        </w:rPr>
        <w:t>地</w:t>
      </w:r>
      <w:r>
        <w:rPr>
          <w:rFonts w:hint="eastAsia" w:ascii="仿宋_GB2312" w:eastAsia="仿宋_GB2312"/>
          <w:sz w:val="32"/>
          <w:szCs w:val="32"/>
          <w:lang w:val="en-US"/>
        </w:rPr>
        <w:t xml:space="preserve">闪密度 </w:t>
      </w:r>
    </w:p>
    <w:p>
      <w:pPr>
        <w:spacing w:line="580" w:lineRule="exact"/>
        <w:ind w:left="638" w:leftChars="266" w:firstLine="0" w:firstLineChars="0"/>
        <w:contextualSpacing/>
        <w:rPr>
          <w:rFonts w:hint="eastAsia" w:ascii="仿宋_GB2312" w:eastAsia="仿宋_GB2312"/>
          <w:sz w:val="32"/>
          <w:szCs w:val="32"/>
          <w:lang w:val="en-US"/>
        </w:rPr>
      </w:pPr>
      <w:r>
        <w:rPr>
          <w:rFonts w:hint="eastAsia" w:ascii="仿宋_GB2312" w:eastAsia="仿宋_GB2312"/>
          <w:sz w:val="32"/>
          <w:szCs w:val="32"/>
        </w:rPr>
        <w:t>单位面积上年平均地闪次数。单位为次每平方千米年。</w:t>
      </w:r>
      <w:r>
        <w:rPr>
          <w:rFonts w:hint="eastAsia" w:ascii="仿宋_GB2312" w:eastAsia="仿宋_GB2312"/>
          <w:sz w:val="32"/>
          <w:szCs w:val="32"/>
          <w:lang w:val="en-US"/>
        </w:rPr>
        <w:t>（12）地闪强度</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按百分位数法将地闪放电的雷电流幅值分级后加权平均得到的强度。单位为千安培(kA)。</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（13）生命损失指数</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单位面积上年平均雷电灾害次数与雷击造成人员伤亡数的加权平均指数。</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（14）经济损失指数</w:t>
      </w:r>
    </w:p>
    <w:p>
      <w:pPr>
        <w:spacing w:line="580" w:lineRule="exact"/>
        <w:ind w:firstLine="640"/>
        <w:contextualSpacing/>
        <w:rPr>
          <w:rFonts w:hint="eastAsia" w:ascii="仿宋_GB2312" w:eastAsia="仿宋_GB2312"/>
          <w:sz w:val="32"/>
          <w:szCs w:val="32"/>
        </w:rPr>
      </w:pPr>
      <w:r>
        <w:rPr>
          <w:rFonts w:hint="eastAsia" w:ascii="仿宋_GB2312" w:eastAsia="仿宋_GB2312"/>
          <w:sz w:val="32"/>
          <w:szCs w:val="32"/>
        </w:rPr>
        <w:t>单位面积上年平均雷电灾害次数与雷击造成直接经济损失的加权平均指数。</w:t>
      </w:r>
    </w:p>
    <w:p>
      <w:pPr>
        <w:pStyle w:val="8"/>
        <w:spacing w:line="580" w:lineRule="exact"/>
        <w:ind w:firstLine="643"/>
        <w:contextualSpacing/>
        <w:rPr>
          <w:rFonts w:hint="eastAsia" w:ascii="仿宋_GB2312" w:eastAsia="仿宋_GB2312"/>
          <w:sz w:val="32"/>
        </w:rPr>
      </w:pPr>
      <w:bookmarkStart w:id="6" w:name="_Toc42094765"/>
      <w:bookmarkStart w:id="7" w:name="_Toc42094816"/>
      <w:bookmarkStart w:id="8" w:name="_Toc6818"/>
      <w:r>
        <w:rPr>
          <w:rFonts w:hint="eastAsia" w:ascii="仿宋_GB2312" w:eastAsia="仿宋_GB2312"/>
          <w:sz w:val="32"/>
        </w:rPr>
        <w:t>2区划方法</w:t>
      </w:r>
      <w:bookmarkEnd w:id="6"/>
      <w:bookmarkEnd w:id="7"/>
      <w:bookmarkEnd w:id="8"/>
    </w:p>
    <w:p>
      <w:pPr>
        <w:pStyle w:val="3"/>
        <w:spacing w:before="0" w:after="0" w:line="580" w:lineRule="exact"/>
        <w:ind w:firstLine="643"/>
        <w:contextualSpacing/>
        <w:rPr>
          <w:rFonts w:hint="eastAsia" w:ascii="仿宋_GB2312" w:eastAsia="仿宋_GB2312"/>
          <w:lang w:val="en-US"/>
        </w:rPr>
      </w:pPr>
      <w:bookmarkStart w:id="9" w:name="_Toc42094817"/>
      <w:bookmarkStart w:id="10" w:name="_Toc9479"/>
      <w:r>
        <w:rPr>
          <w:rFonts w:hint="eastAsia" w:ascii="仿宋_GB2312" w:eastAsia="仿宋_GB2312"/>
          <w:lang w:val="en-US"/>
        </w:rPr>
        <w:t>2.1雷电灾害风险区划流程</w:t>
      </w:r>
      <w:bookmarkEnd w:id="9"/>
      <w:bookmarkEnd w:id="10"/>
    </w:p>
    <w:p>
      <w:pPr>
        <w:ind w:firstLine="480"/>
        <w:rPr>
          <w:rFonts w:hint="eastAsia" w:eastAsia="仿宋_GB2312"/>
          <w:lang w:val="en-US"/>
        </w:rPr>
      </w:pPr>
    </w:p>
    <w:p>
      <w:pPr>
        <w:widowControl/>
        <w:spacing w:line="240" w:lineRule="auto"/>
        <w:ind w:firstLine="42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910330" cy="3493135"/>
            <wp:effectExtent l="0" t="0" r="1397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910330" cy="3493135"/>
                    </a:xfrm>
                    <a:prstGeom prst="rect">
                      <a:avLst/>
                    </a:prstGeom>
                    <a:noFill/>
                    <a:ln>
                      <a:noFill/>
                    </a:ln>
                  </pic:spPr>
                </pic:pic>
              </a:graphicData>
            </a:graphic>
          </wp:inline>
        </w:drawing>
      </w:r>
    </w:p>
    <w:p>
      <w:pPr>
        <w:widowControl/>
        <w:spacing w:line="240" w:lineRule="auto"/>
        <w:ind w:firstLine="420"/>
        <w:jc w:val="center"/>
        <w:rPr>
          <w:rFonts w:hint="eastAsia" w:ascii="宋体" w:hAnsi="宋体" w:eastAsia="宋体" w:cs="宋体"/>
          <w:sz w:val="21"/>
          <w:szCs w:val="21"/>
        </w:rPr>
      </w:pPr>
    </w:p>
    <w:p>
      <w:pPr>
        <w:widowControl/>
        <w:spacing w:line="240" w:lineRule="auto"/>
        <w:ind w:firstLine="420"/>
        <w:jc w:val="center"/>
        <w:rPr>
          <w:rFonts w:hint="eastAsia" w:ascii="宋体" w:hAnsi="宋体" w:eastAsia="宋体" w:cs="宋体"/>
          <w:sz w:val="21"/>
          <w:szCs w:val="21"/>
        </w:rPr>
      </w:pPr>
      <w:r>
        <w:rPr>
          <w:rFonts w:hint="eastAsia" w:ascii="宋体" w:hAnsi="宋体" w:eastAsia="宋体" w:cs="宋体"/>
          <w:sz w:val="21"/>
          <w:szCs w:val="21"/>
        </w:rPr>
        <w:t>图1 雷电灾害风险区划流程</w:t>
      </w:r>
    </w:p>
    <w:p>
      <w:pPr>
        <w:pStyle w:val="3"/>
        <w:spacing w:before="0" w:after="0" w:line="580" w:lineRule="exact"/>
        <w:ind w:firstLine="643"/>
        <w:contextualSpacing/>
        <w:rPr>
          <w:rFonts w:hint="eastAsia" w:ascii="仿宋_GB2312" w:eastAsia="仿宋_GB2312"/>
          <w:lang w:val="en-US"/>
        </w:rPr>
      </w:pPr>
      <w:bookmarkStart w:id="11" w:name="_Toc21614"/>
      <w:bookmarkStart w:id="12" w:name="_Toc42094818"/>
    </w:p>
    <w:p>
      <w:pPr>
        <w:pStyle w:val="3"/>
        <w:spacing w:before="0" w:after="0" w:line="580" w:lineRule="exact"/>
        <w:ind w:firstLine="643"/>
        <w:contextualSpacing/>
        <w:rPr>
          <w:rFonts w:hint="eastAsia" w:ascii="仿宋_GB2312" w:eastAsia="仿宋_GB2312"/>
          <w:lang w:val="en-US"/>
        </w:rPr>
      </w:pPr>
      <w:r>
        <w:rPr>
          <w:rFonts w:hint="eastAsia" w:ascii="仿宋_GB2312" w:eastAsia="仿宋_GB2312"/>
          <w:lang w:val="en-US"/>
        </w:rPr>
        <w:t>2.2雷电灾害风险区划模型</w:t>
      </w:r>
      <w:bookmarkEnd w:id="11"/>
      <w:bookmarkEnd w:id="12"/>
    </w:p>
    <w:p>
      <w:pPr>
        <w:spacing w:line="580" w:lineRule="exact"/>
        <w:ind w:firstLine="640"/>
        <w:contextualSpacing/>
        <w:rPr>
          <w:rFonts w:hint="eastAsia" w:ascii="仿宋_GB2312" w:eastAsia="仿宋_GB2312"/>
          <w:sz w:val="32"/>
          <w:szCs w:val="32"/>
        </w:rPr>
      </w:pPr>
      <w:r>
        <w:rPr>
          <w:rFonts w:hint="eastAsia" w:ascii="仿宋_GB2312" w:eastAsia="仿宋_GB2312"/>
          <w:sz w:val="32"/>
          <w:szCs w:val="32"/>
        </w:rPr>
        <w:t>雷电灾害风险区划模型由雷电灾害风险指数计算和雷电灾害风险等级划分组成。雷电灾害风险指数计算包括致灾因子危险性分析和承灾体易损性分析。承灾体易损性分析包括承灾体暴露度分析和脆弱性分析</w:t>
      </w:r>
      <w:r>
        <w:rPr>
          <w:rFonts w:hint="eastAsia" w:ascii="Calibri" w:hAnsi="Calibri" w:eastAsia="仿宋_GB2312"/>
          <w:sz w:val="32"/>
          <w:szCs w:val="32"/>
          <w:lang w:val="en-US"/>
        </w:rPr>
        <w:t>（</w:t>
      </w:r>
      <w:r>
        <w:rPr>
          <w:rFonts w:hint="eastAsia" w:ascii="仿宋_GB2312" w:eastAsia="仿宋_GB2312"/>
          <w:sz w:val="32"/>
          <w:szCs w:val="32"/>
        </w:rPr>
        <w:t>区划模型见图2</w:t>
      </w:r>
      <w:r>
        <w:rPr>
          <w:rFonts w:hint="eastAsia" w:ascii="Calibri" w:hAnsi="Calibri" w:eastAsia="仿宋_GB2312"/>
          <w:sz w:val="32"/>
          <w:szCs w:val="32"/>
          <w:lang w:val="en-US"/>
        </w:rPr>
        <w:t>）</w:t>
      </w:r>
      <w:r>
        <w:rPr>
          <w:rFonts w:hint="eastAsia" w:ascii="仿宋_GB2312" w:eastAsia="仿宋_GB2312"/>
          <w:sz w:val="32"/>
          <w:szCs w:val="32"/>
        </w:rPr>
        <w:t>。</w:t>
      </w:r>
    </w:p>
    <w:p>
      <w:pPr>
        <w:widowControl/>
        <w:spacing w:line="240" w:lineRule="auto"/>
        <w:ind w:firstLine="420"/>
        <w:jc w:val="left"/>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7325" cy="329565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5267325" cy="3295650"/>
                    </a:xfrm>
                    <a:prstGeom prst="rect">
                      <a:avLst/>
                    </a:prstGeom>
                    <a:noFill/>
                    <a:ln>
                      <a:noFill/>
                    </a:ln>
                  </pic:spPr>
                </pic:pic>
              </a:graphicData>
            </a:graphic>
          </wp:inline>
        </w:drawing>
      </w:r>
    </w:p>
    <w:p>
      <w:pPr>
        <w:widowControl/>
        <w:spacing w:line="240" w:lineRule="auto"/>
        <w:ind w:firstLine="420"/>
        <w:jc w:val="center"/>
        <w:rPr>
          <w:rFonts w:hint="eastAsia" w:ascii="宋体" w:hAnsi="宋体" w:eastAsia="宋体" w:cs="宋体"/>
          <w:sz w:val="21"/>
          <w:szCs w:val="21"/>
        </w:rPr>
      </w:pPr>
      <w:r>
        <w:rPr>
          <w:rFonts w:hint="eastAsia" w:ascii="宋体" w:hAnsi="宋体" w:eastAsia="宋体" w:cs="宋体"/>
          <w:sz w:val="21"/>
          <w:szCs w:val="21"/>
        </w:rPr>
        <w:t>图2雷电灾害风险区划模型</w:t>
      </w:r>
    </w:p>
    <w:p>
      <w:pPr>
        <w:pStyle w:val="3"/>
        <w:spacing w:before="0" w:after="0" w:line="580" w:lineRule="exact"/>
        <w:ind w:firstLine="643"/>
        <w:contextualSpacing/>
        <w:rPr>
          <w:rFonts w:hint="eastAsia" w:ascii="仿宋_GB2312" w:eastAsia="仿宋_GB2312"/>
          <w:lang w:val="en-US"/>
        </w:rPr>
      </w:pPr>
      <w:bookmarkStart w:id="13" w:name="_Toc42094819"/>
      <w:bookmarkStart w:id="14" w:name="_Toc14247"/>
      <w:r>
        <w:rPr>
          <w:rFonts w:hint="eastAsia" w:ascii="仿宋_GB2312" w:eastAsia="仿宋_GB2312"/>
          <w:lang w:val="en-US"/>
        </w:rPr>
        <w:t>2.3资料收集</w:t>
      </w:r>
      <w:bookmarkEnd w:id="13"/>
      <w:bookmarkEnd w:id="14"/>
    </w:p>
    <w:p>
      <w:pPr>
        <w:pStyle w:val="3"/>
        <w:spacing w:before="0" w:after="0" w:line="580" w:lineRule="exact"/>
        <w:ind w:firstLine="640"/>
        <w:contextualSpacing/>
        <w:rPr>
          <w:rFonts w:hint="eastAsia" w:ascii="仿宋_GB2312" w:eastAsia="仿宋_GB2312"/>
          <w:b w:val="0"/>
          <w:lang w:val="en-US"/>
        </w:rPr>
      </w:pPr>
      <w:r>
        <w:rPr>
          <w:rFonts w:hint="eastAsia" w:ascii="仿宋_GB2312" w:eastAsia="仿宋_GB2312"/>
          <w:b w:val="0"/>
          <w:lang w:val="en-US"/>
        </w:rPr>
        <w:t>（1）闪电定位资料</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收集了河北省范围内2009年—2018年闪电定位系统资料即ADTD雷电探测网的地闪资料。包括闪电发生时间、经纬度、电流强度幅值、定位方式等参数。</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（2）社会经济资料</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以行政区划县级为单位，收集了河北省2016年各县土地面积、GDP、总人口（常住人口）。</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（3）灾情资料</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收集了河北省2015-2018年雷电灾害次数、伤亡人口和经济损失。河北省灾情资料386起，由于灾情资料较少且数据精确性不高等原因，本次区划灾情资料不参与区划计算。</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（4）行政区划资料</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收集了2015版国家1:25万行政区划图，行政区划到乡镇级，该资料不属于涉密数据。</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（5）数字高程模型</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rPr>
        <w:t>收集了水平精度为90m的河北省DEM数字高程模型数据。</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（6）土地利用数据</w:t>
      </w:r>
    </w:p>
    <w:p>
      <w:pPr>
        <w:spacing w:line="580" w:lineRule="exact"/>
        <w:ind w:firstLine="640"/>
        <w:contextualSpacing/>
        <w:rPr>
          <w:rFonts w:hint="eastAsia" w:ascii="仿宋_GB2312" w:eastAsia="仿宋_GB2312"/>
          <w:sz w:val="32"/>
          <w:szCs w:val="32"/>
        </w:rPr>
      </w:pPr>
      <w:r>
        <w:rPr>
          <w:rFonts w:hint="eastAsia" w:ascii="仿宋_GB2312" w:eastAsia="仿宋_GB2312"/>
          <w:sz w:val="32"/>
          <w:szCs w:val="32"/>
        </w:rPr>
        <w:t>2015年的1:100万土地利用数据（精度为300m）。</w:t>
      </w:r>
    </w:p>
    <w:p>
      <w:pPr>
        <w:spacing w:line="580" w:lineRule="exact"/>
        <w:ind w:firstLine="640"/>
        <w:contextualSpacing/>
        <w:rPr>
          <w:rFonts w:hint="eastAsia" w:ascii="仿宋_GB2312" w:eastAsia="仿宋_GB2312"/>
          <w:sz w:val="32"/>
          <w:szCs w:val="32"/>
          <w:lang w:val="en-US"/>
        </w:rPr>
      </w:pPr>
      <w:r>
        <w:rPr>
          <w:rFonts w:hint="eastAsia" w:ascii="仿宋_GB2312" w:eastAsia="仿宋_GB2312"/>
          <w:sz w:val="32"/>
          <w:szCs w:val="32"/>
          <w:lang w:val="en-US"/>
        </w:rPr>
        <w:t>（7）土壤电导率数据</w:t>
      </w:r>
    </w:p>
    <w:p>
      <w:pPr>
        <w:spacing w:line="580" w:lineRule="exact"/>
        <w:ind w:firstLine="640"/>
        <w:contextualSpacing/>
        <w:rPr>
          <w:rFonts w:hint="eastAsia" w:ascii="仿宋_GB2312" w:eastAsia="仿宋_GB2312"/>
          <w:sz w:val="32"/>
          <w:szCs w:val="32"/>
        </w:rPr>
      </w:pPr>
      <w:r>
        <w:rPr>
          <w:rFonts w:hint="eastAsia" w:ascii="仿宋_GB2312" w:eastAsia="仿宋_GB2312"/>
          <w:sz w:val="32"/>
          <w:szCs w:val="32"/>
        </w:rPr>
        <w:t>2010年的1:100万土壤电导率数据（精度为1km）。</w:t>
      </w:r>
    </w:p>
    <w:p>
      <w:pPr>
        <w:spacing w:line="240" w:lineRule="auto"/>
        <w:ind w:firstLine="420"/>
        <w:rPr>
          <w:rFonts w:hint="eastAsia" w:ascii="宋体" w:hAnsi="宋体" w:eastAsia="宋体" w:cs="宋体"/>
          <w:bCs/>
          <w:snapToGrid w:val="0"/>
          <w:sz w:val="21"/>
          <w:szCs w:val="21"/>
        </w:rPr>
      </w:pPr>
    </w:p>
    <w:p>
      <w:pPr>
        <w:spacing w:line="240" w:lineRule="auto"/>
        <w:ind w:firstLine="420"/>
        <w:rPr>
          <w:rFonts w:hint="eastAsia" w:ascii="宋体" w:hAnsi="宋体" w:eastAsia="宋体" w:cs="宋体"/>
          <w:bCs/>
          <w:snapToGrid w:val="0"/>
          <w:sz w:val="21"/>
          <w:szCs w:val="21"/>
        </w:rPr>
        <w:sectPr>
          <w:pgSz w:w="11906" w:h="16838"/>
          <w:pgMar w:top="1440" w:right="1800" w:bottom="1440" w:left="1800" w:header="851" w:footer="992" w:gutter="0"/>
          <w:cols w:space="720" w:num="1"/>
          <w:docGrid w:type="lines" w:linePitch="312" w:charSpace="0"/>
        </w:sectPr>
      </w:pPr>
    </w:p>
    <w:p>
      <w:pPr>
        <w:pStyle w:val="8"/>
        <w:ind w:firstLine="643"/>
        <w:rPr>
          <w:rFonts w:hint="eastAsia" w:ascii="仿宋_GB2312" w:eastAsia="仿宋_GB2312"/>
          <w:sz w:val="32"/>
        </w:rPr>
      </w:pPr>
      <w:bookmarkStart w:id="15" w:name="_Toc25118"/>
      <w:bookmarkStart w:id="16" w:name="_Toc42094821"/>
      <w:bookmarkStart w:id="17" w:name="_Toc42094766"/>
      <w:r>
        <w:rPr>
          <w:rFonts w:hint="eastAsia" w:ascii="仿宋_GB2312" w:eastAsia="仿宋_GB2312"/>
          <w:sz w:val="32"/>
          <w:lang w:val="en-US"/>
        </w:rPr>
        <w:t>3</w:t>
      </w:r>
      <w:r>
        <w:rPr>
          <w:rFonts w:hint="eastAsia" w:ascii="仿宋_GB2312" w:eastAsia="仿宋_GB2312"/>
          <w:sz w:val="32"/>
        </w:rPr>
        <w:t>区划结果</w:t>
      </w:r>
      <w:bookmarkEnd w:id="15"/>
      <w:bookmarkEnd w:id="16"/>
      <w:bookmarkEnd w:id="17"/>
    </w:p>
    <w:p>
      <w:pPr>
        <w:spacing w:line="240" w:lineRule="auto"/>
        <w:ind w:right="595" w:firstLine="422"/>
        <w:jc w:val="center"/>
        <w:rPr>
          <w:rFonts w:hint="eastAsia" w:ascii="宋体" w:hAnsi="宋体" w:eastAsia="宋体" w:cs="宋体"/>
          <w:b/>
          <w:bCs/>
          <w:snapToGrid w:val="0"/>
          <w:sz w:val="21"/>
          <w:szCs w:val="21"/>
          <w:lang w:val="en-US"/>
        </w:rPr>
      </w:pPr>
      <w:bookmarkStart w:id="18" w:name="_Toc42094824"/>
      <w:bookmarkStart w:id="19" w:name="_Toc19674"/>
      <w:r>
        <w:rPr>
          <w:rFonts w:hint="eastAsia" w:ascii="宋体" w:hAnsi="宋体" w:eastAsia="宋体" w:cs="宋体"/>
          <w:b/>
          <w:bCs/>
          <w:snapToGrid w:val="0"/>
          <w:sz w:val="21"/>
          <w:szCs w:val="21"/>
          <w:lang w:val="en-US"/>
        </w:rPr>
        <w:t>河北省雷电灾害风险区划</w:t>
      </w:r>
      <w:bookmarkEnd w:id="18"/>
      <w:bookmarkEnd w:id="19"/>
    </w:p>
    <w:p>
      <w:pPr>
        <w:widowControl/>
        <w:ind w:firstLine="562"/>
        <w:rPr>
          <w:rFonts w:hint="eastAsia" w:ascii="仿宋_GB2312" w:hAnsi="宋体" w:eastAsia="仿宋_GB2312"/>
          <w:b/>
          <w:bCs/>
          <w:snapToGrid w:val="0"/>
          <w:sz w:val="28"/>
          <w:szCs w:val="28"/>
        </w:rPr>
      </w:pPr>
      <w:r>
        <w:rPr>
          <w:rFonts w:hint="eastAsia" w:ascii="仿宋_GB2312" w:hAnsi="宋体" w:eastAsia="仿宋_GB2312"/>
          <w:b/>
          <w:bCs/>
          <w:snapToGrid w:val="0"/>
          <w:sz w:val="28"/>
          <w:szCs w:val="28"/>
        </w:rPr>
        <w:drawing>
          <wp:inline distT="0" distB="0" distL="114300" distR="114300">
            <wp:extent cx="5269230" cy="7649210"/>
            <wp:effectExtent l="0" t="0" r="7620" b="8890"/>
            <wp:docPr id="3" name="图片 3" descr="河北省雷电灾害风险区划图2020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北省雷电灾害风险区划图20200813"/>
                    <pic:cNvPicPr>
                      <a:picLocks noChangeAspect="1"/>
                    </pic:cNvPicPr>
                  </pic:nvPicPr>
                  <pic:blipFill>
                    <a:blip r:embed="rId13"/>
                    <a:stretch>
                      <a:fillRect/>
                    </a:stretch>
                  </pic:blipFill>
                  <pic:spPr>
                    <a:xfrm>
                      <a:off x="0" y="0"/>
                      <a:ext cx="5269230" cy="7649210"/>
                    </a:xfrm>
                    <a:prstGeom prst="rect">
                      <a:avLst/>
                    </a:prstGeom>
                    <a:noFill/>
                    <a:ln>
                      <a:noFill/>
                    </a:ln>
                  </pic:spPr>
                </pic:pic>
              </a:graphicData>
            </a:graphic>
          </wp:inline>
        </w:drawing>
      </w:r>
    </w:p>
    <w:p>
      <w:pPr>
        <w:spacing w:line="240" w:lineRule="auto"/>
        <w:ind w:right="595" w:firstLine="422"/>
        <w:jc w:val="center"/>
        <w:rPr>
          <w:rFonts w:hint="eastAsia" w:ascii="宋体" w:hAnsi="宋体" w:eastAsia="宋体" w:cs="宋体"/>
          <w:b/>
          <w:bCs/>
          <w:snapToGrid w:val="0"/>
          <w:sz w:val="21"/>
          <w:szCs w:val="21"/>
        </w:rPr>
        <w:sectPr>
          <w:pgSz w:w="11906" w:h="16838"/>
          <w:pgMar w:top="1440" w:right="1800" w:bottom="1440" w:left="1800" w:header="851" w:footer="992" w:gutter="0"/>
          <w:cols w:space="720" w:num="1"/>
          <w:docGrid w:type="lines" w:linePitch="312" w:charSpace="0"/>
        </w:sectPr>
      </w:pPr>
    </w:p>
    <w:p>
      <w:pPr>
        <w:pStyle w:val="2"/>
        <w:ind w:firstLine="198" w:firstLineChars="62"/>
        <w:jc w:val="center"/>
        <w:rPr>
          <w:rFonts w:hint="eastAsia" w:ascii="黑体" w:hAnsi="黑体" w:eastAsia="黑体"/>
          <w:b w:val="0"/>
          <w:snapToGrid w:val="0"/>
          <w:kern w:val="0"/>
          <w:sz w:val="32"/>
          <w:szCs w:val="32"/>
        </w:rPr>
      </w:pPr>
      <w:bookmarkStart w:id="20" w:name="_Toc42094767"/>
      <w:bookmarkStart w:id="21" w:name="_Toc11523"/>
      <w:bookmarkStart w:id="22" w:name="_Toc42094825"/>
      <w:r>
        <w:rPr>
          <w:rFonts w:hint="eastAsia" w:ascii="黑体" w:hAnsi="黑体" w:eastAsia="黑体"/>
          <w:b w:val="0"/>
          <w:bCs/>
          <w:snapToGrid w:val="0"/>
          <w:kern w:val="0"/>
          <w:sz w:val="32"/>
          <w:szCs w:val="32"/>
        </w:rPr>
        <w:t>第二章 雷电灾害风险辨识与分级管控指南</w:t>
      </w:r>
      <w:bookmarkEnd w:id="20"/>
      <w:bookmarkEnd w:id="21"/>
      <w:bookmarkEnd w:id="22"/>
    </w:p>
    <w:tbl>
      <w:tblPr>
        <w:tblStyle w:val="9"/>
        <w:tblW w:w="14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64"/>
        <w:gridCol w:w="1406"/>
        <w:gridCol w:w="1974"/>
        <w:gridCol w:w="1418"/>
        <w:gridCol w:w="1078"/>
        <w:gridCol w:w="4575"/>
        <w:gridCol w:w="2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rPr>
              <w:t>序号</w:t>
            </w:r>
          </w:p>
        </w:tc>
        <w:tc>
          <w:tcPr>
            <w:tcW w:w="764" w:type="dxa"/>
            <w:noWrap w:val="0"/>
            <w:vAlign w:val="center"/>
          </w:tcPr>
          <w:p>
            <w:pPr>
              <w:pStyle w:val="13"/>
              <w:shd w:val="clear" w:color="auto" w:fill="auto"/>
              <w:spacing w:before="0" w:line="240" w:lineRule="auto"/>
              <w:ind w:firstLine="0" w:firstLineChars="0"/>
              <w:jc w:val="left"/>
              <w:rPr>
                <w:rStyle w:val="12"/>
                <w:rFonts w:ascii="宋体" w:hAnsi="宋体" w:eastAsia="宋体" w:cs="宋体"/>
                <w:sz w:val="21"/>
                <w:szCs w:val="21"/>
                <w:lang w:val="en-US"/>
              </w:rPr>
            </w:pPr>
            <w:r>
              <w:rPr>
                <w:rStyle w:val="12"/>
                <w:rFonts w:hint="eastAsia" w:ascii="宋体" w:hAnsi="宋体" w:eastAsia="宋体" w:cs="宋体"/>
                <w:sz w:val="21"/>
                <w:szCs w:val="21"/>
                <w:lang w:val="en-US"/>
              </w:rPr>
              <w:t>类别</w:t>
            </w:r>
          </w:p>
        </w:tc>
        <w:tc>
          <w:tcPr>
            <w:tcW w:w="1406" w:type="dxa"/>
            <w:noWrap w:val="0"/>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rPr>
              <w:t>场所</w:t>
            </w:r>
            <w:r>
              <w:rPr>
                <w:rStyle w:val="12"/>
                <w:rFonts w:hint="eastAsia" w:ascii="宋体" w:hAnsi="宋体" w:eastAsia="宋体" w:cs="宋体"/>
                <w:sz w:val="21"/>
                <w:szCs w:val="21"/>
                <w:lang w:val="en-US"/>
              </w:rPr>
              <w:t>/</w:t>
            </w:r>
            <w:r>
              <w:rPr>
                <w:rStyle w:val="12"/>
                <w:rFonts w:hint="eastAsia" w:ascii="宋体" w:hAnsi="宋体" w:eastAsia="宋体" w:cs="宋体"/>
                <w:sz w:val="21"/>
                <w:szCs w:val="21"/>
              </w:rPr>
              <w:t>环节</w:t>
            </w:r>
          </w:p>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rPr>
              <w:t>/部位</w:t>
            </w:r>
          </w:p>
        </w:tc>
        <w:tc>
          <w:tcPr>
            <w:tcW w:w="1974" w:type="dxa"/>
            <w:noWrap w:val="0"/>
            <w:vAlign w:val="center"/>
          </w:tcPr>
          <w:p>
            <w:pPr>
              <w:pStyle w:val="13"/>
              <w:shd w:val="clear" w:color="auto" w:fill="auto"/>
              <w:spacing w:before="0" w:line="240" w:lineRule="auto"/>
              <w:ind w:firstLine="462"/>
              <w:jc w:val="both"/>
              <w:rPr>
                <w:rStyle w:val="12"/>
                <w:rFonts w:hint="eastAsia" w:ascii="宋体" w:hAnsi="宋体" w:eastAsia="宋体" w:cs="宋体"/>
                <w:sz w:val="21"/>
                <w:szCs w:val="21"/>
                <w:lang w:val="en-US"/>
              </w:rPr>
            </w:pPr>
            <w:r>
              <w:rPr>
                <w:rStyle w:val="12"/>
                <w:rFonts w:hint="eastAsia" w:ascii="宋体" w:hAnsi="宋体" w:eastAsia="宋体" w:cs="宋体"/>
                <w:sz w:val="21"/>
                <w:szCs w:val="21"/>
              </w:rPr>
              <w:t>风险辨识</w:t>
            </w:r>
          </w:p>
        </w:tc>
        <w:tc>
          <w:tcPr>
            <w:tcW w:w="1418" w:type="dxa"/>
            <w:noWrap w:val="0"/>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rPr>
              <w:t>可能导致的事故类型</w:t>
            </w:r>
          </w:p>
        </w:tc>
        <w:tc>
          <w:tcPr>
            <w:tcW w:w="1078" w:type="dxa"/>
            <w:noWrap w:val="0"/>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rPr>
              <w:t>风险分级/风险标识</w:t>
            </w:r>
          </w:p>
        </w:tc>
        <w:tc>
          <w:tcPr>
            <w:tcW w:w="4575" w:type="dxa"/>
            <w:noWrap w:val="0"/>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rPr>
              <w:t>主要防范措施</w:t>
            </w:r>
          </w:p>
        </w:tc>
        <w:tc>
          <w:tcPr>
            <w:tcW w:w="2686" w:type="dxa"/>
            <w:noWrap w:val="0"/>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rPr>
              <w:t>依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0" w:hRule="atLeast"/>
          <w:jc w:val="center"/>
        </w:trPr>
        <w:tc>
          <w:tcPr>
            <w:tcW w:w="728" w:type="dxa"/>
            <w:noWrap w:val="0"/>
            <w:vAlign w:val="center"/>
          </w:tcPr>
          <w:p>
            <w:pPr>
              <w:ind w:firstLine="0" w:firstLineChars="0"/>
              <w:rPr>
                <w:rStyle w:val="12"/>
                <w:rFonts w:ascii="宋体" w:hAnsi="宋体" w:eastAsia="宋体" w:cs="宋体"/>
                <w:sz w:val="21"/>
                <w:szCs w:val="21"/>
                <w:lang w:val="en-US"/>
              </w:rPr>
            </w:pPr>
            <w:r>
              <w:rPr>
                <w:rStyle w:val="12"/>
                <w:rFonts w:hint="eastAsia" w:ascii="宋体" w:hAnsi="宋体" w:eastAsia="宋体" w:cs="宋体"/>
                <w:b w:val="0"/>
                <w:bCs w:val="0"/>
                <w:sz w:val="21"/>
                <w:szCs w:val="21"/>
                <w:lang w:val="en-US"/>
              </w:rPr>
              <w:t xml:space="preserve">1.1                               </w:t>
            </w:r>
          </w:p>
        </w:tc>
        <w:tc>
          <w:tcPr>
            <w:tcW w:w="764" w:type="dxa"/>
            <w:noWrap w:val="0"/>
            <w:vAlign w:val="center"/>
          </w:tcPr>
          <w:p>
            <w:pPr>
              <w:ind w:firstLine="0" w:firstLineChars="0"/>
              <w:jc w:val="left"/>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户外活动</w:t>
            </w:r>
          </w:p>
        </w:tc>
        <w:tc>
          <w:tcPr>
            <w:tcW w:w="1406" w:type="dxa"/>
            <w:noWrap w:val="0"/>
            <w:vAlign w:val="center"/>
          </w:tcPr>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 xml:space="preserve">户外活动、体育运动（含跑步、骑车、游泳、划船、攀岩、滑翔、钓鱼等）、野外科学考察、农业、林业、牧业、渔业等户外活动 </w:t>
            </w:r>
          </w:p>
        </w:tc>
        <w:tc>
          <w:tcPr>
            <w:tcW w:w="1974" w:type="dxa"/>
            <w:noWrap w:val="0"/>
            <w:vAlign w:val="center"/>
          </w:tcPr>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直接雷击、接触电压、跨步电压、旁侧闪络等方式造成人员及动植物伤亡</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人员及动植物</w:t>
            </w:r>
            <w:r>
              <w:rPr>
                <w:rStyle w:val="12"/>
                <w:rFonts w:hint="eastAsia" w:ascii="宋体" w:hAnsi="宋体" w:eastAsia="宋体" w:cs="宋体"/>
                <w:b w:val="0"/>
                <w:bCs w:val="0"/>
                <w:sz w:val="21"/>
                <w:szCs w:val="21"/>
              </w:rPr>
              <w:t>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Fonts w:hint="eastAsia" w:ascii="宋体" w:hAnsi="宋体" w:eastAsia="宋体" w:cs="宋体"/>
                <w:sz w:val="21"/>
                <w:szCs w:val="21"/>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1.及时关注天气预报和雷电预警信号，合理安排行程，注意避免雷雨天气外出活动及体育运动；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2.雷雨时，避免在大树下避雨，尽量不使用手机、不使用带金属顶的雨具；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3.在地势低洼处或具有防雷装置的安全建筑内避雨；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4.掌握防雷安全常识，提高防雷安全意识。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1.《气象灾害防御条例》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2.《国务院关于优化建设工程防雷许可的决定》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3.《河北省实施&lt;中华人民共和国气象法&gt;办法》</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4.《防雷减灾管理办法》</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5.《河北省防雷减灾管理办法》</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（以上5部法规规章，简称气象法规规章）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3" w:hRule="atLeast"/>
          <w:jc w:val="center"/>
        </w:trPr>
        <w:tc>
          <w:tcPr>
            <w:tcW w:w="72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w:t>
            </w:r>
          </w:p>
        </w:tc>
        <w:tc>
          <w:tcPr>
            <w:tcW w:w="764"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户外活动</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旅游（含登山、摩天轮、索道、玻璃栈道等）</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1.直接雷击、接触电压、跨步电压、旁侧闪络等方式造成人员伤亡</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2.直接雷击、雷电浪涌、电磁脉冲等方式造成电气、电子设备设施损毁</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人身伤亡、</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旅游设施损毁</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1.及时关注天气预报和雷电预警信号，避免雷雨天气出游；</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2.雷雨天气时景区应暂停旅游设施经营和运行、雷雨时严禁人员在山顶等高处逗留；</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旅游景区内建（构）筑物的防雷措施应符合GB50057-2010的要求。位于中风险区和高风险区不属于第三类防雷及以上类别的孤立建（构）筑物，如亭、阁等，宜作为应急避雷（雨）场所，并应安装防直击雷的外部防雷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4.旅游景区内防接触电压和跨步电压措施应符合GB50057-2010的要求；</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5.游道、观景平台、电气电子系统、游乐园、水景设施、树木防雷设施应符合</w:t>
            </w:r>
            <w:r>
              <w:rPr>
                <w:rStyle w:val="12"/>
                <w:rFonts w:hint="eastAsia" w:ascii="宋体" w:hAnsi="宋体" w:eastAsia="宋体" w:cs="宋体"/>
                <w:b w:val="0"/>
                <w:bCs w:val="0"/>
                <w:sz w:val="21"/>
                <w:szCs w:val="21"/>
                <w:lang w:val="en-US"/>
              </w:rPr>
              <w:t>QX/T264-2015第5.2-5.7条要求</w:t>
            </w:r>
            <w:r>
              <w:rPr>
                <w:rStyle w:val="12"/>
                <w:rFonts w:hint="eastAsia" w:ascii="宋体" w:hAnsi="宋体" w:eastAsia="宋体" w:cs="宋体"/>
                <w:b w:val="0"/>
                <w:bCs w:val="0"/>
                <w:sz w:val="21"/>
                <w:szCs w:val="21"/>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6.旅游景区及有关场所防雷装置的设计经气象主管机构审核，防雷装置竣工经气象主管机构验收合格；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7.按照法律法规规章及标准的要求，对防雷装置性能进行定期检测；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8.加强科普宣传，使游客掌握防雷安全常识，提高防雷安全意识。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3.《旅游景区雷电灾害防御技术规范》（QX/T264-2015）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7" w:hRule="atLeast"/>
          <w:jc w:val="center"/>
        </w:trPr>
        <w:tc>
          <w:tcPr>
            <w:tcW w:w="728" w:type="dxa"/>
            <w:noWrap w:val="0"/>
            <w:vAlign w:val="center"/>
          </w:tcPr>
          <w:p>
            <w:pPr>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2.1</w:t>
            </w:r>
          </w:p>
        </w:tc>
        <w:tc>
          <w:tcPr>
            <w:tcW w:w="764" w:type="dxa"/>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施工</w:t>
            </w:r>
          </w:p>
          <w:p>
            <w:pPr>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现场</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临时建筑物</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1.雷击建筑物损毁或倒塌致人员伤亡</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2.雷电浪涌通过电力、信息系统、或其他线缆传导，导致人员触电伤亡</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3.雷击导致施工电器及生活电器损坏</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建筑物损坏、人员伤亡、财产损失</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1</w:t>
            </w:r>
            <w:r>
              <w:rPr>
                <w:rStyle w:val="12"/>
                <w:rFonts w:hint="eastAsia" w:ascii="宋体" w:hAnsi="宋体" w:eastAsia="宋体" w:cs="宋体"/>
                <w:b w:val="0"/>
                <w:bCs w:val="0"/>
                <w:sz w:val="21"/>
                <w:szCs w:val="21"/>
                <w:lang w:val="en-US"/>
              </w:rPr>
              <w:t>.</w:t>
            </w:r>
            <w:r>
              <w:rPr>
                <w:rStyle w:val="12"/>
                <w:rFonts w:hint="eastAsia" w:ascii="宋体" w:hAnsi="宋体" w:eastAsia="宋体" w:cs="宋体"/>
                <w:b w:val="0"/>
                <w:bCs w:val="0"/>
                <w:sz w:val="21"/>
                <w:szCs w:val="21"/>
              </w:rPr>
              <w:t>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2.选址应远离大树、铁塔、电杆、塔吊、物料提升机等易受雷击的物体；</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3.建筑物应按照国家标准规范的规定安装防雷装置；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4.临时建筑物防雷类别划分应符合QX/T246-2014第4.1条的规定，直击雷防护应符合QX/T246-2014第5.1.1条的规定；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5.不得在屋面上搭设金属线，不得在接闪器上悬挂各种电气通信线路</w:t>
            </w:r>
            <w:r>
              <w:rPr>
                <w:rStyle w:val="12"/>
                <w:rFonts w:hint="eastAsia" w:ascii="宋体" w:hAnsi="宋体" w:eastAsia="宋体" w:cs="宋体"/>
                <w:b w:val="0"/>
                <w:bCs w:val="0"/>
                <w:sz w:val="21"/>
                <w:szCs w:val="21"/>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6.规范用电，合理布线，避免私拉乱接；</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7</w:t>
            </w:r>
            <w:r>
              <w:rPr>
                <w:rStyle w:val="12"/>
                <w:rFonts w:hint="eastAsia" w:ascii="宋体" w:hAnsi="宋体" w:eastAsia="宋体" w:cs="宋体"/>
                <w:b w:val="0"/>
                <w:bCs w:val="0"/>
                <w:sz w:val="21"/>
                <w:szCs w:val="21"/>
                <w:lang w:val="en-US"/>
              </w:rPr>
              <w:t>.施工单位应在施工组织设计、各分项工程施工方案、应急救援预案及工人三级安全教育中包含建筑施工现场雷电安全内容。</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rPr>
              <w:t>2.《建筑施工现场雷电安全技术规范》（QX/T246-2014）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2.2</w:t>
            </w:r>
          </w:p>
        </w:tc>
        <w:tc>
          <w:tcPr>
            <w:tcW w:w="764" w:type="dxa"/>
            <w:vMerge w:val="restart"/>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施工现场</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物料提升机、外用电梯、塔式起重机等户外设备</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直接雷击设施</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设备倒塌、设备损坏、人员触电或坠地伤亡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1.及时关注天气预报和雷电预警信号，避免雷雨天户外施工；</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2.应按国家标准规范的规定安装雷电防护装置；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3.物料提升机（龙门井、井字架）与外用电梯（人货两用电梯）、塔式起重机应按QX/T246-2014第5.1.2、5.1.3条规定安装直击雷防护措施；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4.户外设备应按QX/T246-2014第5.2条安装等电位连接措施；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5.落地式外墙金属脚手架应在其下部与建筑物的预留接地端子进行电气连接；</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6.非固定的起重设备、施工机械可就近与防雷接地装置连接；</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7.加强科普宣传，使作业人员掌握防雷安全常识，提高防雷安全意识。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lang w:val="en-US"/>
              </w:rPr>
              <w:t>1.</w:t>
            </w:r>
            <w:r>
              <w:rPr>
                <w:rStyle w:val="12"/>
                <w:rFonts w:hint="eastAsia" w:ascii="宋体" w:hAnsi="宋体" w:eastAsia="宋体" w:cs="宋体"/>
                <w:b w:val="0"/>
                <w:bCs w:val="0"/>
                <w:sz w:val="21"/>
                <w:szCs w:val="21"/>
              </w:rPr>
              <w:t>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2.《龙门架及井架物料提升机安全技术规范》</w:t>
            </w:r>
            <w:r>
              <w:rPr>
                <w:rStyle w:val="12"/>
                <w:rFonts w:ascii="宋体" w:hAnsi="宋体" w:eastAsia="宋体" w:cs="宋体"/>
                <w:b w:val="0"/>
                <w:bCs w:val="0"/>
                <w:sz w:val="21"/>
                <w:szCs w:val="21"/>
              </w:rPr>
              <w:t>JGJ88</w:t>
            </w:r>
            <w:r>
              <w:rPr>
                <w:rStyle w:val="12"/>
                <w:rFonts w:hint="eastAsia" w:ascii="宋体" w:hAnsi="宋体" w:eastAsia="宋体" w:cs="宋体"/>
                <w:b w:val="0"/>
                <w:bCs w:val="0"/>
                <w:sz w:val="21"/>
                <w:szCs w:val="21"/>
              </w:rPr>
              <w:t xml:space="preserve">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3.《建筑施工升降机安装、使用、拆卸安全技术规程》</w:t>
            </w:r>
            <w:r>
              <w:rPr>
                <w:rStyle w:val="12"/>
                <w:rFonts w:ascii="宋体" w:hAnsi="宋体" w:eastAsia="宋体" w:cs="宋体"/>
                <w:b w:val="0"/>
                <w:bCs w:val="0"/>
                <w:sz w:val="21"/>
                <w:szCs w:val="21"/>
              </w:rPr>
              <w:t>JGJ215</w:t>
            </w:r>
            <w:r>
              <w:rPr>
                <w:rStyle w:val="12"/>
                <w:rFonts w:hint="eastAsia" w:ascii="宋体" w:hAnsi="宋体" w:eastAsia="宋体" w:cs="宋体"/>
                <w:b w:val="0"/>
                <w:bCs w:val="0"/>
                <w:sz w:val="21"/>
                <w:szCs w:val="21"/>
              </w:rPr>
              <w:t xml:space="preserve">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4.《建筑施工塔式起重机安装、使用、拆卸安全技术规程》</w:t>
            </w:r>
            <w:r>
              <w:rPr>
                <w:rStyle w:val="12"/>
                <w:rFonts w:ascii="宋体" w:hAnsi="宋体" w:eastAsia="宋体" w:cs="宋体"/>
                <w:b w:val="0"/>
                <w:bCs w:val="0"/>
                <w:sz w:val="21"/>
                <w:szCs w:val="21"/>
              </w:rPr>
              <w:t>JGJ196</w:t>
            </w:r>
            <w:r>
              <w:rPr>
                <w:rStyle w:val="12"/>
                <w:rFonts w:hint="eastAsia" w:ascii="宋体" w:hAnsi="宋体" w:eastAsia="宋体" w:cs="宋体"/>
                <w:b w:val="0"/>
                <w:bCs w:val="0"/>
                <w:sz w:val="21"/>
                <w:szCs w:val="21"/>
              </w:rPr>
              <w:t xml:space="preserve">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5.《建筑施工现场雷电安全技术规范》（QX/T246-2014）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2.3</w:t>
            </w:r>
          </w:p>
        </w:tc>
        <w:tc>
          <w:tcPr>
            <w:tcW w:w="764" w:type="dxa"/>
            <w:vMerge w:val="continue"/>
            <w:noWrap w:val="0"/>
            <w:vAlign w:val="center"/>
          </w:tcPr>
          <w:p>
            <w:pPr>
              <w:ind w:firstLine="0" w:firstLineChars="0"/>
              <w:jc w:val="left"/>
              <w:rPr>
                <w:rStyle w:val="12"/>
                <w:rFonts w:hint="eastAsia"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户外施工或户外高空作业</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1.直接雷击</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2.接触电压、跨步电压、旁侧闪络</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人身伤亡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w:t>
            </w:r>
            <w:r>
              <w:rPr>
                <w:rStyle w:val="12"/>
                <w:rFonts w:hint="eastAsia" w:ascii="宋体" w:hAnsi="宋体" w:eastAsia="宋体" w:cs="宋体"/>
                <w:b w:val="0"/>
                <w:bCs w:val="0"/>
                <w:sz w:val="21"/>
                <w:szCs w:val="21"/>
                <w:lang w:val="en-US"/>
              </w:rPr>
              <w:t>.</w:t>
            </w:r>
            <w:r>
              <w:rPr>
                <w:rStyle w:val="12"/>
                <w:rFonts w:hint="eastAsia" w:ascii="宋体" w:hAnsi="宋体" w:eastAsia="宋体" w:cs="宋体"/>
                <w:b w:val="0"/>
                <w:bCs w:val="0"/>
                <w:sz w:val="21"/>
                <w:szCs w:val="21"/>
              </w:rPr>
              <w:t>及时关注天气预报和雷电预警信号，避免雷雨天户外施工和高空作业；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2.雷暴期间，所有露天高空作业人员应撤至地面，建筑施工现场应停止作业；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3.加强科普宣传，使作业人员掌握防雷安全常识，提高防雷安全意识。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2.《建筑施工现场雷电安全技术规范》（QX/T246-2014）</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3.《露天建筑施工现场不利气象条件防范》（QX/T154-2012）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9" w:hRule="atLeast"/>
          <w:jc w:val="center"/>
        </w:trPr>
        <w:tc>
          <w:tcPr>
            <w:tcW w:w="728" w:type="dxa"/>
            <w:noWrap w:val="0"/>
            <w:vAlign w:val="center"/>
          </w:tcPr>
          <w:p>
            <w:pPr>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3.1</w:t>
            </w:r>
          </w:p>
        </w:tc>
        <w:tc>
          <w:tcPr>
            <w:tcW w:w="764" w:type="dxa"/>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烟花爆竹生产、存储、销售、运输场所</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炸药、火药等因雷击着火、爆炸</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建筑物及设备损毁</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w:t>
            </w:r>
            <w:r>
              <w:rPr>
                <w:rStyle w:val="12"/>
                <w:rFonts w:hint="eastAsia" w:ascii="宋体" w:hAnsi="宋体" w:eastAsia="宋体" w:cs="宋体"/>
                <w:b w:val="0"/>
                <w:bCs w:val="0"/>
                <w:sz w:val="21"/>
                <w:szCs w:val="21"/>
                <w:lang w:val="en-US"/>
              </w:rPr>
              <w:t>.</w:t>
            </w:r>
            <w:r>
              <w:rPr>
                <w:rStyle w:val="12"/>
                <w:rFonts w:hint="eastAsia" w:ascii="宋体" w:hAnsi="宋体" w:eastAsia="宋体" w:cs="宋体"/>
                <w:b w:val="0"/>
                <w:bCs w:val="0"/>
                <w:sz w:val="21"/>
                <w:szCs w:val="21"/>
              </w:rPr>
              <w:t>及时关注天气预报和雷电预警信号，雷雨天气暂停危险工种生产作业；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2.选址应避免有矿藏的区域、山坡的迎风坡面、近水域区域等容易遭受雷击的区域以及高电压输配电线路设施、通信基站、雷达等信号发射、接收塔设施附近；</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3.应按国家标准规范的规定采取雷电防护措施；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4.烟花爆竹生产企业防雷设计应符合QX/T430-2018第6条规定；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5.烟花爆竹生产企业防雷施工应符合QX/T430-2018第7条规定；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6.防雷装置的设计经气象主管机构审核，防雷装置竣工经气象主管机构验收合格；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7.按照法律法规规章及标准的要求，对防雷装置性能进行定期检测；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8.烟花爆竹生产企业应有完善的雷电灾害事故应急预案。</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w:t>
            </w:r>
            <w:r>
              <w:rPr>
                <w:rStyle w:val="12"/>
                <w:rFonts w:ascii="宋体" w:hAnsi="宋体" w:eastAsia="宋体" w:cs="宋体"/>
                <w:b w:val="0"/>
                <w:bCs w:val="0"/>
                <w:sz w:val="21"/>
                <w:szCs w:val="21"/>
              </w:rPr>
              <w:t>烟花爆竹工程设计安全规范</w:t>
            </w:r>
            <w:r>
              <w:rPr>
                <w:rStyle w:val="12"/>
                <w:rFonts w:hint="eastAsia" w:ascii="宋体" w:hAnsi="宋体" w:eastAsia="宋体" w:cs="宋体"/>
                <w:b w:val="0"/>
                <w:bCs w:val="0"/>
                <w:sz w:val="21"/>
                <w:szCs w:val="21"/>
              </w:rPr>
              <w:t>（</w:t>
            </w:r>
            <w:r>
              <w:rPr>
                <w:rStyle w:val="12"/>
                <w:rFonts w:ascii="宋体" w:hAnsi="宋体" w:eastAsia="宋体" w:cs="宋体"/>
                <w:b w:val="0"/>
                <w:bCs w:val="0"/>
                <w:sz w:val="21"/>
                <w:szCs w:val="21"/>
              </w:rPr>
              <w:t>GB50161</w:t>
            </w:r>
            <w:r>
              <w:rPr>
                <w:rStyle w:val="12"/>
                <w:rFonts w:hint="eastAsia" w:ascii="宋体" w:hAnsi="宋体" w:eastAsia="宋体" w:cs="宋体"/>
                <w:b w:val="0"/>
                <w:bCs w:val="0"/>
                <w:sz w:val="21"/>
                <w:szCs w:val="21"/>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3.《烟花爆竹生产企业防雷技术规范》（QX/T430-2018)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3"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3.2</w:t>
            </w:r>
          </w:p>
        </w:tc>
        <w:tc>
          <w:tcPr>
            <w:tcW w:w="764" w:type="dxa"/>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火工品生产、存储、使用场所</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火工品等因雷击着火、爆炸</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lang w:val="en-US"/>
              </w:rPr>
              <w:t>1.</w:t>
            </w:r>
            <w:r>
              <w:rPr>
                <w:rStyle w:val="12"/>
                <w:rFonts w:hint="eastAsia" w:ascii="宋体" w:hAnsi="宋体" w:eastAsia="宋体" w:cs="宋体"/>
                <w:b w:val="0"/>
                <w:bCs w:val="0"/>
                <w:sz w:val="21"/>
                <w:szCs w:val="21"/>
              </w:rPr>
              <w:t>及时关注天气预报和雷电预警信号，雷雨天气暂停危险工种生产作业；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lang w:val="en-US"/>
              </w:rPr>
              <w:t>2</w:t>
            </w:r>
            <w:r>
              <w:rPr>
                <w:rStyle w:val="12"/>
                <w:rFonts w:hint="eastAsia" w:ascii="宋体" w:hAnsi="宋体" w:eastAsia="宋体" w:cs="宋体"/>
                <w:b w:val="0"/>
                <w:bCs w:val="0"/>
                <w:sz w:val="21"/>
                <w:szCs w:val="21"/>
              </w:rPr>
              <w:t>.选址应避免有矿藏的区域、山坡的迎风坡面、近水域区域等容易遭受雷击的区域以及高电压输配电线路设施、通信基站、雷达等信号发射、接收塔设施附近；</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3.应按GB50057-2010第4.3条规定的第二类防雷建筑物的要求采取防雷措施；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4.防雷装置的设计经气象主管机构审核，防雷装置竣工经气象主管机构验收合格；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w:t>
            </w:r>
            <w:r>
              <w:rPr>
                <w:rStyle w:val="12"/>
                <w:rFonts w:ascii="宋体" w:hAnsi="宋体" w:eastAsia="宋体" w:cs="宋体"/>
                <w:b w:val="0"/>
                <w:bCs w:val="0"/>
                <w:sz w:val="21"/>
                <w:szCs w:val="21"/>
              </w:rPr>
              <w:t>《火药、炸药、弹药、引信及火工品工厂设计安全规范》</w:t>
            </w:r>
            <w:r>
              <w:rPr>
                <w:rStyle w:val="12"/>
                <w:rFonts w:hint="eastAsia" w:ascii="宋体" w:hAnsi="宋体" w:eastAsia="宋体" w:cs="宋体"/>
                <w:b w:val="0"/>
                <w:bCs w:val="0"/>
                <w:sz w:val="21"/>
                <w:szCs w:val="21"/>
              </w:rPr>
              <w:t>（</w:t>
            </w:r>
            <w:r>
              <w:rPr>
                <w:rStyle w:val="12"/>
                <w:rFonts w:ascii="宋体" w:hAnsi="宋体" w:eastAsia="宋体" w:cs="宋体"/>
                <w:b w:val="0"/>
                <w:bCs w:val="0"/>
                <w:sz w:val="21"/>
                <w:szCs w:val="21"/>
              </w:rPr>
              <w:t>WJ2470</w:t>
            </w:r>
            <w:r>
              <w:rPr>
                <w:rStyle w:val="12"/>
                <w:rFonts w:hint="eastAsia" w:ascii="宋体" w:hAnsi="宋体" w:eastAsia="宋体" w:cs="宋体"/>
                <w:b w:val="0"/>
                <w:bCs w:val="0"/>
                <w:sz w:val="21"/>
                <w:szCs w:val="21"/>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3.《建筑物防雷设计规范》（GB50057</w:t>
            </w:r>
            <w:r>
              <w:rPr>
                <w:rStyle w:val="12"/>
                <w:rFonts w:hint="eastAsia" w:ascii="宋体" w:hAnsi="宋体" w:eastAsia="宋体" w:cs="宋体"/>
                <w:b w:val="0"/>
                <w:bCs w:val="0"/>
                <w:sz w:val="21"/>
                <w:szCs w:val="21"/>
                <w:lang w:val="en-US"/>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7"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3.3</w:t>
            </w:r>
          </w:p>
        </w:tc>
        <w:tc>
          <w:tcPr>
            <w:tcW w:w="764" w:type="dxa"/>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民爆物品存储、使用场所</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民用爆炸物品等因雷击着火、爆炸</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w:t>
            </w:r>
            <w:r>
              <w:rPr>
                <w:rStyle w:val="12"/>
                <w:rFonts w:hint="eastAsia" w:ascii="宋体" w:hAnsi="宋体" w:eastAsia="宋体" w:cs="宋体"/>
                <w:b w:val="0"/>
                <w:bCs w:val="0"/>
                <w:sz w:val="21"/>
                <w:szCs w:val="21"/>
                <w:lang w:val="en-US"/>
              </w:rPr>
              <w:t>.</w:t>
            </w:r>
            <w:r>
              <w:rPr>
                <w:rStyle w:val="12"/>
                <w:rFonts w:hint="eastAsia" w:ascii="宋体" w:hAnsi="宋体" w:eastAsia="宋体" w:cs="宋体"/>
                <w:b w:val="0"/>
                <w:bCs w:val="0"/>
                <w:sz w:val="21"/>
                <w:szCs w:val="21"/>
              </w:rPr>
              <w:t>及时关注天气预报和雷电预警信号，雷雨天气暂停危险工种生产作业；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2.选址应避免有矿藏的区域、山坡迎风坡面、近水域区域等易遭受雷击的区域以及高电压输配电线路设施、通信基站、雷达等信号发射、接收塔设施附近；</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3.建筑物防雷类别应符合GB50058-2007表12.1.1-1和表12.1.1-2的规定，防雷设计应符合GB50057-2010第4章相应等级防雷建筑物的防雷要求；</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4.防雷装置的设计经气象主管机构审核，防雷装置竣工经气象主管机构验收合格；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2.《民用爆破器材工程设计安全规范》（GB50089-2007）</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3.《建筑物防雷设计规范》（GB</w:t>
            </w:r>
            <w:r>
              <w:rPr>
                <w:rStyle w:val="12"/>
                <w:rFonts w:hint="eastAsia" w:ascii="宋体" w:hAnsi="宋体" w:eastAsia="宋体" w:cs="宋体"/>
                <w:b w:val="0"/>
                <w:bCs w:val="0"/>
                <w:sz w:val="21"/>
                <w:szCs w:val="21"/>
                <w:lang w:val="en-US"/>
              </w:rPr>
              <w:t>50057-2010）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1"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3.4</w:t>
            </w:r>
          </w:p>
        </w:tc>
        <w:tc>
          <w:tcPr>
            <w:tcW w:w="764" w:type="dxa"/>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石油化工生产、存储、销售装置</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石油化工产品等因雷击着火、爆炸</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 及时关注天气预报和雷电预警信号，雷雨天气暂停危险工种生产作业，停止营业；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2.选址应避免有矿藏的区域、山坡迎风坡面、近水域区域等易遭受雷击的区域以及高电压输配电线路设施、通信基站、雷达等信号发射、接收塔设施附近；</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3.石油化工装置厂房房屋类场所应按GB50057-2010中的有关规定采取防护措施；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4.石油化工装置户外装置区应按GB50650-2011第4.2、4.3、4.4条和第5章以及GB15599-2009第4章的要求采取防护措施；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5.石油和石油产品应贮存在密闭性的容器内，并避免油气混合物在容器周围积聚；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6.油气可能泄漏或积聚的区域，应避免金属导体间产生火花放电；</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7.固定顶金属容器附件（如呼吸阀、安全阀）应装设阻火器。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8.防雷装置的设计经气象主管机构审核，防雷装置竣工经气象主管机构验收合格；</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9.按照法律法规规章及标准的要求，对防雷装置性能进行定期检测；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10.掌握防雷安全常识，提高防雷安全意识。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ascii="宋体" w:hAnsi="宋体" w:eastAsia="宋体" w:cs="宋体"/>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2.《石油化工装置防雷设计规范》（GB50650-2011）</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3.《石油与石油设施雷电安全规范》</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（GB15599-2009）</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rPr>
              <w:t>4.《建筑物防雷设计规范》（GB50057-2</w:t>
            </w:r>
            <w:r>
              <w:rPr>
                <w:rStyle w:val="12"/>
                <w:rFonts w:hint="eastAsia" w:ascii="宋体" w:hAnsi="宋体" w:eastAsia="宋体" w:cs="宋体"/>
                <w:b w:val="0"/>
                <w:bCs w:val="0"/>
                <w:sz w:val="21"/>
                <w:szCs w:val="21"/>
                <w:lang w:val="en-US"/>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9"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3.5</w:t>
            </w:r>
          </w:p>
        </w:tc>
        <w:tc>
          <w:tcPr>
            <w:tcW w:w="764" w:type="dxa"/>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城镇燃气系统</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因雷击导致着火、爆炸</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1.及时关注天气预报和雷电预警信号，雷雨天气暂停危险工种生产作业，停止营业；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2.燃气场站内储气罐和瓶装销售库房等建（构）筑物应按GB50057-2010第3章进行防雷分类；</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3.燃气场站内储气罐、罐区、露天工艺装置及建（构）筑物之间，以及与站外建（构）筑物之间的间距应符合防雷安全距离的要求；</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4.防雷装置应符合QX/T109-2009第5.2、5.3条，第6、7、8章的要求；</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lang w:val="en-US"/>
              </w:rPr>
              <w:t>5</w:t>
            </w:r>
            <w:r>
              <w:rPr>
                <w:rStyle w:val="12"/>
                <w:rFonts w:hint="eastAsia" w:ascii="宋体" w:hAnsi="宋体" w:eastAsia="宋体" w:cs="宋体"/>
                <w:b w:val="0"/>
                <w:bCs w:val="0"/>
                <w:sz w:val="21"/>
                <w:szCs w:val="21"/>
              </w:rPr>
              <w:t>.防雷装置的设计经气象主管机构审核，防雷装置竣工经气象主管机构验收合格；</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7</w:t>
            </w:r>
            <w:r>
              <w:rPr>
                <w:rStyle w:val="12"/>
                <w:rFonts w:hint="eastAsia" w:ascii="宋体" w:hAnsi="宋体" w:eastAsia="宋体" w:cs="宋体"/>
                <w:b w:val="0"/>
                <w:bCs w:val="0"/>
                <w:sz w:val="21"/>
                <w:szCs w:val="21"/>
              </w:rPr>
              <w:t>.掌握防雷安全常识，提高防雷安全意识。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2.《建筑燃气安全应用技术导则》（CECS346）</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3.《城镇燃气防雷技术规范》（QX/T109-2009）</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4.《建筑物防雷设计规范》（GB50057-2010）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6"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3.6</w:t>
            </w:r>
          </w:p>
        </w:tc>
        <w:tc>
          <w:tcPr>
            <w:tcW w:w="764" w:type="dxa"/>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煤炼化装置</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煤化工产品因雷击着火、爆炸</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w:t>
            </w:r>
            <w:r>
              <w:rPr>
                <w:rStyle w:val="12"/>
                <w:rFonts w:hint="eastAsia" w:ascii="宋体" w:hAnsi="宋体" w:eastAsia="宋体" w:cs="宋体"/>
                <w:b w:val="0"/>
                <w:bCs w:val="0"/>
                <w:sz w:val="21"/>
                <w:szCs w:val="21"/>
                <w:lang w:val="en-US"/>
              </w:rPr>
              <w:t>.</w:t>
            </w:r>
            <w:r>
              <w:rPr>
                <w:rStyle w:val="12"/>
                <w:rFonts w:hint="eastAsia" w:ascii="宋体" w:hAnsi="宋体" w:eastAsia="宋体" w:cs="宋体"/>
                <w:b w:val="0"/>
                <w:bCs w:val="0"/>
                <w:sz w:val="21"/>
                <w:szCs w:val="21"/>
              </w:rPr>
              <w:t>及时关注天气预报和雷电预警信号，雷雨天气暂停危险工种生产作业，停止营业；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2.选址应避免有矿藏的区域、山坡的迎风坡面、近水域区域等容易遭受雷击的区域以及高电压输配电线路设施、通信基站、雷达等信号发射、接收塔设施附近；</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3.应按QX/T310-2015第4.1条的规定进行建筑物防雷分类；</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4.煤化工装置接闪器的保护范围计算应符合GB50057—2010的规定；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5.应按QX/T310-2015第5、6章的规定采取雷电防护措施；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6.防雷装置的设计经气象主管机构审核，防雷装置竣工经气象主管机构验收合格；</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rPr>
              <w:t>7.按照法律法规规章及标准的要求，对防雷装置性能进行定期检测；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8.掌握防雷安全常识，提高防雷安全意识。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2.《煤化工装置防雷设计规范》（QX/T310-2015）</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3.《建筑物防雷设计规范》（GB50057-2010）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8"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3.7</w:t>
            </w:r>
          </w:p>
        </w:tc>
        <w:tc>
          <w:tcPr>
            <w:tcW w:w="764" w:type="dxa"/>
            <w:vMerge w:val="restart"/>
            <w:noWrap w:val="0"/>
            <w:vAlign w:val="center"/>
          </w:tcPr>
          <w:p>
            <w:pPr>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危险化学品装卸、储运场所</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危险化学品因雷击着火、爆炸、泄露，造成环境污染</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爆炸、火灾、人员伤亡，中毒、环境污染</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w:t>
            </w:r>
            <w:r>
              <w:rPr>
                <w:rStyle w:val="12"/>
                <w:rFonts w:hint="eastAsia" w:ascii="宋体" w:hAnsi="宋体" w:eastAsia="宋体" w:cs="宋体"/>
                <w:b w:val="0"/>
                <w:bCs w:val="0"/>
                <w:sz w:val="21"/>
                <w:szCs w:val="21"/>
                <w:lang w:val="en-US"/>
              </w:rPr>
              <w:t>.</w:t>
            </w:r>
            <w:r>
              <w:rPr>
                <w:rStyle w:val="12"/>
                <w:rFonts w:hint="eastAsia" w:ascii="宋体" w:hAnsi="宋体" w:eastAsia="宋体" w:cs="宋体"/>
                <w:b w:val="0"/>
                <w:bCs w:val="0"/>
                <w:sz w:val="21"/>
                <w:szCs w:val="21"/>
              </w:rPr>
              <w:t>及时关注天气预报和雷电预警信号，雷雨天气暂停危险工种生产作业，停止营业；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2.按照国家法律法规规章及国家标准、行业标准安装和完善雷电灾害防护装置；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3.防雷装置的设计经气象主管机构审核，防雷装置竣工经气象主管机构验收合格；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5.掌握防雷安全常识，提高防雷安全意识。</w:t>
            </w:r>
          </w:p>
        </w:tc>
        <w:tc>
          <w:tcPr>
            <w:tcW w:w="2686" w:type="dxa"/>
            <w:noWrap w:val="0"/>
            <w:vAlign w:val="center"/>
          </w:tcPr>
          <w:p>
            <w:pPr>
              <w:ind w:firstLine="0" w:firstLineChars="0"/>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2.《汽车运输、装卸危险货物作业规程》（JT618）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jc w:val="center"/>
        </w:trPr>
        <w:tc>
          <w:tcPr>
            <w:tcW w:w="728" w:type="dxa"/>
            <w:noWrap w:val="0"/>
            <w:vAlign w:val="center"/>
          </w:tcPr>
          <w:p>
            <w:pPr>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3.8</w:t>
            </w:r>
          </w:p>
        </w:tc>
        <w:tc>
          <w:tcPr>
            <w:tcW w:w="764" w:type="dxa"/>
            <w:vMerge w:val="continue"/>
            <w:noWrap w:val="0"/>
            <w:vAlign w:val="center"/>
          </w:tcPr>
          <w:p>
            <w:pPr>
              <w:ind w:firstLine="0" w:firstLineChars="0"/>
              <w:jc w:val="left"/>
              <w:rPr>
                <w:rStyle w:val="12"/>
                <w:rFonts w:hint="eastAsia"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加油、加气站</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危险化学品因雷击着火、爆炸、泄露，造成环境污染</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爆炸、火灾、人员伤亡，中毒、环境污染</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w:t>
            </w:r>
            <w:r>
              <w:rPr>
                <w:rStyle w:val="12"/>
                <w:rFonts w:hint="eastAsia" w:ascii="宋体" w:hAnsi="宋体" w:eastAsia="宋体" w:cs="宋体"/>
                <w:b w:val="0"/>
                <w:bCs w:val="0"/>
                <w:sz w:val="21"/>
                <w:szCs w:val="21"/>
                <w:lang w:val="en-US"/>
              </w:rPr>
              <w:t>.</w:t>
            </w:r>
            <w:r>
              <w:rPr>
                <w:rStyle w:val="12"/>
                <w:rFonts w:hint="eastAsia" w:ascii="宋体" w:hAnsi="宋体" w:eastAsia="宋体" w:cs="宋体"/>
                <w:b w:val="0"/>
                <w:bCs w:val="0"/>
                <w:sz w:val="21"/>
                <w:szCs w:val="21"/>
              </w:rPr>
              <w:t>及时关注天气预报和雷电预警信号，雷雨天气暂停危险工种生产作业，停止营业；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2.按照国家法律法规规章及国家标准、行业标准安装和完善雷电灾害防护装置；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3.防雷装置应符合</w:t>
            </w:r>
            <w:r>
              <w:rPr>
                <w:rStyle w:val="12"/>
                <w:rFonts w:ascii="宋体" w:hAnsi="宋体" w:eastAsia="宋体" w:cs="宋体"/>
                <w:b w:val="0"/>
                <w:bCs w:val="0"/>
                <w:sz w:val="21"/>
                <w:szCs w:val="21"/>
              </w:rPr>
              <w:t>GB 50156</w:t>
            </w:r>
            <w:r>
              <w:rPr>
                <w:rStyle w:val="12"/>
                <w:rFonts w:hint="eastAsia" w:ascii="宋体" w:hAnsi="宋体" w:eastAsia="宋体" w:cs="宋体"/>
                <w:b w:val="0"/>
                <w:bCs w:val="0"/>
                <w:sz w:val="21"/>
                <w:szCs w:val="21"/>
              </w:rPr>
              <w:t>第11.2条规定；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4.防雷装置的设计经气象主管机构审核，防雷装置竣工经气象主管机构验收合格；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2.《汽车加油加气站设计与施工规范》（</w:t>
            </w:r>
            <w:r>
              <w:rPr>
                <w:rStyle w:val="12"/>
                <w:rFonts w:ascii="宋体" w:hAnsi="宋体" w:eastAsia="宋体" w:cs="宋体"/>
                <w:b w:val="0"/>
                <w:bCs w:val="0"/>
                <w:sz w:val="21"/>
                <w:szCs w:val="21"/>
              </w:rPr>
              <w:t>GB50156</w:t>
            </w:r>
            <w:r>
              <w:rPr>
                <w:rStyle w:val="12"/>
                <w:rFonts w:hint="eastAsia" w:ascii="宋体" w:hAnsi="宋体" w:eastAsia="宋体" w:cs="宋体"/>
                <w:b w:val="0"/>
                <w:bCs w:val="0"/>
                <w:sz w:val="21"/>
                <w:szCs w:val="21"/>
              </w:rPr>
              <w:t xml:space="preserve">）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3.《建筑燃气安全应用技术导则》（CECS346）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3.9</w:t>
            </w:r>
          </w:p>
        </w:tc>
        <w:tc>
          <w:tcPr>
            <w:tcW w:w="764" w:type="dxa"/>
            <w:vMerge w:val="restart"/>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产生可燃粉尘的生产车间</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雷击导致车间粉尘爆炸，导致人员伤亡和财产损失</w:t>
            </w:r>
          </w:p>
        </w:tc>
        <w:tc>
          <w:tcPr>
            <w:tcW w:w="1418" w:type="dxa"/>
            <w:noWrap w:val="0"/>
            <w:vAlign w:val="center"/>
          </w:tcPr>
          <w:p>
            <w:pPr>
              <w:spacing w:line="240" w:lineRule="auto"/>
              <w:ind w:firstLine="0" w:firstLineChars="0"/>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爆炸、火灾、人员伤亡</w:t>
            </w:r>
          </w:p>
        </w:tc>
        <w:tc>
          <w:tcPr>
            <w:tcW w:w="1078" w:type="dxa"/>
            <w:noWrap w:val="0"/>
            <w:vAlign w:val="center"/>
          </w:tcPr>
          <w:p>
            <w:pPr>
              <w:adjustRightInd w:val="0"/>
              <w:spacing w:line="240" w:lineRule="auto"/>
              <w:ind w:firstLine="0" w:firstLineChars="0"/>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top"/>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lang w:val="en-US"/>
              </w:rPr>
              <w:t>1.</w:t>
            </w:r>
            <w:r>
              <w:rPr>
                <w:rStyle w:val="12"/>
                <w:rFonts w:hint="eastAsia" w:ascii="宋体" w:hAnsi="宋体" w:eastAsia="宋体" w:cs="宋体"/>
                <w:b w:val="0"/>
                <w:bCs w:val="0"/>
                <w:sz w:val="21"/>
                <w:szCs w:val="21"/>
              </w:rPr>
              <w:t>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2.对粉尘浓度进行监测，并控制在安全范围；</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3.按照国家法律法规规章及国家标准、行业标准安装和完善雷电灾害防护装置；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4.防雷装置的设计经气象主管机构审核，防雷装置竣工经气象主管机构验收合格；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2.《粉尘防爆安全规程》（GB15577）</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3.《粮食加工、储运系统粉尘防爆安全规程》（GB17440）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4.《建筑物防雷设计规范》（GB50057-2010）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8"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3.10</w:t>
            </w:r>
          </w:p>
        </w:tc>
        <w:tc>
          <w:tcPr>
            <w:tcW w:w="764" w:type="dxa"/>
            <w:vMerge w:val="continue"/>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使用液氨制冷的制冷机房</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雷击导致泄露的液氨爆炸，导致人员伤亡和财产损失</w:t>
            </w:r>
          </w:p>
        </w:tc>
        <w:tc>
          <w:tcPr>
            <w:tcW w:w="1418" w:type="dxa"/>
            <w:noWrap w:val="0"/>
            <w:vAlign w:val="center"/>
          </w:tcPr>
          <w:p>
            <w:pPr>
              <w:autoSpaceDE w:val="0"/>
              <w:autoSpaceDN w:val="0"/>
              <w:adjustRightInd w:val="0"/>
              <w:spacing w:line="240" w:lineRule="auto"/>
              <w:ind w:firstLine="0" w:firstLineChars="0"/>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爆炸、火灾、人员伤亡</w:t>
            </w:r>
          </w:p>
        </w:tc>
        <w:tc>
          <w:tcPr>
            <w:tcW w:w="1078" w:type="dxa"/>
            <w:noWrap w:val="0"/>
            <w:vAlign w:val="center"/>
          </w:tcPr>
          <w:p>
            <w:pPr>
              <w:autoSpaceDE w:val="0"/>
              <w:autoSpaceDN w:val="0"/>
              <w:adjustRightInd w:val="0"/>
              <w:spacing w:line="240" w:lineRule="auto"/>
              <w:ind w:firstLine="0" w:firstLineChars="0"/>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2.对可能导致液氨泄露的部位和场所安装实时监控装置；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3.按照国家法律法规规章及国家标准、行业标准安装和完善雷电灾害防护装置；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4.易燃易爆等场所防雷装置的设计经气象主管机构审核，防雷装置竣工经气象主管机构验收合格；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autoSpaceDE w:val="0"/>
              <w:autoSpaceDN w:val="0"/>
              <w:adjustRightInd w:val="0"/>
              <w:ind w:firstLine="0" w:firstLineChars="0"/>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2.《冷库安全规程》（GB28009）</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3.《冷库设计规范》（GB50072）</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4.《建筑物防雷设计规范》（GB50057-2010）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8"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3.11</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易燃易爆品危险化学品</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煤矿及非煤矿山</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1.雷击引起瓦斯爆炸</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2.雷击导致通风设施损坏</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3.雷击导致瓦斯等监控设施损坏</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4.雷击导致升降、传输设施损坏，导致人员难以撤离</w:t>
            </w:r>
          </w:p>
        </w:tc>
        <w:tc>
          <w:tcPr>
            <w:tcW w:w="1418" w:type="dxa"/>
            <w:noWrap w:val="0"/>
            <w:vAlign w:val="center"/>
          </w:tcPr>
          <w:p>
            <w:pPr>
              <w:autoSpaceDE w:val="0"/>
              <w:autoSpaceDN w:val="0"/>
              <w:adjustRightInd w:val="0"/>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火灾、爆炸</w:t>
            </w:r>
          </w:p>
          <w:p>
            <w:pPr>
              <w:autoSpaceDE w:val="0"/>
              <w:autoSpaceDN w:val="0"/>
              <w:adjustRightInd w:val="0"/>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财产损失及人员伤亡</w:t>
            </w:r>
          </w:p>
        </w:tc>
        <w:tc>
          <w:tcPr>
            <w:tcW w:w="1078" w:type="dxa"/>
            <w:noWrap w:val="0"/>
            <w:vAlign w:val="center"/>
          </w:tcPr>
          <w:p>
            <w:pPr>
              <w:autoSpaceDE w:val="0"/>
              <w:autoSpaceDN w:val="0"/>
              <w:adjustRightInd w:val="0"/>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2.对可能电气设备安装电源及信号雷电浪涌保护装置，接地装置可靠接地；</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 xml:space="preserve">3.易燃易爆等场所防雷装置的设计经气象主管机构审核，防雷装置竣工经气象主管机构验收合格； </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3.《建筑物电子信息系统防雷技术规范》（GB50343-2012）</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4.《煤矿安全规程》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7"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4</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办公场所</w:t>
            </w:r>
          </w:p>
        </w:tc>
        <w:tc>
          <w:tcPr>
            <w:tcW w:w="1406" w:type="dxa"/>
            <w:noWrap w:val="0"/>
            <w:vAlign w:val="center"/>
          </w:tcPr>
          <w:p>
            <w:pPr>
              <w:autoSpaceDE w:val="0"/>
              <w:autoSpaceDN w:val="0"/>
              <w:adjustRightInd w:val="0"/>
              <w:spacing w:line="240" w:lineRule="auto"/>
              <w:ind w:firstLine="0" w:firstLineChars="0"/>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 xml:space="preserve">各级国家机关、事业单位、人民团体、非生产性企业、其他组织的办公场所以及大型城市商务区 </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1.房屋等遭雷击损坏、砸伤人员</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2.变压器损坏，造成停电、停水、通信中断</w:t>
            </w:r>
          </w:p>
          <w:p>
            <w:pPr>
              <w:autoSpaceDE w:val="0"/>
              <w:autoSpaceDN w:val="0"/>
              <w:adjustRightInd w:val="0"/>
              <w:spacing w:line="240" w:lineRule="auto"/>
              <w:ind w:firstLine="0" w:firstLineChars="0"/>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 xml:space="preserve">3.造成办公系统、会议系统、通讯系统、网络系统、消防系统、监控系统以及办公电器、电梯等电器设备损坏，影响正常办公及会议等活动 </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建筑电气、电子信息系统损坏、</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人员受伤</w:t>
            </w:r>
          </w:p>
        </w:tc>
        <w:tc>
          <w:tcPr>
            <w:tcW w:w="107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D级/蓝色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2.按照规范要求安装雷电防护装置；</w:t>
            </w:r>
            <w:r>
              <w:rPr>
                <w:rStyle w:val="12"/>
                <w:rFonts w:ascii="宋体" w:hAnsi="宋体" w:eastAsia="宋体" w:cs="宋体"/>
                <w:b w:val="0"/>
                <w:bCs w:val="0"/>
                <w:sz w:val="21"/>
                <w:szCs w:val="21"/>
              </w:rPr>
              <w:t xml:space="preserve"> </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3.变压器按照标准要求，采取避雷线和浪涌保护器防雷措施，并良好接地；</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4.电源系统加装雷电浪涌保护器，对重要被保护装置进行电磁屏蔽、等电位连接等保护措施；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9" w:hRule="atLeast"/>
          <w:jc w:val="center"/>
        </w:trPr>
        <w:tc>
          <w:tcPr>
            <w:tcW w:w="728" w:type="dxa"/>
            <w:noWrap w:val="0"/>
            <w:vAlign w:val="center"/>
          </w:tcPr>
          <w:p>
            <w:pPr>
              <w:spacing w:line="240" w:lineRule="auto"/>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5</w:t>
            </w:r>
          </w:p>
        </w:tc>
        <w:tc>
          <w:tcPr>
            <w:tcW w:w="764" w:type="dxa"/>
            <w:noWrap w:val="0"/>
            <w:vAlign w:val="center"/>
          </w:tcPr>
          <w:p>
            <w:pPr>
              <w:spacing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民用建筑物或居民小区</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住宅及相关设施</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1.房屋等遭雷击损坏、砸伤人员</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2.变压器损坏，造成小区停电、停水</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3.造成彩电、冰箱、空调、电脑等家用电气损坏</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4.造成小区监控系统、通讯系统、网络系统、消防系统以及电梯等电器设备损坏，影响正常生活</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建筑电气、电子信息系统损坏、</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人员受伤</w:t>
            </w:r>
          </w:p>
        </w:tc>
        <w:tc>
          <w:tcPr>
            <w:tcW w:w="107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D级/蓝色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2.按照规范要求安装雷电防护装置；</w:t>
            </w:r>
            <w:r>
              <w:rPr>
                <w:rStyle w:val="12"/>
                <w:rFonts w:ascii="宋体" w:hAnsi="宋体" w:eastAsia="宋体" w:cs="宋体"/>
                <w:b w:val="0"/>
                <w:bCs w:val="0"/>
                <w:sz w:val="21"/>
                <w:szCs w:val="21"/>
              </w:rPr>
              <w:t xml:space="preserve"> </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3.变压器按照标准要求，采取避雷线和浪涌保护器防雷措施，并良好接地；</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4.电源系统加装雷电浪涌保护器，对重要被保护装置进行电磁屏蔽、等电位连接等保护措施；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6.雷雨天气关闭门窗，断开电器电源，避免使用太阳能热水器淋浴；</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7.按照法律法规规章及标准的要求，对防雷装置性能进行定期检测；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8.掌握防雷安全常识，提高防雷安全意识。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rPr>
              <w:t>3.《建筑物电子信息系统防雷技术规范》（GB50343-2012）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3" w:hRule="atLeast"/>
          <w:jc w:val="center"/>
        </w:trPr>
        <w:tc>
          <w:tcPr>
            <w:tcW w:w="728" w:type="dxa"/>
            <w:noWrap w:val="0"/>
            <w:vAlign w:val="center"/>
          </w:tcPr>
          <w:p>
            <w:pPr>
              <w:spacing w:line="240" w:lineRule="auto"/>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6</w:t>
            </w:r>
          </w:p>
        </w:tc>
        <w:tc>
          <w:tcPr>
            <w:tcW w:w="764" w:type="dxa"/>
            <w:noWrap w:val="0"/>
            <w:vAlign w:val="center"/>
          </w:tcPr>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一般性工业建筑物</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办公场所</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车间</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厂房</w:t>
            </w:r>
            <w:r>
              <w:rPr>
                <w:rStyle w:val="12"/>
                <w:rFonts w:hint="eastAsia" w:ascii="宋体" w:hAnsi="宋体" w:eastAsia="宋体" w:cs="宋体"/>
                <w:b w:val="0"/>
                <w:bCs w:val="0"/>
                <w:sz w:val="21"/>
                <w:szCs w:val="21"/>
                <w:lang w:val="en-US"/>
              </w:rPr>
              <w:t>、仓库</w:t>
            </w:r>
            <w:r>
              <w:rPr>
                <w:rStyle w:val="12"/>
                <w:rFonts w:ascii="宋体" w:hAnsi="宋体" w:eastAsia="宋体" w:cs="宋体"/>
                <w:b w:val="0"/>
                <w:bCs w:val="0"/>
                <w:sz w:val="21"/>
                <w:szCs w:val="21"/>
                <w:lang w:val="en-US"/>
              </w:rPr>
              <w:t>及相关附属设施</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1.房舍遭雷击损坏、砸伤人员</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2.变压器损坏，造成停产，造成原材料及过程产品损毁</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3.造成电梯、监控系统、办公系统、计量系统、产品检验系统及实验设备损坏等电器设备损坏，影响正常生产活动</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建筑、电气、电子信息系统损坏、</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造成人员伤亡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C级/黄色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2.按照规范要求安装雷电防护装置，并定期检测；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3.变压器按照标准要求，采取避雷线和浪涌保护器防雷措施，并良好接地；</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4.电源系统加装雷电浪涌保护器，被保护装置采取电磁屏蔽、等电位连接等保护措施；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6.加强防雷安全教育，掌握防雷安全常识，提高防雷安全意识。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3.《建筑物电子信息系统防雷技术规范》（GB50343-2012）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7" w:hRule="atLeast"/>
          <w:jc w:val="center"/>
        </w:trPr>
        <w:tc>
          <w:tcPr>
            <w:tcW w:w="728" w:type="dxa"/>
            <w:noWrap w:val="0"/>
            <w:vAlign w:val="center"/>
          </w:tcPr>
          <w:p>
            <w:pPr>
              <w:spacing w:line="240" w:lineRule="auto"/>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7.1</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公共建筑</w:t>
            </w:r>
          </w:p>
          <w:p>
            <w:pPr>
              <w:spacing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物</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学校</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1.缺少避雷设施或避雷设施房舍遭雷击损坏、失效、砸伤师生</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2.室外体育活动的师生遭受直接雷击</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3.接触放电的金属栏杆、旗杆等或遭受跨步电压，导致人员受伤</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4.雷电击中自来水管道，导致自来水带电，造成人员受伤</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5.变压器损坏，造成停电</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6.造成教学电气设备及实验设备损坏、电梯等电器设备损坏，影响正常教学活动</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建筑、电气、电子信息系统损坏、</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造成人员伤亡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rPr>
              <w:t>2.按照规范要求安装雷电防护装置，并定期检测；</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3.避免在雷雨天气课外活动；</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4.雷雨天气避免接触金属门窗、栏杆、旗杆等金属物体，以防接触电压、跨步电压、旁侧闪络造成人员伤害；</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5.避免雷雨电器淋浴及其他相关活动；</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6.变压器按照标准要求，采取避雷线和浪涌保护器防雷措施，并良好接地；</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7.电源系统加装雷电浪涌保护器，被保护装置采取电磁屏蔽、等电位连接等保护措施；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8.按照法律法规规章及标准的要求，对防雷装置性能进行定期检测；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9.加强防雷安全教育，掌握防雷安全常识，提高防雷安全意识。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r>
              <w:rPr>
                <w:rStyle w:val="12"/>
                <w:rFonts w:ascii="宋体" w:hAnsi="宋体" w:eastAsia="宋体" w:cs="宋体"/>
                <w:b w:val="0"/>
                <w:bCs w:val="0"/>
                <w:sz w:val="21"/>
                <w:szCs w:val="21"/>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rPr>
              <w:t>3.《中小学校雷电防护技术规范》（QX/T230-2014）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5"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7.2</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公共建筑物</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医院</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雷击导致建筑物损坏、电子信息系统失效、人员伤亡</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建筑电气、电子信息系统损坏，导致停电事故，手术、检查等活动无法开展，导致医疗事故</w:t>
            </w:r>
          </w:p>
        </w:tc>
        <w:tc>
          <w:tcPr>
            <w:tcW w:w="107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2.雷雨天气应做好手术室、重症监控室应急保障工作；</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3.应按GB50057-2010第3章的规定进行防雷等级划分，按第4.3、4.4条的规定采取防雷等级相对应的防护措施；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4.重要机房、手术室、重症监控室应按GB50343-2012第3章的规定确定防护等级，按第4章的规定采取对防护等级相对应的防护措施；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7.3</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公共建筑物</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博物馆、图书馆等</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雷击导致建筑物损坏、电子信息系统失效、人员伤亡</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建筑电气、电子信息系统损坏，引起火灾和</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2.应做好应急保障工作；</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3.应按GB50057-2010第3章的规定进行防雷等级划分，按第4.3、4.4条的规定采取防雷等级相对应的防护措施；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3.《建筑物电子信息系统防雷技术规范》（GB50343-2012）</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4.《建筑设计防火规范》(GB50016)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8</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市政公共设施</w:t>
            </w:r>
          </w:p>
        </w:tc>
        <w:tc>
          <w:tcPr>
            <w:tcW w:w="1406" w:type="dxa"/>
            <w:noWrap w:val="0"/>
            <w:vAlign w:val="center"/>
          </w:tcPr>
          <w:p>
            <w:pPr>
              <w:spacing w:line="240" w:lineRule="auto"/>
              <w:ind w:firstLine="0" w:firstLineChars="0"/>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城市供排水系统及污水处理系统</w:t>
            </w:r>
          </w:p>
        </w:tc>
        <w:tc>
          <w:tcPr>
            <w:tcW w:w="1974"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w:t>
            </w:r>
            <w:r>
              <w:rPr>
                <w:rStyle w:val="12"/>
                <w:rFonts w:ascii="宋体" w:hAnsi="宋体" w:eastAsia="宋体" w:cs="宋体"/>
                <w:b w:val="0"/>
                <w:bCs w:val="0"/>
                <w:sz w:val="21"/>
                <w:szCs w:val="21"/>
                <w:lang w:val="en-US"/>
              </w:rPr>
              <w:t>自来水制水系统遭雷击</w:t>
            </w:r>
            <w:r>
              <w:rPr>
                <w:rStyle w:val="12"/>
                <w:rFonts w:hint="eastAsia" w:ascii="宋体" w:hAnsi="宋体" w:eastAsia="宋体" w:cs="宋体"/>
                <w:b w:val="0"/>
                <w:bCs w:val="0"/>
                <w:sz w:val="21"/>
                <w:szCs w:val="21"/>
                <w:lang w:val="en-US"/>
              </w:rPr>
              <w:t>导致制</w:t>
            </w:r>
            <w:r>
              <w:rPr>
                <w:rStyle w:val="12"/>
                <w:rFonts w:ascii="宋体" w:hAnsi="宋体" w:eastAsia="宋体" w:cs="宋体"/>
                <w:b w:val="0"/>
                <w:bCs w:val="0"/>
                <w:sz w:val="21"/>
                <w:szCs w:val="21"/>
                <w:lang w:val="en-US"/>
              </w:rPr>
              <w:t>水故障</w:t>
            </w:r>
          </w:p>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2.泵房遭雷击损坏，导致城市供水系统中断</w:t>
            </w:r>
          </w:p>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3.低洼处排水系统故障，导致城市内涝</w:t>
            </w:r>
          </w:p>
          <w:p>
            <w:pPr>
              <w:spacing w:line="240" w:lineRule="auto"/>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4.污水处理系统故障，导致水污染事故</w:t>
            </w:r>
          </w:p>
        </w:tc>
        <w:tc>
          <w:tcPr>
            <w:tcW w:w="1418" w:type="dxa"/>
            <w:noWrap w:val="0"/>
            <w:vAlign w:val="center"/>
          </w:tcPr>
          <w:p>
            <w:pPr>
              <w:spacing w:line="240" w:lineRule="auto"/>
              <w:ind w:firstLine="0" w:firstLineChars="0"/>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电子设备损坏</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公共服务中断</w:t>
            </w:r>
          </w:p>
        </w:tc>
        <w:tc>
          <w:tcPr>
            <w:tcW w:w="107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2.按照规范要求安装雷电防护装置，并定期检测；</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3.变压器按照标准要求，采取避雷线和浪涌保护器防雷措施，并良好接地；</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4.电源系统加装雷电浪涌保护器，被保护装置采取电磁屏蔽、等电位连接等保护措施；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1.《关于优化建设工程防雷许可的决定》（国发〔2016〕39号）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3.《建筑物电子信息系统防雷技术规范》（GB50343-2012）</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4.《建筑工程施工质量验收统一标准》（GB50300-2013）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9.1</w:t>
            </w:r>
          </w:p>
        </w:tc>
        <w:tc>
          <w:tcPr>
            <w:tcW w:w="764" w:type="dxa"/>
            <w:vMerge w:val="restart"/>
            <w:noWrap w:val="0"/>
            <w:vAlign w:val="center"/>
          </w:tcPr>
          <w:p>
            <w:pPr>
              <w:spacing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电力装置</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1kV以上至750kV高压电气装置</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雷击导致系统故障、物理损坏</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系统故障</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物理损坏</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1.发电场、变电站建筑物应按GB50057-2010相关规定采取相应防护措施；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2.应按GB/T50056-2011中第4.5条，第5、6、7、8章的规定安装接地装置；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2.《交流电气装置的接地设计规范》（GB/T50056-2011）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9"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9.2</w:t>
            </w:r>
          </w:p>
        </w:tc>
        <w:tc>
          <w:tcPr>
            <w:tcW w:w="764" w:type="dxa"/>
            <w:vMerge w:val="continue"/>
            <w:noWrap w:val="0"/>
            <w:vAlign w:val="center"/>
          </w:tcPr>
          <w:p>
            <w:pPr>
              <w:spacing w:line="240" w:lineRule="auto"/>
              <w:ind w:firstLine="0" w:firstLineChars="0"/>
              <w:jc w:val="left"/>
              <w:rPr>
                <w:rStyle w:val="12"/>
                <w:rFonts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低压输电线路及变电装置</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雷击线路及变电设施</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引发火灾及停电事故</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火灾及停电事故</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导致公共服务中断</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1.按照《电业安全工作规程》《低压配电设计规范》等国家标准，设计和安装接闪保护线、雷电浪涌保护器等防雷保护装置；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2.应做好雷击线路及变电设施的应急保障工作；</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2.《电业安全工作规程（发电厂和变电所电气部分）》（DL408）</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3.《低压配电设计规范》（GB50054）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9.3</w:t>
            </w:r>
          </w:p>
        </w:tc>
        <w:tc>
          <w:tcPr>
            <w:tcW w:w="764" w:type="dxa"/>
            <w:vMerge w:val="restart"/>
            <w:noWrap w:val="0"/>
            <w:vAlign w:val="center"/>
          </w:tcPr>
          <w:p>
            <w:pPr>
              <w:spacing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电力装置</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太阳能光伏发电系统</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ascii="宋体" w:hAnsi="宋体" w:eastAsia="宋体" w:cs="宋体"/>
                <w:b w:val="0"/>
                <w:bCs w:val="0"/>
                <w:sz w:val="21"/>
                <w:szCs w:val="21"/>
                <w:lang w:val="en-US"/>
              </w:rPr>
              <w:t>雷击线路及变电设施</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引发火灾及停电事故</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ascii="宋体" w:hAnsi="宋体" w:eastAsia="宋体" w:cs="宋体"/>
                <w:b w:val="0"/>
                <w:bCs w:val="0"/>
                <w:sz w:val="21"/>
                <w:szCs w:val="21"/>
                <w:lang w:val="en-US"/>
              </w:rPr>
              <w:t>火灾及停电事故</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导致公共服务中断</w:t>
            </w:r>
          </w:p>
        </w:tc>
        <w:tc>
          <w:tcPr>
            <w:tcW w:w="107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1.应按QX/T263-2015第4、5章的规定采取防护措施；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2.应做好雷击线路及变电设施的应急保障工作；</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3.按照规范技术要求安装防雷装置；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2.《太阳能光伏系统防雷技术规范》（QX/T263-2015）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6"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9.4</w:t>
            </w:r>
          </w:p>
        </w:tc>
        <w:tc>
          <w:tcPr>
            <w:tcW w:w="764" w:type="dxa"/>
            <w:vMerge w:val="continue"/>
            <w:noWrap w:val="0"/>
            <w:vAlign w:val="center"/>
          </w:tcPr>
          <w:p>
            <w:pPr>
              <w:spacing w:line="240" w:lineRule="auto"/>
              <w:ind w:firstLine="0" w:firstLineChars="0"/>
              <w:jc w:val="left"/>
              <w:rPr>
                <w:rStyle w:val="12"/>
                <w:rFonts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风力发电机组</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雷电导致发电机组系统损坏、高电压导致人员伤亡</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雷击引发火灾及停电事故</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导致公共服务中断</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1.风力发电机组安装、调试阶段，应按GB/T33629-2017第10章规定建立雷电防护安全流程，保证工作人员人身安全；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2.应按GB/T33629-2017中第6、7章的规定确定雷电防护等级，第8、9章的规定安装防雷装置；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2.《风力发电机组雷电防护》（GB/T33629-2017）</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3.《风力发电机组防雷装置检测技术规范》（QX/T312-2015）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8" w:hRule="atLeast"/>
          <w:jc w:val="center"/>
        </w:trPr>
        <w:tc>
          <w:tcPr>
            <w:tcW w:w="728" w:type="dxa"/>
            <w:noWrap w:val="0"/>
            <w:vAlign w:val="center"/>
          </w:tcPr>
          <w:p>
            <w:pPr>
              <w:spacing w:line="240" w:lineRule="auto"/>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10.1</w:t>
            </w:r>
          </w:p>
        </w:tc>
        <w:tc>
          <w:tcPr>
            <w:tcW w:w="764" w:type="dxa"/>
            <w:vMerge w:val="restart"/>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交通运输</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城市道路交通指挥及信号系统</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雷击导致指挥及信号系统</w:t>
            </w:r>
            <w:r>
              <w:rPr>
                <w:rStyle w:val="12"/>
                <w:rFonts w:hint="eastAsia" w:ascii="宋体" w:hAnsi="宋体" w:eastAsia="宋体" w:cs="宋体"/>
                <w:b w:val="0"/>
                <w:bCs w:val="0"/>
                <w:sz w:val="21"/>
                <w:szCs w:val="21"/>
                <w:lang w:val="en-US"/>
              </w:rPr>
              <w:t>损毁</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雷击导致指挥及信号系统</w:t>
            </w:r>
            <w:r>
              <w:rPr>
                <w:rStyle w:val="12"/>
                <w:rFonts w:hint="eastAsia" w:ascii="宋体" w:hAnsi="宋体" w:eastAsia="宋体" w:cs="宋体"/>
                <w:b w:val="0"/>
                <w:bCs w:val="0"/>
                <w:sz w:val="21"/>
                <w:szCs w:val="21"/>
                <w:lang w:val="en-US"/>
              </w:rPr>
              <w:t>损毁、公共服务中断、导致交通事故</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2.建立雷击事故导致的交通指挥及信号系统故障的应急预案；</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3.按照国家法律法规规章及国家标准、行业标准安装和完善雷电灾害防护装置；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10.2</w:t>
            </w:r>
          </w:p>
        </w:tc>
        <w:tc>
          <w:tcPr>
            <w:tcW w:w="764" w:type="dxa"/>
            <w:vMerge w:val="continue"/>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机场、港口、码头</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雷击导致通讯、调度系统损毁，影响飞机、船舶的正常运行</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ascii="宋体" w:hAnsi="宋体" w:eastAsia="宋体" w:cs="宋体"/>
                <w:b w:val="0"/>
                <w:bCs w:val="0"/>
                <w:sz w:val="21"/>
                <w:szCs w:val="21"/>
                <w:lang w:val="en-US"/>
              </w:rPr>
              <w:t>雷击导致指挥及信号系统</w:t>
            </w:r>
            <w:r>
              <w:rPr>
                <w:rStyle w:val="12"/>
                <w:rFonts w:hint="eastAsia" w:ascii="宋体" w:hAnsi="宋体" w:eastAsia="宋体" w:cs="宋体"/>
                <w:b w:val="0"/>
                <w:bCs w:val="0"/>
                <w:sz w:val="21"/>
                <w:szCs w:val="21"/>
                <w:lang w:val="en-US"/>
              </w:rPr>
              <w:t>损毁、公共服务中断、导致交通事故</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2.制定雷击事故导致的机场、港口、码头的指挥及信号系统故障的应急预案；</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3.按照国家法律法规规章及国家标准、行业标准安装和完善雷电灾害防护装置；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10.3</w:t>
            </w:r>
          </w:p>
        </w:tc>
        <w:tc>
          <w:tcPr>
            <w:tcW w:w="764" w:type="dxa"/>
            <w:vMerge w:val="restart"/>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交通运输</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铁路</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雷击导致铁路信号系统、指挥调度系统、售票系统损坏，导致铁路停运、旅客滞留</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ascii="宋体" w:hAnsi="宋体" w:eastAsia="宋体" w:cs="宋体"/>
                <w:b w:val="0"/>
                <w:bCs w:val="0"/>
                <w:sz w:val="21"/>
                <w:szCs w:val="21"/>
                <w:lang w:val="en-US"/>
              </w:rPr>
              <w:t>设备</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电子信息系统损坏</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公共服务中断</w:t>
            </w:r>
            <w:r>
              <w:rPr>
                <w:rStyle w:val="12"/>
                <w:rFonts w:hint="eastAsia" w:ascii="宋体" w:hAnsi="宋体" w:eastAsia="宋体" w:cs="宋体"/>
                <w:b w:val="0"/>
                <w:bCs w:val="0"/>
                <w:sz w:val="21"/>
                <w:szCs w:val="21"/>
                <w:lang w:val="en-US"/>
              </w:rPr>
              <w:t>、引发</w:t>
            </w:r>
            <w:r>
              <w:rPr>
                <w:rStyle w:val="12"/>
                <w:rFonts w:ascii="宋体" w:hAnsi="宋体" w:eastAsia="宋体" w:cs="宋体"/>
                <w:b w:val="0"/>
                <w:bCs w:val="0"/>
                <w:sz w:val="21"/>
                <w:szCs w:val="21"/>
                <w:lang w:val="en-US"/>
              </w:rPr>
              <w:t>重大公共突发事件</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2.制定雷击事故导致的铁路调度系统及信号系统故障的应急预案；</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3.应按TB10180-2016规定采取相应的防护措施；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4.铁路系统综合接地的设计应符合TB10180-2016中第4章以及TB10621-2009中第21章的规定；</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2.《铁路防雷及接地工程技术规范》（TB10180-2016）</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lang w:val="en-US"/>
              </w:rPr>
              <w:t>3.</w:t>
            </w:r>
            <w:r>
              <w:rPr>
                <w:rStyle w:val="12"/>
                <w:rFonts w:hint="eastAsia" w:ascii="宋体" w:hAnsi="宋体" w:eastAsia="宋体" w:cs="宋体"/>
                <w:b w:val="0"/>
                <w:bCs w:val="0"/>
                <w:sz w:val="21"/>
                <w:szCs w:val="21"/>
              </w:rPr>
              <w:t>《高速铁路设计规范》（TB10621-2009）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10.4</w:t>
            </w:r>
          </w:p>
        </w:tc>
        <w:tc>
          <w:tcPr>
            <w:tcW w:w="764" w:type="dxa"/>
            <w:vMerge w:val="continue"/>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大型桥梁</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雷击导致物理损坏，高压导致人员伤亡</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物理损坏</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人员伤亡</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2.大型桥梁应加强防接触电压、跨步电压措施，应具有雷电预警接收发送能力，及时发布雷电预警信息，减少行人聚集；</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3.大型桥梁主体应按第二类防雷建筑物设计，按规范QX/T330-2016规定采取防护措施；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5.掌握防雷安全常识，提高安全意识。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2.《大型桥梁防雷设计规范》（QX/T330-2016）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10.5</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交通运输</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隧道</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直击雷或雷电浪涌导致照明系统、信号系统、监控系统、通风系统故障，导致交通故障</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交通事故</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其他伤害</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/橙色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2.制定雷击事故导致的照明、通风、监控及信号系统故障的应急预案；</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3.按照国家法律法规规章及国家标准、行业标准安装和完善雷电灾害防护装置；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ind w:firstLine="0" w:firstLineChars="0"/>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2.《公路隧道照明设计细则》（JTG/TD70/2-01-2014）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6"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w:t>
            </w:r>
          </w:p>
        </w:tc>
        <w:tc>
          <w:tcPr>
            <w:tcW w:w="764" w:type="dxa"/>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通信系统</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通信局站、移动通信基站</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雷击导致通信电子设施、设备损坏，导致通信公共服务中断</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设备损坏、公共服务中断</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C级/黄色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2.制定通信局站、基站遭雷击系统损坏应急预案；</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3.电子信息系统所在建筑物应按GB50057-2010相关要求采取完善的外部防护措施；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4.电子信息系统应按规范GB50343-2012中第4章的规定划分防护等级，按第5章的规定采取相应的防护措施；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w:t>
            </w:r>
            <w:r>
              <w:rPr>
                <w:rStyle w:val="12"/>
                <w:rFonts w:ascii="宋体" w:hAnsi="宋体" w:eastAsia="宋体" w:cs="宋体"/>
                <w:b w:val="0"/>
                <w:bCs w:val="0"/>
                <w:sz w:val="21"/>
                <w:szCs w:val="21"/>
              </w:rPr>
              <w:t>通信局站防雷与接地工程设计规范</w:t>
            </w:r>
            <w:r>
              <w:rPr>
                <w:rStyle w:val="12"/>
                <w:rFonts w:hint="eastAsia" w:ascii="宋体" w:hAnsi="宋体" w:eastAsia="宋体" w:cs="宋体"/>
                <w:b w:val="0"/>
                <w:bCs w:val="0"/>
                <w:sz w:val="21"/>
                <w:szCs w:val="21"/>
              </w:rPr>
              <w:t>》（</w:t>
            </w:r>
            <w:r>
              <w:rPr>
                <w:rStyle w:val="12"/>
                <w:rFonts w:ascii="宋体" w:hAnsi="宋体" w:eastAsia="宋体" w:cs="宋体"/>
                <w:b w:val="0"/>
                <w:bCs w:val="0"/>
                <w:sz w:val="21"/>
                <w:szCs w:val="21"/>
              </w:rPr>
              <w:t>GB50689</w:t>
            </w:r>
            <w:r>
              <w:rPr>
                <w:rStyle w:val="12"/>
                <w:rFonts w:hint="eastAsia" w:ascii="宋体" w:hAnsi="宋体" w:eastAsia="宋体" w:cs="宋体"/>
                <w:b w:val="0"/>
                <w:bCs w:val="0"/>
                <w:sz w:val="21"/>
                <w:szCs w:val="21"/>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3.移动通信基站防雷与接地设计规范（</w:t>
            </w:r>
            <w:r>
              <w:rPr>
                <w:rStyle w:val="12"/>
                <w:rFonts w:ascii="宋体" w:hAnsi="宋体" w:eastAsia="宋体" w:cs="宋体"/>
                <w:b w:val="0"/>
                <w:bCs w:val="0"/>
                <w:sz w:val="21"/>
                <w:szCs w:val="21"/>
              </w:rPr>
              <w:t>YD 5068</w:t>
            </w:r>
            <w:r>
              <w:rPr>
                <w:rStyle w:val="12"/>
                <w:rFonts w:hint="eastAsia" w:ascii="宋体" w:hAnsi="宋体" w:eastAsia="宋体" w:cs="宋体"/>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jc w:val="center"/>
        </w:trPr>
        <w:tc>
          <w:tcPr>
            <w:tcW w:w="728" w:type="dxa"/>
            <w:noWrap w:val="0"/>
            <w:vAlign w:val="center"/>
          </w:tcPr>
          <w:p>
            <w:pPr>
              <w:spacing w:line="240" w:lineRule="auto"/>
              <w:ind w:firstLine="0" w:firstLineChars="0"/>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12.1</w:t>
            </w:r>
          </w:p>
        </w:tc>
        <w:tc>
          <w:tcPr>
            <w:tcW w:w="764" w:type="dxa"/>
            <w:vMerge w:val="restart"/>
            <w:noWrap w:val="0"/>
            <w:vAlign w:val="center"/>
          </w:tcPr>
          <w:p>
            <w:pPr>
              <w:spacing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电子信息系统</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大型计算中心</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雷击导致计算中心电子设备、通信线路元器件损坏，导致公共服务中断</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设备损坏、公共服务中断</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C级/黄色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2.电源系统应当安装电涌保护器；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3.业务系统、网络通信、存储设备及视频监控设备应当安装信号雷电浪涌保护装置；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4.核心机房及通讯线路应当采取电磁屏蔽措施；</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rPr>
              <w:t>5.按照法律法规规章及标准的要求，对防雷装置性能进行定期检测</w:t>
            </w:r>
            <w:r>
              <w:rPr>
                <w:rStyle w:val="12"/>
                <w:rFonts w:hint="eastAsia" w:ascii="宋体" w:hAnsi="宋体" w:eastAsia="宋体" w:cs="宋体"/>
                <w:b w:val="0"/>
                <w:bCs w:val="0"/>
                <w:sz w:val="21"/>
                <w:szCs w:val="21"/>
                <w:lang w:val="en-US"/>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3"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12.2</w:t>
            </w:r>
          </w:p>
        </w:tc>
        <w:tc>
          <w:tcPr>
            <w:tcW w:w="764" w:type="dxa"/>
            <w:vMerge w:val="continue"/>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银行金融系统</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雷击导致停电、网络设备损坏，导致公共服务中断</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设备损坏、公共服务中断</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C级/黄色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2.电源系统应当安装电涌保护器；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3.业务系统、网络通信、存储设备及视频监控设备应当安装信号雷电浪涌保护装置；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4.通讯线路应当采取电磁屏蔽措施；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3" w:hRule="atLeast"/>
          <w:jc w:val="center"/>
        </w:trPr>
        <w:tc>
          <w:tcPr>
            <w:tcW w:w="728" w:type="dxa"/>
            <w:noWrap w:val="0"/>
            <w:vAlign w:val="center"/>
          </w:tcPr>
          <w:p>
            <w:pPr>
              <w:spacing w:line="240" w:lineRule="auto"/>
              <w:ind w:firstLine="0" w:firstLineChars="0"/>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12.3</w:t>
            </w:r>
          </w:p>
        </w:tc>
        <w:tc>
          <w:tcPr>
            <w:tcW w:w="764" w:type="dxa"/>
            <w:vMerge w:val="restart"/>
            <w:noWrap w:val="0"/>
            <w:vAlign w:val="center"/>
          </w:tcPr>
          <w:p>
            <w:pPr>
              <w:spacing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电子信息系统</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证券、期货交易系统</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雷击导致停电、网络设备损坏，导致公共服务中断</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设备损坏、公共服务中断</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C级/黄色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2.电源系统应当安装电涌保护器；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3.业务系统、网络通信、存储设备及视频监控设备应当安装信号雷电浪涌保护装置；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4.通讯线路应当采取电磁屏蔽措施；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8" w:hRule="atLeast"/>
          <w:jc w:val="center"/>
        </w:trPr>
        <w:tc>
          <w:tcPr>
            <w:tcW w:w="72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12.4</w:t>
            </w:r>
          </w:p>
        </w:tc>
        <w:tc>
          <w:tcPr>
            <w:tcW w:w="764" w:type="dxa"/>
            <w:vMerge w:val="continue"/>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公共安全监控系统</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雷击导致停电、网络设备损坏，导致监控系统失效</w:t>
            </w:r>
          </w:p>
        </w:tc>
        <w:tc>
          <w:tcPr>
            <w:tcW w:w="141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设备损坏、公共服务中断</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C级/黄色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2.电源系统应当安装电涌保护器；</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3.监控系统、网络通信、存储设备及视频监控设备应当安装信号雷电浪涌保护装置；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4.通讯线路应当采取电磁屏蔽措施；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2.《建筑物电子信息系统防雷技术规范》（GB50343-2012）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728"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13</w:t>
            </w:r>
          </w:p>
        </w:tc>
        <w:tc>
          <w:tcPr>
            <w:tcW w:w="764" w:type="dxa"/>
            <w:noWrap w:val="0"/>
            <w:vAlign w:val="center"/>
          </w:tcPr>
          <w:p>
            <w:pPr>
              <w:pStyle w:val="13"/>
              <w:shd w:val="clear" w:color="auto" w:fill="auto"/>
              <w:spacing w:before="0" w:line="240" w:lineRule="auto"/>
              <w:ind w:firstLine="0" w:firstLineChars="0"/>
              <w:jc w:val="left"/>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文物</w:t>
            </w:r>
          </w:p>
        </w:tc>
        <w:tc>
          <w:tcPr>
            <w:tcW w:w="1406"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文物建筑</w:t>
            </w:r>
          </w:p>
        </w:tc>
        <w:tc>
          <w:tcPr>
            <w:tcW w:w="1974" w:type="dxa"/>
            <w:noWrap w:val="0"/>
            <w:vAlign w:val="center"/>
          </w:tcPr>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雷击导致文物建筑损坏或发生火灾，损坏文物及藏品等</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ascii="宋体" w:hAnsi="宋体" w:eastAsia="宋体" w:cs="宋体"/>
                <w:b w:val="0"/>
                <w:bCs w:val="0"/>
                <w:sz w:val="21"/>
                <w:szCs w:val="21"/>
                <w:lang w:val="en-US"/>
              </w:rPr>
              <w:t>雷击引发火灾</w:t>
            </w:r>
            <w:r>
              <w:rPr>
                <w:rStyle w:val="12"/>
                <w:rFonts w:hint="eastAsia" w:ascii="宋体" w:hAnsi="宋体" w:eastAsia="宋体" w:cs="宋体"/>
                <w:b w:val="0"/>
                <w:bCs w:val="0"/>
                <w:sz w:val="21"/>
                <w:szCs w:val="21"/>
                <w:lang w:val="en-US"/>
              </w:rPr>
              <w:t>、人员伤亡，造成重要文物损坏</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1.文物建筑应按QX/T189-2013规定设计和安装防雷装置或采取相应防御措施；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2.制定文物建筑物遭受雷击的应急预案；</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ascii="宋体" w:hAnsi="宋体" w:eastAsia="宋体" w:cs="宋体"/>
                <w:b w:val="0"/>
                <w:bCs w:val="0"/>
                <w:sz w:val="21"/>
                <w:szCs w:val="21"/>
              </w:rPr>
            </w:pPr>
            <w:r>
              <w:rPr>
                <w:rStyle w:val="12"/>
                <w:rFonts w:hint="eastAsia" w:ascii="宋体" w:hAnsi="宋体" w:eastAsia="宋体" w:cs="宋体"/>
                <w:b w:val="0"/>
                <w:bCs w:val="0"/>
                <w:sz w:val="21"/>
                <w:szCs w:val="21"/>
              </w:rPr>
              <w:t>2.《文物建筑防雷技术规范》（QX/T189-2013）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1" w:hRule="atLeast"/>
          <w:jc w:val="center"/>
        </w:trPr>
        <w:tc>
          <w:tcPr>
            <w:tcW w:w="72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14.1</w:t>
            </w:r>
          </w:p>
        </w:tc>
        <w:tc>
          <w:tcPr>
            <w:tcW w:w="764"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树木森林草原</w:t>
            </w:r>
          </w:p>
        </w:tc>
        <w:tc>
          <w:tcPr>
            <w:tcW w:w="1406"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名木古树</w:t>
            </w:r>
          </w:p>
        </w:tc>
        <w:tc>
          <w:tcPr>
            <w:tcW w:w="1974"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雷击导致古树折断、着火</w:t>
            </w:r>
          </w:p>
        </w:tc>
        <w:tc>
          <w:tcPr>
            <w:tcW w:w="141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ascii="宋体" w:hAnsi="宋体" w:eastAsia="宋体" w:cs="宋体"/>
                <w:b w:val="0"/>
                <w:bCs w:val="0"/>
                <w:sz w:val="21"/>
                <w:szCs w:val="21"/>
                <w:lang w:val="en-US"/>
              </w:rPr>
              <w:t>雷击导致古树折断</w:t>
            </w:r>
            <w:r>
              <w:rPr>
                <w:rStyle w:val="12"/>
                <w:rFonts w:hint="eastAsia" w:ascii="宋体" w:hAnsi="宋体" w:eastAsia="宋体" w:cs="宋体"/>
                <w:b w:val="0"/>
                <w:bCs w:val="0"/>
                <w:sz w:val="21"/>
                <w:szCs w:val="21"/>
                <w:lang w:val="en-US"/>
              </w:rPr>
              <w:t>、</w:t>
            </w:r>
            <w:r>
              <w:rPr>
                <w:rStyle w:val="12"/>
                <w:rFonts w:ascii="宋体" w:hAnsi="宋体" w:eastAsia="宋体" w:cs="宋体"/>
                <w:b w:val="0"/>
                <w:bCs w:val="0"/>
                <w:sz w:val="21"/>
                <w:szCs w:val="21"/>
                <w:lang w:val="en-US"/>
              </w:rPr>
              <w:t>引发森林火灾</w:t>
            </w:r>
          </w:p>
        </w:tc>
        <w:tc>
          <w:tcPr>
            <w:tcW w:w="1078"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575"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1.古树名木的防雷设计安装，应尽可能减少对树体和根系的影响；</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2.古树名木防雷装置的设置不应影响行人的正常活动。在人行通道或人员聚集场所附近时，距离人行通道边缘不小于3m，并设置警示标志、安全护栏等设施。当无法满足要求时，接地装置的埋设深度不应低于1m；</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3.在环境条件允许时，接地装置的设置应尽量远离树体的主根系；</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4.对遭受过雷击、树干存在裂缝或枝体受损的古树名木，应先进行恢复性抢救，填平封堵后，再进行防雷保护；</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6.加强防雷安全教育，掌握防雷安全常识，提高防雷安全意识。</w:t>
            </w:r>
          </w:p>
        </w:tc>
        <w:tc>
          <w:tcPr>
            <w:tcW w:w="2686" w:type="dxa"/>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2.《古树名木防雷技术规范》（QX/T231-2014）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14.2</w:t>
            </w:r>
          </w:p>
        </w:tc>
        <w:tc>
          <w:tcPr>
            <w:tcW w:w="764"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树木森林草原</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森林、草原</w:t>
            </w:r>
          </w:p>
        </w:tc>
        <w:tc>
          <w:tcPr>
            <w:tcW w:w="1974"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雷击导致森林、草原火灾着火</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森林、草原火灾着火</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575"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1.依托瞭望哨、通讯铁塔、电力杆塔、旅游索道、栈桥、广告设施或架设避雷线等措施，完善防直击雷设施；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2.科学布设分散式避雷塔\针；</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3.制定相应的雷击火灾应急预案，完善消防设施；</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5.加强防雷安全教育，掌握防雷安全常识，提高防雷安全意识。</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2.《古树名木防雷技术规范》（QX/T231-2014）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728"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15</w:t>
            </w:r>
          </w:p>
        </w:tc>
        <w:tc>
          <w:tcPr>
            <w:tcW w:w="764"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种养殖基地</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动物种养殖基地</w:t>
            </w:r>
          </w:p>
        </w:tc>
        <w:tc>
          <w:tcPr>
            <w:tcW w:w="1974"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直接雷击、接触电压、跨步电压、旁侧闪络等方式造成饲养的动物死伤</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建筑物及电气设施损坏、动物死伤</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D级/黄色</w:t>
            </w:r>
          </w:p>
        </w:tc>
        <w:tc>
          <w:tcPr>
            <w:tcW w:w="4575"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1.及时关注天气预报和雷电预警信号；</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2.对建构筑物和电气设备按照国家规范要求，设计和安装防雷装置；</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3.按照法律法规规章及标准的要求，对防雷装置性能进行定期检测；</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4.掌握防雷安全常识，提高防雷安全意识。</w:t>
            </w:r>
          </w:p>
        </w:tc>
        <w:tc>
          <w:tcPr>
            <w:tcW w:w="2686" w:type="dxa"/>
            <w:tcBorders>
              <w:top w:val="single" w:color="auto" w:sz="4" w:space="0"/>
              <w:left w:val="single" w:color="auto" w:sz="4" w:space="0"/>
              <w:bottom w:val="single" w:color="auto" w:sz="4" w:space="0"/>
              <w:right w:val="single" w:color="auto" w:sz="4" w:space="0"/>
            </w:tcBorders>
            <w:noWrap w:val="0"/>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1.气象法规规章</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2.《建筑物防雷设计规范》（GB50057-2010）</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3.《建筑物电子信息系统防雷技术规范》（GB50343-2012）</w:t>
            </w:r>
          </w:p>
        </w:tc>
      </w:tr>
    </w:tbl>
    <w:p>
      <w:r>
        <w:br w:type="page"/>
      </w:r>
    </w:p>
    <w:p>
      <w:pPr>
        <w:pStyle w:val="2"/>
        <w:ind w:firstLine="723"/>
        <w:jc w:val="center"/>
        <w:rPr>
          <w:rFonts w:hint="eastAsia" w:ascii="黑体" w:hAnsi="黑体" w:eastAsia="黑体"/>
          <w:bCs/>
          <w:snapToGrid w:val="0"/>
          <w:kern w:val="0"/>
          <w:sz w:val="36"/>
          <w:szCs w:val="28"/>
        </w:rPr>
      </w:pPr>
      <w:bookmarkStart w:id="23" w:name="_Toc42094875"/>
      <w:bookmarkStart w:id="24" w:name="_Toc42094768"/>
      <w:bookmarkStart w:id="25" w:name="_Toc42094826"/>
      <w:r>
        <w:rPr>
          <w:rFonts w:hint="eastAsia" w:ascii="黑体" w:hAnsi="黑体" w:eastAsia="黑体"/>
          <w:bCs/>
          <w:snapToGrid w:val="0"/>
          <w:kern w:val="0"/>
          <w:sz w:val="36"/>
          <w:szCs w:val="28"/>
        </w:rPr>
        <w:t>第三章</w:t>
      </w:r>
      <w:r>
        <w:rPr>
          <w:rFonts w:hint="eastAsia" w:ascii="黑体" w:hAnsi="黑体" w:eastAsia="黑体"/>
          <w:bCs/>
          <w:snapToGrid w:val="0"/>
          <w:kern w:val="0"/>
          <w:sz w:val="36"/>
          <w:szCs w:val="28"/>
          <w:lang w:val="en-US"/>
        </w:rPr>
        <w:t>易燃易爆场所雷灾因素辨识防范</w:t>
      </w:r>
      <w:r>
        <w:rPr>
          <w:rFonts w:hint="eastAsia" w:ascii="黑体" w:hAnsi="黑体" w:eastAsia="黑体"/>
          <w:bCs/>
          <w:snapToGrid w:val="0"/>
          <w:kern w:val="0"/>
          <w:sz w:val="36"/>
          <w:szCs w:val="28"/>
        </w:rPr>
        <w:t>指南</w:t>
      </w:r>
      <w:bookmarkEnd w:id="23"/>
      <w:bookmarkEnd w:id="24"/>
      <w:bookmarkEnd w:id="25"/>
    </w:p>
    <w:tbl>
      <w:tblPr>
        <w:tblStyle w:val="9"/>
        <w:tblW w:w="147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518"/>
        <w:gridCol w:w="688"/>
        <w:gridCol w:w="1048"/>
        <w:gridCol w:w="2256"/>
        <w:gridCol w:w="2018"/>
        <w:gridCol w:w="820"/>
        <w:gridCol w:w="4467"/>
        <w:gridCol w:w="1985"/>
        <w:gridCol w:w="4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序号</w:t>
            </w:r>
          </w:p>
        </w:tc>
        <w:tc>
          <w:tcPr>
            <w:tcW w:w="51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类别</w:t>
            </w:r>
          </w:p>
        </w:tc>
        <w:tc>
          <w:tcPr>
            <w:tcW w:w="68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场所/装置</w:t>
            </w: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部位/环节</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较大危险因素</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易发生/诱发</w:t>
            </w:r>
          </w:p>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的事故类型</w:t>
            </w:r>
          </w:p>
        </w:tc>
        <w:tc>
          <w:tcPr>
            <w:tcW w:w="820" w:type="dxa"/>
            <w:noWrap w:val="0"/>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危险等级</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主要防范措施</w:t>
            </w:r>
          </w:p>
        </w:tc>
        <w:tc>
          <w:tcPr>
            <w:tcW w:w="1985"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依据</w:t>
            </w:r>
          </w:p>
        </w:tc>
        <w:tc>
          <w:tcPr>
            <w:tcW w:w="482"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rPr>
            </w:pPr>
            <w:r>
              <w:rPr>
                <w:rStyle w:val="12"/>
                <w:rFonts w:hint="eastAsia" w:ascii="宋体" w:hAnsi="宋体" w:eastAsia="宋体" w:cs="宋体"/>
                <w:sz w:val="21"/>
                <w:szCs w:val="21"/>
                <w:lang w:val="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w:t>
            </w:r>
          </w:p>
        </w:tc>
        <w:tc>
          <w:tcPr>
            <w:tcW w:w="51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站</w:t>
            </w:r>
          </w:p>
        </w:tc>
        <w:tc>
          <w:tcPr>
            <w:tcW w:w="68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罩</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棚</w:t>
            </w:r>
          </w:p>
        </w:tc>
        <w:tc>
          <w:tcPr>
            <w:tcW w:w="104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接闪器</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附着电气、电子线路</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产生电涌侵入，诱发电气、电子系统失效或设备损坏</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移除接闪器（接闪带、接闪杆、接闪线）上附着的电气、电子线路</w:t>
            </w:r>
          </w:p>
        </w:tc>
        <w:tc>
          <w:tcPr>
            <w:tcW w:w="1985"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《汽车加油加气站设计与施工规范》GB50156-2012（2014年版）；</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《建筑物防雷设计规范》GB50057-2010；</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《爆炸和火灾危险场所防雷装置检测技术规范》GB/T32937-2016。</w:t>
            </w: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断裂、脱落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产生物理损害、电火花，诱发火灾、爆炸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应修复或更换接闪器</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1.3</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严重锈蚀</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产生物理损害、电火花，诱发火灾、爆炸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应除锈、刷防锈漆或更换接闪器</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1.4</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引下线</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与易燃物品、电子、电气线路安全距离不足</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产生电火花、电涌侵入，诱发火灾、爆炸、电气、电子系统失效或设备损坏</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禁止易燃物品接触或附着引下线，与易燃物品间距应不小于0.1m，当小于0.1m时，引下线的截面积应不小于100mm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明敷引下线与电气电子线路平行敷设时距离不宜小于1.0m，交叉敷设时不宜小于0.3m。</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1.5</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断裂、脱落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产生电火花，诱发火灾、爆炸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应修复或更换引下线</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1.6</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严重锈蚀</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产生电火花，诱发火灾、爆炸</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应除锈、刷防锈漆或更换引下线</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452"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1.7</w:t>
            </w:r>
          </w:p>
        </w:tc>
        <w:tc>
          <w:tcPr>
            <w:tcW w:w="51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站</w:t>
            </w:r>
          </w:p>
        </w:tc>
        <w:tc>
          <w:tcPr>
            <w:tcW w:w="68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罩</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棚</w:t>
            </w:r>
          </w:p>
        </w:tc>
        <w:tc>
          <w:tcPr>
            <w:tcW w:w="1048"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引下线</w:t>
            </w:r>
          </w:p>
        </w:tc>
        <w:tc>
          <w:tcPr>
            <w:tcW w:w="2256"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防接触保护损坏、失效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产生反击，诱发人身伤亡</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应设立警示标志，修复或更换,宜设围栏。</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应在外露引下线在高2.7m以下部分穿不小于3mm厚的交联聚乙烯管，交联聚乙烯管应能耐受100kV冲击电压（1.2/50μs波形），另设立阻止人员进入的护拦或警示牌。</w:t>
            </w:r>
          </w:p>
        </w:tc>
        <w:tc>
          <w:tcPr>
            <w:tcW w:w="1985"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《汽车加油加气站设计与施工规范》GB50156-2012（2014年版）；</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《建筑物防雷设计规范》GB50057-2010；</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《爆炸和火灾危险场所防雷装置检测技术规范》GB/T32937-2016。</w:t>
            </w: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1.8</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加油机</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加油机壳、加油枪、加油机活动门、加油机内发动机、防爆型接线盒、计量器等等电位连接线松动、脱落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产生电火花，诱发火灾、爆炸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应修复、更换等电位连接线。</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等电位连接线应采用截面积不小于6mm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铜线，通过螺钉、螺栓等方式连接。</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1.9</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其它金属物</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等电位连接线松动、脱落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应修复、更换等电位连接线。</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等电位连接线应采用截面积不小于6mm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铜线，通过螺钉、螺栓等方式连接。</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1.10</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油罐/气罐区</w:t>
            </w: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放散管、呼吸阀、通气管口</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用做接闪的呼吸阀，阻火器老化、失效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应更换阻火器或另设接闪器</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1.11</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法兰盘（少于5根螺栓）</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跨接线松动、脱落、失效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应修复、更换跨接线。</w:t>
            </w:r>
          </w:p>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跨接线应采用铜线、铜片或铜编织线，通过螺钉、螺栓等方式连接。</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89"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1.12</w:t>
            </w:r>
          </w:p>
        </w:tc>
        <w:tc>
          <w:tcPr>
            <w:tcW w:w="51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站</w:t>
            </w:r>
          </w:p>
        </w:tc>
        <w:tc>
          <w:tcPr>
            <w:tcW w:w="68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罐</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罐</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区</w:t>
            </w:r>
          </w:p>
        </w:tc>
        <w:tc>
          <w:tcPr>
            <w:tcW w:w="1048"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卸油口、油气回收装置等金属物</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油罐区卸油口、油气回收装置、液位仪</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气罐区</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卸车泵、压缩机、脱水装置、气化器及其它金属物等电位连接线松动、脱落、失效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应修复、更换等电位连接线。</w:t>
            </w:r>
          </w:p>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等电位连接线应采用截面积不小于6mm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铜线，通过螺钉、螺栓等方式连接。</w:t>
            </w:r>
          </w:p>
        </w:tc>
        <w:tc>
          <w:tcPr>
            <w:tcW w:w="1985"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《汽车加油加气站设计与施工规范》GB50156-2012（2014年版）；</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《建筑物防雷设计规范》GB50057-2010；</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《爆炸和火灾危险场所防雷装置检测技术规范》GB/T32937-2016。</w:t>
            </w: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48"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1.13</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油罐区金属盖、金属盖移动轨道</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卸油区、操作井处金属保护盖和金属盖移动轨道等电位连接线松动、脱落、失效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应修复、更换等电位连接线。</w:t>
            </w:r>
          </w:p>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等电位连接线应采用截面积不小于6mm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铜线，通过螺钉、螺栓等方式连接。</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68"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1.14</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1048"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输油/输气管</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相邻、交叉管道跨接线松动、脱落、失效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应修复、更换等电位连接线。</w:t>
            </w:r>
          </w:p>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等电位连接线应采用截面积不小于6mm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铜线，通过螺钉、螺栓等方式连接。</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548"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1.15</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其它金属物</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等电位连接线松动、脱落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应修复、更换等电位连接线。</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等电位连接线应采用截面积不小于6mm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铜线，通过螺钉、螺栓等方式连接。</w:t>
            </w:r>
          </w:p>
        </w:tc>
        <w:tc>
          <w:tcPr>
            <w:tcW w:w="1985" w:type="dxa"/>
            <w:vMerge w:val="continue"/>
            <w:tcBorders>
              <w:bottom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1.16</w:t>
            </w:r>
          </w:p>
        </w:tc>
        <w:tc>
          <w:tcPr>
            <w:tcW w:w="51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站</w:t>
            </w:r>
          </w:p>
        </w:tc>
        <w:tc>
          <w:tcPr>
            <w:tcW w:w="68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站房</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w:t>
            </w:r>
          </w:p>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辅助用房</w:t>
            </w:r>
          </w:p>
        </w:tc>
        <w:tc>
          <w:tcPr>
            <w:tcW w:w="104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接闪器</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接闪器上附着电气、电子线路</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产生电涌侵入，诱发电气、电子系统失效或设备损坏</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移除接闪器（接闪带、接闪杆、接闪线）上附着的电气、电子线路</w:t>
            </w:r>
          </w:p>
        </w:tc>
        <w:tc>
          <w:tcPr>
            <w:tcW w:w="1985"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《汽车加油加气站设计与施工规范》GB50156-2012（2014年版）；</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《建筑物防雷设计规范》GB50057-2010；</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《爆炸和火灾危险场所防雷装置检测技术规范》GB/T32937-2016。</w:t>
            </w: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1.17</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断裂、脱落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产生物理损害、电火花，诱发火灾</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应修复或更换接闪器</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1.18</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严重锈蚀</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产生物理损害、电火花，诱发火灾</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应除锈、刷防锈漆或更换接闪器</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1.19</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引下线</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与易燃物品、电子、电气线路安全距离不足</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产生电火花、电涌侵入，诱发火灾、电气、电子系统失效或设备损坏</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p>
            <w:pPr>
              <w:pStyle w:val="13"/>
              <w:shd w:val="clear" w:color="auto" w:fill="auto"/>
              <w:spacing w:before="0" w:line="240" w:lineRule="auto"/>
              <w:ind w:firstLine="0" w:firstLineChars="0"/>
              <w:jc w:val="both"/>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禁止易燃物品接触或附着引下线，与易燃物品间距应不小于0.1m，当小于0.1m时，引下线的截面积应不小于100mm</w:t>
            </w:r>
            <w:r>
              <w:rPr>
                <w:rStyle w:val="12"/>
                <w:rFonts w:hint="eastAsia" w:ascii="宋体" w:hAnsi="宋体" w:eastAsia="宋体" w:cs="宋体"/>
                <w:b w:val="0"/>
                <w:bCs w:val="0"/>
                <w:sz w:val="21"/>
                <w:szCs w:val="21"/>
                <w:vertAlign w:val="superscript"/>
                <w:lang w:val="en-US"/>
              </w:rPr>
              <w:t>2</w:t>
            </w:r>
            <w:r>
              <w:rPr>
                <w:rStyle w:val="12"/>
                <w:rFonts w:hint="eastAsia" w:ascii="宋体" w:hAnsi="宋体" w:eastAsia="宋体" w:cs="宋体"/>
                <w:b w:val="0"/>
                <w:bCs w:val="0"/>
                <w:sz w:val="21"/>
                <w:szCs w:val="21"/>
                <w:lang w:val="en-US"/>
              </w:rPr>
              <w:t>。</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明敷引下线与电气电子线路平行敷设时距离不宜小于1.0m，交叉敷设时不宜小于0.3m。</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t>位于加油加气作业区的站房危险等级高于辅助用房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1.20</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防接触保护损坏、失效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产生反击，诱发人身伤亡</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应设立警示标志，修复或更换,宜设围栏。</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应在外露引下线在高2.7m以下部分穿不小于3mm厚的交联聚乙烯管，交联聚乙烯管应能耐受100kV冲击电压（1.2/50μs波形），另设立阻止人员进入的护拦或警示牌。</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ascii="宋体" w:hAnsi="宋体" w:eastAsia="宋体" w:cs="宋体"/>
                <w:color w:val="000000"/>
                <w:spacing w:val="10"/>
                <w:sz w:val="21"/>
                <w:szCs w:val="21"/>
                <w:lang w:val="en-US" w:bidi="zh-CN"/>
              </w:rPr>
            </w:pPr>
            <w:r>
              <w:rPr>
                <w:rFonts w:hint="eastAsia" w:ascii="宋体" w:hAnsi="宋体" w:eastAsia="宋体" w:cs="宋体"/>
                <w:color w:val="000000"/>
                <w:spacing w:val="10"/>
                <w:sz w:val="21"/>
                <w:szCs w:val="21"/>
                <w:lang w:val="en-US" w:bidi="zh-CN"/>
              </w:rPr>
              <w:t>1.21</w:t>
            </w:r>
          </w:p>
        </w:tc>
        <w:tc>
          <w:tcPr>
            <w:tcW w:w="51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站</w:t>
            </w:r>
          </w:p>
        </w:tc>
        <w:tc>
          <w:tcPr>
            <w:tcW w:w="68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站房</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辅助用房</w:t>
            </w:r>
          </w:p>
        </w:tc>
        <w:tc>
          <w:tcPr>
            <w:tcW w:w="104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引下线</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断裂、脱落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产生电火花，诱发火灾</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应修复或更换引下线</w:t>
            </w:r>
          </w:p>
        </w:tc>
        <w:tc>
          <w:tcPr>
            <w:tcW w:w="1985"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《汽车加油加气站设计与施工规范》GB50156-2012（2014年版）；</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《建筑物防雷设计规范》GB50057-2010；</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《爆炸和火灾危险场所防雷装置检测技术规范》GB/T32937-2016。</w:t>
            </w: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t>站房危险等级高于辅助用房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1.22</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严重锈蚀</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产生电火花，诱发火灾</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应除锈、刷防锈漆或更换引下线</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1.23</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加装金属设备或金属设施</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未完善防雷安全保护措施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产生电火花、电涌入侵，诱发电气、电子系统失效或设备损坏、诱发火灾</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w:t>
            </w:r>
          </w:p>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加装设备或设施应处于接闪装置保护范围内且金属外壳应与防雷设施进行等电位连接</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1.24</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全</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部</w:t>
            </w:r>
          </w:p>
        </w:tc>
        <w:tc>
          <w:tcPr>
            <w:tcW w:w="104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电气系统</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SPD老化、失效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产生电涌侵入，诱发电子系统失效或设备损坏</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检修并更换SPD。</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检查SPD状态标识，有故障标识出现、表面发热等情况时，应将SPD与系统断开连接，排除故障后方可将SPD并入系统。</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1.25</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SPD接地线脱落、断裂</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应修复或更换接地线。</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Ⅰ、Ⅱ、Ⅲ级试验的电涌保护器接地线应分别采用截面积不小于6mm2、2.5mm2、1.5mm2铜线。接地线应尽量短直。</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ascii="宋体" w:hAnsi="宋体" w:eastAsia="宋体" w:cs="宋体"/>
                <w:color w:val="000000"/>
                <w:spacing w:val="10"/>
                <w:sz w:val="21"/>
                <w:szCs w:val="21"/>
                <w:lang w:val="en-US" w:bidi="zh-CN"/>
              </w:rPr>
            </w:pPr>
            <w:r>
              <w:rPr>
                <w:rFonts w:hint="eastAsia" w:ascii="宋体" w:hAnsi="宋体" w:eastAsia="宋体" w:cs="宋体"/>
                <w:color w:val="000000"/>
                <w:spacing w:val="10"/>
                <w:sz w:val="21"/>
                <w:szCs w:val="21"/>
                <w:lang w:val="en-US" w:bidi="zh-CN"/>
              </w:rPr>
              <w:t>1.26</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2256"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SPD接地线松动</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应修复接地线。</w:t>
            </w:r>
          </w:p>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Ⅰ、Ⅱ、Ⅲ级试验的电涌保护器接地线应分别采用截面积不小于6mm2、2.5mm2、1.5mm2铜线。接地线应尽量短直。</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1.27</w:t>
            </w:r>
          </w:p>
        </w:tc>
        <w:tc>
          <w:tcPr>
            <w:tcW w:w="51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站</w:t>
            </w:r>
          </w:p>
        </w:tc>
        <w:tc>
          <w:tcPr>
            <w:tcW w:w="68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全</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部</w:t>
            </w:r>
          </w:p>
        </w:tc>
        <w:tc>
          <w:tcPr>
            <w:tcW w:w="1048"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电气系统</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线路电缆外皮或金属保护管接地线松动、脱落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应修复、更换接地线。</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电气线路应采用铠装电缆或导线穿钢管配线。配线电缆金属外皮两端、保护钢管两端均应接地。接地线应采用截面积不小于16mm2铜线，通过螺钉、螺栓等方式连接。</w:t>
            </w:r>
          </w:p>
        </w:tc>
        <w:tc>
          <w:tcPr>
            <w:tcW w:w="1985"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《汽车加油加气站设计与施工规范》GB50156-2012（2014年版）；</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《建筑物防雷设计规范》GB50057-2010；</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《爆炸和火灾危险场所防雷装置检测技术规范》</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GB/T32937-2016。</w:t>
            </w:r>
          </w:p>
        </w:tc>
        <w:tc>
          <w:tcPr>
            <w:tcW w:w="482"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1.28</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restart"/>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监控、网络等电子系统</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SPD接地线脱落、断裂</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应修复、更换接地线。</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D1类电涌保护器接地线应采用截面积不小于1.2mm2铜线，其他类的电涌保护器接地线采用铜线截面积根据具体情况确定，可小于1.2mm2。接线应尽量短直。</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1.29</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SPD老化、失效</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产生电涌侵入，诱发电子系统失效或设备损坏</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检修并更换SPD。</w:t>
            </w:r>
          </w:p>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检查SPD状态标识，有故障标识出现、表面发热等情况时，应将SPD与系统断开连接，排除故障后方可将SPD并入系统。</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2"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ascii="宋体" w:hAnsi="宋体" w:eastAsia="宋体" w:cs="宋体"/>
                <w:color w:val="000000"/>
                <w:spacing w:val="10"/>
                <w:sz w:val="21"/>
                <w:szCs w:val="21"/>
                <w:lang w:val="en-US" w:bidi="zh-CN"/>
              </w:rPr>
            </w:pPr>
            <w:r>
              <w:rPr>
                <w:rFonts w:hint="eastAsia" w:ascii="宋体" w:hAnsi="宋体" w:eastAsia="宋体" w:cs="宋体"/>
                <w:color w:val="000000"/>
                <w:spacing w:val="10"/>
                <w:sz w:val="21"/>
                <w:szCs w:val="21"/>
                <w:lang w:val="en-US" w:bidi="zh-CN"/>
              </w:rPr>
              <w:t>1.30</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1048"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监控、网络等电子系统</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SPD接地线松动</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B级/橙色</w:t>
            </w:r>
          </w:p>
        </w:tc>
        <w:tc>
          <w:tcPr>
            <w:tcW w:w="4467"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应修复、更换接地线。</w:t>
            </w:r>
          </w:p>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D1类电涌保护器接地线应采用截面积不小于1.2mm2铜线，其他类的电涌保护器接地线采用铜线截面积根据具体情况确定，可小于1.2mm2。接线应尽量短直。</w:t>
            </w:r>
          </w:p>
        </w:tc>
        <w:tc>
          <w:tcPr>
            <w:tcW w:w="1985"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p>
        </w:tc>
        <w:tc>
          <w:tcPr>
            <w:tcW w:w="482" w:type="dxa"/>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1.31</w:t>
            </w:r>
          </w:p>
        </w:tc>
        <w:tc>
          <w:tcPr>
            <w:tcW w:w="51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油</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加</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气</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站</w:t>
            </w:r>
          </w:p>
        </w:tc>
        <w:tc>
          <w:tcPr>
            <w:tcW w:w="688"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全</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部</w:t>
            </w:r>
          </w:p>
        </w:tc>
        <w:tc>
          <w:tcPr>
            <w:tcW w:w="1048"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监控、网络等电子系统</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线路电缆外皮或金属保护管接地线松动、脱落</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B级/橙色</w:t>
            </w:r>
          </w:p>
        </w:tc>
        <w:tc>
          <w:tcPr>
            <w:tcW w:w="4467" w:type="dxa"/>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应修复、更换接地线。</w:t>
            </w:r>
          </w:p>
          <w:p>
            <w:pPr>
              <w:pStyle w:val="13"/>
              <w:shd w:val="clear" w:color="auto" w:fill="auto"/>
              <w:spacing w:before="0" w:line="240" w:lineRule="auto"/>
              <w:ind w:firstLine="0" w:firstLineChars="0"/>
              <w:jc w:val="left"/>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电气线路应采用铠装电缆或导线穿钢管配线。配线电缆金属外皮两端、保护钢管两端均应接地。接地线应采用截面积不小于16mm2铜线，通过螺钉、螺栓等方式连接。</w:t>
            </w:r>
          </w:p>
        </w:tc>
        <w:tc>
          <w:tcPr>
            <w:tcW w:w="1985" w:type="dxa"/>
            <w:vMerge w:val="restart"/>
            <w:tcBorders>
              <w:top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《汽车加油加气站设计与施工规范》GB50156-2012（2014年版）；</w:t>
            </w:r>
          </w:p>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《建筑物防雷设计规范》GB50057-2010；</w:t>
            </w:r>
          </w:p>
          <w:p>
            <w:pPr>
              <w:pStyle w:val="13"/>
              <w:shd w:val="clear" w:color="auto" w:fill="auto"/>
              <w:spacing w:before="0" w:line="240" w:lineRule="auto"/>
              <w:ind w:firstLine="0" w:firstLineChars="0"/>
              <w:jc w:val="center"/>
              <w:rPr>
                <w:rFonts w:hint="eastAsia" w:ascii="宋体" w:hAnsi="宋体" w:eastAsia="宋体" w:cs="宋体"/>
                <w:color w:val="000000"/>
                <w:spacing w:val="10"/>
                <w:sz w:val="21"/>
                <w:szCs w:val="21"/>
                <w:lang w:val="en-US" w:bidi="zh-CN"/>
              </w:rPr>
            </w:pPr>
            <w:r>
              <w:rPr>
                <w:rStyle w:val="12"/>
                <w:rFonts w:hint="eastAsia" w:ascii="宋体" w:hAnsi="宋体" w:eastAsia="宋体" w:cs="宋体"/>
                <w:b w:val="0"/>
                <w:bCs w:val="0"/>
                <w:sz w:val="21"/>
                <w:szCs w:val="21"/>
                <w:lang w:val="en-US"/>
              </w:rPr>
              <w:t>《爆炸和火灾危险场所防雷装置检测技术规范》GB/T32937-2016。</w:t>
            </w:r>
          </w:p>
        </w:tc>
        <w:tc>
          <w:tcPr>
            <w:tcW w:w="482" w:type="dxa"/>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1.32</w:t>
            </w:r>
          </w:p>
        </w:tc>
        <w:tc>
          <w:tcPr>
            <w:tcW w:w="51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688" w:type="dxa"/>
            <w:vMerge w:val="continue"/>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1048"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高杆灯</w:t>
            </w:r>
          </w:p>
        </w:tc>
        <w:tc>
          <w:tcPr>
            <w:tcW w:w="2256"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接地损坏</w:t>
            </w:r>
          </w:p>
        </w:tc>
        <w:tc>
          <w:tcPr>
            <w:tcW w:w="2018" w:type="dxa"/>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产生电火花，引发火灾、爆炸</w:t>
            </w:r>
          </w:p>
        </w:tc>
        <w:tc>
          <w:tcPr>
            <w:tcW w:w="820"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A级/红色</w:t>
            </w:r>
          </w:p>
        </w:tc>
        <w:tc>
          <w:tcPr>
            <w:tcW w:w="4467" w:type="dxa"/>
            <w:tcBorders>
              <w:right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left"/>
              <w:rPr>
                <w:rStyle w:val="12"/>
                <w:rFonts w:hint="eastAsia" w:ascii="宋体" w:hAnsi="宋体" w:eastAsia="宋体" w:cs="宋体"/>
                <w:b w:val="0"/>
                <w:bCs w:val="0"/>
                <w:sz w:val="21"/>
                <w:szCs w:val="21"/>
                <w:lang w:val="en-US"/>
              </w:rPr>
            </w:pPr>
            <w:r>
              <w:rPr>
                <w:rStyle w:val="12"/>
                <w:rFonts w:hint="eastAsia" w:ascii="宋体" w:hAnsi="宋体" w:eastAsia="宋体" w:cs="宋体"/>
                <w:b w:val="0"/>
                <w:bCs w:val="0"/>
                <w:sz w:val="21"/>
                <w:szCs w:val="21"/>
                <w:lang w:val="en-US"/>
              </w:rPr>
              <w:t>应修复、更换接地线。</w:t>
            </w:r>
          </w:p>
        </w:tc>
        <w:tc>
          <w:tcPr>
            <w:tcW w:w="1985" w:type="dxa"/>
            <w:vMerge w:val="continue"/>
            <w:tcBorders>
              <w:left w:val="single" w:color="auto" w:sz="4" w:space="0"/>
            </w:tcBorders>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b w:val="0"/>
                <w:bCs w:val="0"/>
                <w:sz w:val="21"/>
                <w:szCs w:val="21"/>
                <w:lang w:val="en-US"/>
              </w:rPr>
            </w:pPr>
          </w:p>
        </w:tc>
        <w:tc>
          <w:tcPr>
            <w:tcW w:w="482" w:type="dxa"/>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bl>
    <w:p>
      <w:pPr>
        <w:spacing w:line="1400" w:lineRule="exact"/>
        <w:ind w:firstLine="1486"/>
        <w:rPr>
          <w:rStyle w:val="12"/>
          <w:rFonts w:hint="eastAsia" w:ascii="黑体" w:hAnsi="黑体" w:eastAsia="黑体" w:cs="黑体"/>
          <w:sz w:val="72"/>
          <w:szCs w:val="72"/>
          <w:lang w:val="en-US"/>
        </w:rPr>
      </w:pPr>
    </w:p>
    <w:p>
      <w:pPr>
        <w:spacing w:line="1400" w:lineRule="exact"/>
        <w:ind w:firstLine="241"/>
        <w:rPr>
          <w:rStyle w:val="12"/>
          <w:rFonts w:hint="eastAsia" w:ascii="黑体" w:hAnsi="黑体" w:eastAsia="黑体" w:cs="黑体"/>
          <w:sz w:val="10"/>
          <w:szCs w:val="10"/>
          <w:lang w:val="en-US"/>
        </w:rPr>
      </w:pPr>
    </w:p>
    <w:p>
      <w:pPr>
        <w:spacing w:line="240" w:lineRule="auto"/>
        <w:ind w:firstLine="241"/>
        <w:rPr>
          <w:rStyle w:val="12"/>
          <w:rFonts w:hint="eastAsia" w:ascii="黑体" w:hAnsi="黑体" w:eastAsia="黑体" w:cs="黑体"/>
          <w:sz w:val="10"/>
          <w:szCs w:val="10"/>
          <w:lang w:val="en-US"/>
        </w:rPr>
      </w:pPr>
    </w:p>
    <w:p>
      <w:pPr>
        <w:spacing w:line="240" w:lineRule="auto"/>
        <w:ind w:firstLine="241"/>
        <w:rPr>
          <w:rStyle w:val="12"/>
          <w:rFonts w:hint="eastAsia" w:ascii="黑体" w:hAnsi="黑体" w:eastAsia="黑体" w:cs="黑体"/>
          <w:sz w:val="10"/>
          <w:szCs w:val="10"/>
          <w:lang w:val="en-US"/>
        </w:rPr>
      </w:pPr>
    </w:p>
    <w:p>
      <w:pPr>
        <w:spacing w:line="240" w:lineRule="auto"/>
        <w:ind w:firstLine="241"/>
        <w:rPr>
          <w:rStyle w:val="12"/>
          <w:rFonts w:hint="eastAsia" w:ascii="黑体" w:hAnsi="黑体" w:eastAsia="黑体" w:cs="黑体"/>
          <w:sz w:val="10"/>
          <w:szCs w:val="10"/>
          <w:lang w:val="en-US"/>
        </w:rPr>
      </w:pPr>
    </w:p>
    <w:tbl>
      <w:tblPr>
        <w:tblStyle w:val="9"/>
        <w:tblW w:w="144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525"/>
        <w:gridCol w:w="690"/>
        <w:gridCol w:w="1050"/>
        <w:gridCol w:w="2163"/>
        <w:gridCol w:w="2097"/>
        <w:gridCol w:w="1233"/>
        <w:gridCol w:w="3260"/>
        <w:gridCol w:w="2410"/>
        <w:gridCol w:w="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479"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序号</w:t>
            </w:r>
          </w:p>
        </w:tc>
        <w:tc>
          <w:tcPr>
            <w:tcW w:w="525"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类别</w:t>
            </w:r>
          </w:p>
        </w:tc>
        <w:tc>
          <w:tcPr>
            <w:tcW w:w="69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场所/装置</w:t>
            </w:r>
          </w:p>
        </w:tc>
        <w:tc>
          <w:tcPr>
            <w:tcW w:w="105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部位/</w:t>
            </w:r>
          </w:p>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环节</w:t>
            </w:r>
          </w:p>
        </w:tc>
        <w:tc>
          <w:tcPr>
            <w:tcW w:w="2163"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较大危险因素</w:t>
            </w:r>
          </w:p>
        </w:tc>
        <w:tc>
          <w:tcPr>
            <w:tcW w:w="2097"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易发生/</w:t>
            </w:r>
          </w:p>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诱发的事故类型</w:t>
            </w:r>
          </w:p>
        </w:tc>
        <w:tc>
          <w:tcPr>
            <w:tcW w:w="1233" w:type="dxa"/>
            <w:noWrap w:val="0"/>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危险等级</w:t>
            </w:r>
          </w:p>
        </w:tc>
        <w:tc>
          <w:tcPr>
            <w:tcW w:w="326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主要防范措施</w:t>
            </w:r>
          </w:p>
        </w:tc>
        <w:tc>
          <w:tcPr>
            <w:tcW w:w="2410"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依据</w:t>
            </w:r>
          </w:p>
        </w:tc>
        <w:tc>
          <w:tcPr>
            <w:tcW w:w="495" w:type="dxa"/>
            <w:noWrap w:val="0"/>
            <w:tcMar>
              <w:top w:w="15" w:type="dxa"/>
              <w:left w:w="15" w:type="dxa"/>
              <w:right w:w="15" w:type="dxa"/>
            </w:tcMar>
            <w:vAlign w:val="center"/>
          </w:tcPr>
          <w:p>
            <w:pPr>
              <w:pStyle w:val="13"/>
              <w:shd w:val="clear" w:color="auto" w:fill="auto"/>
              <w:spacing w:before="0" w:line="240" w:lineRule="auto"/>
              <w:ind w:firstLine="0" w:firstLineChars="0"/>
              <w:jc w:val="center"/>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2.1</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高大炉体、高大塔体</w:t>
            </w:r>
          </w:p>
        </w:tc>
        <w:tc>
          <w:tcPr>
            <w:tcW w:w="1050" w:type="dxa"/>
            <w:vMerge w:val="restart"/>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应除锈、刷防锈漆或更换接地线断接卡处的螺母、螺栓</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2.2</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应修复或更换接地线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静设备，粉、粒桶非金属仓，金属制的放散管、呼吸阀、排风管和自然通风管</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2.6</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应除锈、刷防锈漆或更换引下线断接卡处的螺母、螺栓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bidi="ar"/>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9"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sz w:val="21"/>
                <w:szCs w:val="21"/>
                <w:lang w:val="en-US"/>
              </w:rPr>
            </w:pPr>
            <w:r>
              <w:rPr>
                <w:rStyle w:val="12"/>
                <w:rFonts w:hint="eastAsia" w:ascii="宋体" w:hAnsi="宋体" w:eastAsia="宋体" w:cs="宋体"/>
                <w:b w:val="0"/>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2.9</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bidi="ar"/>
              </w:rPr>
              <w:t>静设备，粉、粒桶非金属仓，金属制的放散管、呼吸阀、排风管和自然通风管</w:t>
            </w:r>
          </w:p>
        </w:tc>
        <w:tc>
          <w:tcPr>
            <w:tcW w:w="1050"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b w:val="0"/>
                <w:sz w:val="21"/>
                <w:szCs w:val="21"/>
                <w:lang w:val="en-US"/>
              </w:rPr>
            </w:pPr>
            <w:r>
              <w:rPr>
                <w:rStyle w:val="12"/>
                <w:rFonts w:hint="eastAsia" w:ascii="宋体" w:hAnsi="宋体" w:eastAsia="宋体" w:cs="宋体"/>
                <w:b w:val="0"/>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restart"/>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应除锈、刷防锈漆或更换接地线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应修复或更换接地线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2.12</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机器设备</w:t>
            </w:r>
          </w:p>
        </w:tc>
        <w:tc>
          <w:tcPr>
            <w:tcW w:w="1050" w:type="dxa"/>
            <w:vMerge w:val="restart"/>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应除锈、刷防锈漆或更换接地线断接卡处的螺母、螺栓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应修复或更换接地线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可燃液体露天装卸站</w:t>
            </w:r>
          </w:p>
        </w:tc>
        <w:tc>
          <w:tcPr>
            <w:tcW w:w="1050" w:type="dxa"/>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金属构架</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露天装卸作业场所可不设接闪器，但应将金属构架接地。</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6"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可燃液体棚内装卸站</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2.16</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可燃液体棚内装卸站</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应除锈、刷防锈漆或更换接闪器</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2.19</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2.22</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可燃液体棚内装卸站</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可燃液体输送管道</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进入装卸站台的可燃液体输送管道应在进入点接地，冲击接地电阻值不应大于10Ω</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烟囱、办公用房、其他辅助用房</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9"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2.26</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2.27</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烟囱、办公用房、其他辅助用房</w:t>
            </w:r>
          </w:p>
        </w:tc>
        <w:tc>
          <w:tcPr>
            <w:tcW w:w="105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2.29</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740" w:type="dxa"/>
            <w:gridSpan w:val="2"/>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户外灯具和电器</w:t>
            </w:r>
          </w:p>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地面上高大、耸立的生产设备</w:t>
            </w:r>
          </w:p>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安置在高处的生产设备、照明设施</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等电位连接线接口松动、脱落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top"/>
          </w:tcPr>
          <w:p>
            <w:pPr>
              <w:widowControl/>
              <w:ind w:firstLine="0" w:firstLineChars="0"/>
              <w:jc w:val="left"/>
              <w:textAlignment w:val="center"/>
              <w:rPr>
                <w:rFonts w:hint="eastAsia" w:ascii="宋体" w:hAnsi="宋体" w:eastAsia="宋体" w:cs="宋体"/>
                <w:sz w:val="21"/>
                <w:szCs w:val="21"/>
                <w:lang w:val="en-US" w:bidi="ar"/>
              </w:rPr>
            </w:pP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应修复等电位连接线接口，更换和紧固螺母、螺栓。</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w:t>
            </w:r>
          </w:p>
        </w:tc>
        <w:tc>
          <w:tcPr>
            <w:tcW w:w="241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引向火炬的主管道</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引向火炬的主管道</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相邻、交叉管道跨接线接口松动、脱落、失效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应修复等电位连接线接口，更换和紧固螺母、螺栓。</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2.32</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空旷地区的排气筒</w:t>
            </w:r>
          </w:p>
        </w:tc>
        <w:tc>
          <w:tcPr>
            <w:tcW w:w="1050" w:type="dxa"/>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应除锈、刷防锈漆或更换接地线断接卡处的螺母、螺栓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2.33</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空旷地区的排气筒</w:t>
            </w:r>
          </w:p>
        </w:tc>
        <w:tc>
          <w:tcPr>
            <w:tcW w:w="1050" w:type="dxa"/>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应修复或更换接地线</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桶仓</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2.36</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2.38</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桶仓</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较大金属物</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等电位连接线松动、脱落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建筑物内的设备、管道、构架、电缆金属外皮、钢屋架、门窗等较大金属物应进行等电位连接并接地。等电位连接线应采用截面积不小于6mm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铜线，通过螺钉、螺栓等方式连接。</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2.39</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大型设备</w:t>
            </w:r>
          </w:p>
        </w:tc>
        <w:tc>
          <w:tcPr>
            <w:tcW w:w="1050" w:type="dxa"/>
            <w:vMerge w:val="restart"/>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应除锈、刷防锈漆或更换接地线断接卡处的螺母、螺栓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应修复或更换接地线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框架、管架和管道</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较大金属物</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钢框架、管架应通过立柱与接地装置项链，每根金属管道应与已接地的管架做等电位连接，其连接应采用接地连接件，平行敷设的金属管道，其净距小于100mm时，应每隔30m用金属线连接。管道交叉点净距小于100mm时，其交叉点用金属线跨接。</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2.42</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自然通风开放式冷却塔</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2.45</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机械鼓风逆流式冷却塔</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2.46</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自然通风风筒式冷却塔（双曲线塔）</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2.49</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9"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2.52</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自然通风风筒式冷却塔（双曲线塔）</w:t>
            </w:r>
          </w:p>
        </w:tc>
        <w:tc>
          <w:tcPr>
            <w:tcW w:w="105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机械抽风逆流式或横流式冷却塔</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2.56</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2.57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2.58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2.59</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机械抽风逆流式或横流式冷却塔</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产生电火花，诱发火灾、爆炸</w:t>
            </w:r>
          </w:p>
          <w:p>
            <w:pPr>
              <w:widowControl/>
              <w:ind w:firstLine="0" w:firstLineChars="0"/>
              <w:jc w:val="left"/>
              <w:textAlignment w:val="center"/>
              <w:rPr>
                <w:rFonts w:hint="eastAsia" w:ascii="宋体" w:hAnsi="宋体" w:eastAsia="宋体" w:cs="宋体"/>
                <w:sz w:val="21"/>
                <w:szCs w:val="21"/>
              </w:rPr>
            </w:pP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2.62</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易燃和可燃液体装卸区</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铁路罐车装卸栈桥及罩棚</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铁路罐车装卸栈桥的首、末端及中间处，应与钢轨、工艺管道、鹤管等相互做电气连接并接地。接地线应采用截面积不小于50mm</w:t>
            </w:r>
            <w:r>
              <w:rPr>
                <w:rStyle w:val="14"/>
                <w:rFonts w:hint="default"/>
                <w:sz w:val="21"/>
                <w:szCs w:val="21"/>
                <w:lang w:val="en-US" w:bidi="ar"/>
              </w:rPr>
              <w:t>2</w:t>
            </w:r>
            <w:r>
              <w:rPr>
                <w:rFonts w:hint="eastAsia" w:ascii="宋体" w:hAnsi="宋体" w:eastAsia="宋体" w:cs="宋体"/>
                <w:sz w:val="21"/>
                <w:szCs w:val="21"/>
                <w:lang w:val="en-US" w:bidi="ar"/>
              </w:rPr>
              <w:t>热镀锌扁钢或圆钢，通过焊接、螺栓等方式连接。</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汽车罐车装卸栈桥及罩棚</w:t>
            </w:r>
          </w:p>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液体码头栈桥</w:t>
            </w:r>
          </w:p>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水运装卸码头</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接地线应采用截面积不小于50mm</w:t>
            </w:r>
            <w:r>
              <w:rPr>
                <w:rStyle w:val="14"/>
                <w:rFonts w:hint="default"/>
                <w:sz w:val="21"/>
                <w:szCs w:val="21"/>
                <w:lang w:val="en-US" w:bidi="ar"/>
              </w:rPr>
              <w:t>2</w:t>
            </w:r>
            <w:r>
              <w:rPr>
                <w:rFonts w:hint="eastAsia" w:ascii="宋体" w:hAnsi="宋体" w:eastAsia="宋体" w:cs="宋体"/>
                <w:sz w:val="21"/>
                <w:szCs w:val="21"/>
                <w:lang w:val="en-US" w:bidi="ar"/>
              </w:rPr>
              <w:t>热镀锌扁钢或圆钢，通过焊接、螺栓等方式连接。</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2.64</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储罐区</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放散管、呼吸阀、通气管口</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用做接闪的呼吸阀等的阻火器老化、失效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应更换阻火器或另设接闪器</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浮顶金属储罐的浮顶与罐体</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浮顶金属储罐的浮顶与罐体应进行等电位连接。外浮顶储罐：采用不小于50mm</w:t>
            </w:r>
            <w:r>
              <w:rPr>
                <w:rStyle w:val="14"/>
                <w:rFonts w:hint="default"/>
                <w:sz w:val="21"/>
                <w:szCs w:val="21"/>
                <w:lang w:val="en-US" w:bidi="ar"/>
              </w:rPr>
              <w:t>2</w:t>
            </w:r>
            <w:r>
              <w:rPr>
                <w:rFonts w:hint="eastAsia" w:ascii="宋体" w:hAnsi="宋体" w:eastAsia="宋体" w:cs="宋体"/>
                <w:sz w:val="21"/>
                <w:szCs w:val="21"/>
                <w:lang w:val="en-US" w:bidi="ar"/>
              </w:rPr>
              <w:t>的扁平镀锡软铜复绞线或绝缘阻燃护套软铜复绞线电气连接，不少于2处，均匀分布，间距不应大于30m。内浮顶储罐：采用直径不小于5mm的不锈钢丝绳连接，不少于2处，均匀分布，间距不应大于30m。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2.66</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量油孔、人孔、切水管、透光孔等金属附件</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铜线，通过螺钉、螺栓等方式连接。</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储罐接地线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接地线应采用截面积不小于50mm</w:t>
            </w:r>
            <w:r>
              <w:rPr>
                <w:rStyle w:val="14"/>
                <w:rFonts w:hint="default"/>
                <w:sz w:val="21"/>
                <w:szCs w:val="21"/>
                <w:lang w:val="en-US" w:bidi="ar"/>
              </w:rPr>
              <w:t>2</w:t>
            </w:r>
            <w:r>
              <w:rPr>
                <w:rFonts w:hint="eastAsia" w:ascii="宋体" w:hAnsi="宋体" w:eastAsia="宋体" w:cs="宋体"/>
                <w:sz w:val="21"/>
                <w:szCs w:val="21"/>
                <w:lang w:val="en-US" w:bidi="ar"/>
              </w:rPr>
              <w:t>热镀锌圆钢或扁钢，通过焊接或螺栓等方式连接。</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2.68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储罐接地体断裂、连接松动或接地电阻偏高</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物理损害，诱发火灾、爆炸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开挖检查，及时修复，采取降阻措施</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2.69</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储罐区</w:t>
            </w: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储罐上的仪表金属外壳、设备、灯具、梯子、栏杆、防滑踏步等</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等电位连接线松动、脱落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等电位连接线应采用截面积不小于6mm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铜线，通过螺钉、螺栓等方式连接。</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防火堤内分散布置的金属跨桥、标识牌、气体探测仪、洗眼器以及油气可能积聚的沟渠隔板（金属）</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铜线，通过螺钉、螺栓等方式连接。</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3213" w:type="dxa"/>
            <w:gridSpan w:val="2"/>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bidi="ar"/>
              </w:rPr>
              <w:t>油气输送管道弯头、阀门、金属法兰盘等连接部位电气导通不良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top"/>
          </w:tcPr>
          <w:p>
            <w:pPr>
              <w:widowControl/>
              <w:ind w:firstLine="0" w:firstLineChars="0"/>
              <w:jc w:val="left"/>
              <w:textAlignment w:val="center"/>
              <w:rPr>
                <w:rFonts w:hint="eastAsia" w:ascii="宋体" w:hAnsi="宋体" w:eastAsia="宋体" w:cs="宋体"/>
                <w:sz w:val="21"/>
                <w:szCs w:val="21"/>
                <w:lang w:val="en-US" w:bidi="ar"/>
              </w:rPr>
            </w:pP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应修复、更换跨接线。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铜线、铜片或铜编织线，通过螺钉、螺栓等方式连接。</w:t>
            </w:r>
          </w:p>
        </w:tc>
        <w:tc>
          <w:tcPr>
            <w:tcW w:w="241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2.72</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储罐区</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输油管</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平行或交叉敷设的输油管等电位连接线松动、脱落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等电位连接线应采用截面积不小于6mm</w:t>
            </w:r>
            <w:r>
              <w:rPr>
                <w:rStyle w:val="14"/>
                <w:rFonts w:hint="default"/>
                <w:sz w:val="21"/>
                <w:szCs w:val="21"/>
                <w:lang w:val="en-US" w:bidi="ar"/>
              </w:rPr>
              <w:t>2</w:t>
            </w:r>
            <w:r>
              <w:rPr>
                <w:rFonts w:hint="eastAsia" w:ascii="宋体" w:hAnsi="宋体" w:eastAsia="宋体" w:cs="宋体"/>
                <w:sz w:val="21"/>
                <w:szCs w:val="21"/>
                <w:lang w:val="en-US" w:bidi="ar"/>
              </w:rPr>
              <w:t>铜线，通过螺钉、螺栓等方式连接。</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平行敷设的金属管道，当其净距小于100mm时，应每隔25m左右用金属线跨接一次；当交叉净距小于100mm时，其交叉处亦应跨接。</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输油管道、管架接地线松动、脱落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接地线应采用截面积不小于50mm</w:t>
            </w:r>
            <w:r>
              <w:rPr>
                <w:rStyle w:val="14"/>
                <w:rFonts w:hint="default"/>
                <w:sz w:val="21"/>
                <w:szCs w:val="21"/>
                <w:lang w:val="en-US" w:bidi="ar"/>
              </w:rPr>
              <w:t>2</w:t>
            </w:r>
            <w:r>
              <w:rPr>
                <w:rFonts w:hint="eastAsia" w:ascii="宋体" w:hAnsi="宋体" w:eastAsia="宋体" w:cs="宋体"/>
                <w:sz w:val="21"/>
                <w:szCs w:val="21"/>
                <w:lang w:val="en-US" w:bidi="ar"/>
              </w:rPr>
              <w:t>热镀锌扁钢或圆钢，通过焊接、螺栓等方式连接。接地点不应少于2处，间距不应大于18m。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法兰盘（少于5根螺栓）</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跨接线松动、脱落、失效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应修复、更换跨接线。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跨接线应采用铜线、铜片或铜编织线，通过螺钉、螺栓等方式连接。</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6"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接地装置</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接地装置老化、失效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根据规范要求，运行15年及以上应开挖检查防雷接地装置，发现问题及时修复。</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2.76</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消防泵房</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2.79</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2.80</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restart"/>
            <w:noWrap/>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应除锈、刷防锈漆或更换接地线断接卡处的螺母、螺栓</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应修复或更换接地线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2.82</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控制室</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2.83</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2.84</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Style w:val="14"/>
                <w:rFonts w:hint="default"/>
                <w:sz w:val="21"/>
                <w:szCs w:val="21"/>
                <w:lang w:val="en-US" w:bidi="ar"/>
              </w:rPr>
              <w:t>2</w:t>
            </w:r>
            <w:r>
              <w:rPr>
                <w:rFonts w:hint="eastAsia" w:ascii="宋体" w:hAnsi="宋体" w:eastAsia="宋体" w:cs="宋体"/>
                <w:sz w:val="21"/>
                <w:szCs w:val="21"/>
                <w:lang w:val="en-US" w:bidi="ar"/>
              </w:rPr>
              <w:t>。</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4"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2.86</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2.87</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控制室</w:t>
            </w:r>
          </w:p>
        </w:tc>
        <w:tc>
          <w:tcPr>
            <w:tcW w:w="105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严重锈蚀</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应除锈、刷防锈漆或更换引下线断接卡处的螺母、螺栓</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2.89</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较大金属物</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建筑物内的金属构件、门窗框架、建筑物钢筋、管道、电缆金属外皮等金属物应采取等电位连接、接地。</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2.97</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全部</w:t>
            </w: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电气系统</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SPD老化、失效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检修并更换SPD。</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检查SPD状态标识，有故障标识出现、表面发热等情况时，应将SPD与系统断开连接，排除故障后方可将SPD并入系统。</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2.98</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SPD接地线脱落、断裂</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应修复或更换接地线。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Ⅰ、Ⅱ、Ⅲ级试验的电涌保护器接地线应分别采用截面积不小于6mm</w:t>
            </w:r>
            <w:r>
              <w:rPr>
                <w:rStyle w:val="14"/>
                <w:rFonts w:hint="default"/>
                <w:sz w:val="21"/>
                <w:szCs w:val="21"/>
                <w:lang w:val="en-US" w:bidi="ar"/>
              </w:rPr>
              <w:t>2</w:t>
            </w:r>
            <w:r>
              <w:rPr>
                <w:rFonts w:hint="eastAsia" w:ascii="宋体" w:hAnsi="宋体" w:eastAsia="宋体" w:cs="宋体"/>
                <w:sz w:val="21"/>
                <w:szCs w:val="21"/>
                <w:lang w:val="en-US" w:bidi="ar"/>
              </w:rPr>
              <w:t>、2.5mm</w:t>
            </w:r>
            <w:r>
              <w:rPr>
                <w:rStyle w:val="14"/>
                <w:rFonts w:hint="default"/>
                <w:sz w:val="21"/>
                <w:szCs w:val="21"/>
                <w:lang w:val="en-US" w:bidi="ar"/>
              </w:rPr>
              <w:t>2</w:t>
            </w:r>
            <w:r>
              <w:rPr>
                <w:rFonts w:hint="eastAsia" w:ascii="宋体" w:hAnsi="宋体" w:eastAsia="宋体" w:cs="宋体"/>
                <w:sz w:val="21"/>
                <w:szCs w:val="21"/>
                <w:lang w:val="en-US" w:bidi="ar"/>
              </w:rPr>
              <w:t>、1.5mm</w:t>
            </w:r>
            <w:r>
              <w:rPr>
                <w:rStyle w:val="14"/>
                <w:rFonts w:hint="default"/>
                <w:sz w:val="21"/>
                <w:szCs w:val="21"/>
                <w:lang w:val="en-US" w:bidi="ar"/>
              </w:rPr>
              <w:t>2</w:t>
            </w:r>
            <w:r>
              <w:rPr>
                <w:rFonts w:hint="eastAsia" w:ascii="宋体" w:hAnsi="宋体" w:eastAsia="宋体" w:cs="宋体"/>
                <w:sz w:val="21"/>
                <w:szCs w:val="21"/>
                <w:lang w:val="en-US" w:bidi="ar"/>
              </w:rPr>
              <w:t>铜线。接地线应尽量短直。</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2.99</w:t>
            </w:r>
          </w:p>
        </w:tc>
        <w:tc>
          <w:tcPr>
            <w:tcW w:w="525"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电气系统</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SPD接地线松动</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应修复接地线。</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Ⅰ、Ⅱ、Ⅲ级试验的电涌保护器接地线应分别采用截面积不小于6mm</w:t>
            </w:r>
            <w:r>
              <w:rPr>
                <w:rStyle w:val="14"/>
                <w:rFonts w:hint="default"/>
                <w:sz w:val="21"/>
                <w:szCs w:val="21"/>
                <w:lang w:val="en-US" w:bidi="ar"/>
              </w:rPr>
              <w:t>2</w:t>
            </w:r>
            <w:r>
              <w:rPr>
                <w:rFonts w:hint="eastAsia" w:ascii="宋体" w:hAnsi="宋体" w:eastAsia="宋体" w:cs="宋体"/>
                <w:sz w:val="21"/>
                <w:szCs w:val="21"/>
                <w:lang w:val="en-US" w:bidi="ar"/>
              </w:rPr>
              <w:t>、2.5mm</w:t>
            </w:r>
            <w:r>
              <w:rPr>
                <w:rStyle w:val="14"/>
                <w:rFonts w:hint="default"/>
                <w:sz w:val="21"/>
                <w:szCs w:val="21"/>
                <w:lang w:val="en-US" w:bidi="ar"/>
              </w:rPr>
              <w:t>2</w:t>
            </w:r>
            <w:r>
              <w:rPr>
                <w:rFonts w:hint="eastAsia" w:ascii="宋体" w:hAnsi="宋体" w:eastAsia="宋体" w:cs="宋体"/>
                <w:sz w:val="21"/>
                <w:szCs w:val="21"/>
                <w:lang w:val="en-US" w:bidi="ar"/>
              </w:rPr>
              <w:t>、1.5mm</w:t>
            </w:r>
            <w:r>
              <w:rPr>
                <w:rStyle w:val="14"/>
                <w:rFonts w:hint="default"/>
                <w:sz w:val="21"/>
                <w:szCs w:val="21"/>
                <w:lang w:val="en-US" w:bidi="ar"/>
              </w:rPr>
              <w:t>2</w:t>
            </w:r>
            <w:r>
              <w:rPr>
                <w:rFonts w:hint="eastAsia" w:ascii="宋体" w:hAnsi="宋体" w:eastAsia="宋体" w:cs="宋体"/>
                <w:sz w:val="21"/>
                <w:szCs w:val="21"/>
                <w:lang w:val="en-US" w:bidi="ar"/>
              </w:rPr>
              <w:t>铜线。接地线应尽量短直。</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2.</w:t>
            </w:r>
          </w:p>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100</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全部</w:t>
            </w:r>
          </w:p>
        </w:tc>
        <w:tc>
          <w:tcPr>
            <w:tcW w:w="1050"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电气系统</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线路电缆外皮或金属保护管接地线松动、脱落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电气线路应采用铠装电缆或导线穿钢管配线。配线电缆金属外皮两端、保护钢管两端均应接地。接地线应采用截面积不小于16mm</w:t>
            </w:r>
            <w:r>
              <w:rPr>
                <w:rStyle w:val="14"/>
                <w:rFonts w:hint="default"/>
                <w:sz w:val="21"/>
                <w:szCs w:val="21"/>
                <w:lang w:val="en-US" w:bidi="ar"/>
              </w:rPr>
              <w:t>2</w:t>
            </w:r>
            <w:r>
              <w:rPr>
                <w:rFonts w:hint="eastAsia" w:ascii="宋体" w:hAnsi="宋体" w:eastAsia="宋体" w:cs="宋体"/>
                <w:sz w:val="21"/>
                <w:szCs w:val="21"/>
                <w:lang w:val="en-US" w:bidi="ar"/>
              </w:rPr>
              <w:t>铜线，通过螺钉、螺栓等方式连接。</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2.</w:t>
            </w:r>
          </w:p>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101</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vMerge w:val="restart"/>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监控、网络等电子系统</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SPD接地线脱落、断裂</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D1类电涌保护器接地线应采用截面积不小于1.2mm</w:t>
            </w:r>
            <w:r>
              <w:rPr>
                <w:rStyle w:val="14"/>
                <w:rFonts w:hint="default"/>
                <w:sz w:val="21"/>
                <w:szCs w:val="21"/>
                <w:lang w:val="en-US" w:bidi="ar"/>
              </w:rPr>
              <w:t>2</w:t>
            </w:r>
            <w:r>
              <w:rPr>
                <w:rFonts w:hint="eastAsia" w:ascii="宋体" w:hAnsi="宋体" w:eastAsia="宋体" w:cs="宋体"/>
                <w:sz w:val="21"/>
                <w:szCs w:val="21"/>
                <w:lang w:val="en-US" w:bidi="ar"/>
              </w:rPr>
              <w:t>铜线，其他类的电涌保护器接地线采用铜线截面积根据具体情况确定，可小于1.2mm</w:t>
            </w:r>
            <w:r>
              <w:rPr>
                <w:rStyle w:val="14"/>
                <w:rFonts w:hint="default"/>
                <w:sz w:val="21"/>
                <w:szCs w:val="21"/>
                <w:lang w:val="en-US" w:bidi="ar"/>
              </w:rPr>
              <w:t>2</w:t>
            </w:r>
            <w:r>
              <w:rPr>
                <w:rFonts w:hint="eastAsia" w:ascii="宋体" w:hAnsi="宋体" w:eastAsia="宋体" w:cs="宋体"/>
                <w:sz w:val="21"/>
                <w:szCs w:val="21"/>
                <w:lang w:val="en-US" w:bidi="ar"/>
              </w:rPr>
              <w:t>。接线应尽量短直。</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79"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2.</w:t>
            </w:r>
          </w:p>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102</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1050"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SPD老化、失效</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产生电涌侵入，诱发电子系统失效或设备损坏</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检修并更换SPD。</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检查SPD状态标识，有故障标识出现、表面发热等情况时，应将SPD与系统断开连接，排除故障后方可将SPD并入系统。</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2.</w:t>
            </w:r>
          </w:p>
          <w:p>
            <w:pPr>
              <w:widowControl/>
              <w:ind w:firstLine="0" w:firstLineChars="0"/>
              <w:jc w:val="center"/>
              <w:textAlignment w:val="center"/>
              <w:rPr>
                <w:rFonts w:ascii="宋体" w:hAnsi="宋体" w:eastAsia="宋体" w:cs="宋体"/>
                <w:sz w:val="21"/>
                <w:szCs w:val="21"/>
                <w:lang w:val="en-US" w:bidi="ar"/>
              </w:rPr>
            </w:pPr>
            <w:r>
              <w:rPr>
                <w:rFonts w:hint="eastAsia" w:ascii="宋体" w:hAnsi="宋体" w:eastAsia="宋体" w:cs="宋体"/>
                <w:sz w:val="21"/>
                <w:szCs w:val="21"/>
                <w:lang w:val="en-US" w:bidi="ar"/>
              </w:rPr>
              <w:t>103</w:t>
            </w:r>
          </w:p>
        </w:tc>
        <w:tc>
          <w:tcPr>
            <w:tcW w:w="525"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监控、网络等电子系统</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SPD接地线松动</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D1类电涌保护器接地线应采用截面积不小于1.2mm</w:t>
            </w:r>
            <w:r>
              <w:rPr>
                <w:rStyle w:val="14"/>
                <w:rFonts w:hint="default"/>
                <w:sz w:val="21"/>
                <w:szCs w:val="21"/>
                <w:lang w:val="en-US" w:bidi="ar"/>
              </w:rPr>
              <w:t>2</w:t>
            </w:r>
            <w:r>
              <w:rPr>
                <w:rFonts w:hint="eastAsia" w:ascii="宋体" w:hAnsi="宋体" w:eastAsia="宋体" w:cs="宋体"/>
                <w:sz w:val="21"/>
                <w:szCs w:val="21"/>
                <w:lang w:val="en-US" w:bidi="ar"/>
              </w:rPr>
              <w:t>铜线，其他类的电涌保护器接地线采用铜线截面积根据具体情况确定，可小于1.2mm</w:t>
            </w:r>
            <w:r>
              <w:rPr>
                <w:rStyle w:val="14"/>
                <w:rFonts w:hint="default"/>
                <w:sz w:val="21"/>
                <w:szCs w:val="21"/>
                <w:lang w:val="en-US" w:bidi="ar"/>
              </w:rPr>
              <w:t>2</w:t>
            </w:r>
            <w:r>
              <w:rPr>
                <w:rFonts w:hint="eastAsia" w:ascii="宋体" w:hAnsi="宋体" w:eastAsia="宋体" w:cs="宋体"/>
                <w:sz w:val="21"/>
                <w:szCs w:val="21"/>
                <w:lang w:val="en-US" w:bidi="ar"/>
              </w:rPr>
              <w:t>。接线应尽量短直。</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2.</w:t>
            </w:r>
          </w:p>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104</w:t>
            </w:r>
          </w:p>
        </w:tc>
        <w:tc>
          <w:tcPr>
            <w:tcW w:w="525"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化</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90"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全部</w:t>
            </w:r>
          </w:p>
        </w:tc>
        <w:tc>
          <w:tcPr>
            <w:tcW w:w="1050"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bidi="ar"/>
              </w:rPr>
              <w:t>监控、网络等电子系统</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线路电缆外皮或金属保护管接地线松动、脱落</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0" w:firstLineChars="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电气线路应采用铠装电缆或导线穿钢管配线。配线电缆金属外皮两端、保护钢管两端均应接地。接地线应采用截面积不小于16mm</w:t>
            </w:r>
            <w:r>
              <w:rPr>
                <w:rStyle w:val="14"/>
                <w:rFonts w:hint="default"/>
                <w:sz w:val="21"/>
                <w:szCs w:val="21"/>
                <w:lang w:val="en-US" w:bidi="ar"/>
              </w:rPr>
              <w:t>2</w:t>
            </w:r>
            <w:r>
              <w:rPr>
                <w:rFonts w:hint="eastAsia" w:ascii="宋体" w:hAnsi="宋体" w:eastAsia="宋体" w:cs="宋体"/>
                <w:sz w:val="21"/>
                <w:szCs w:val="21"/>
                <w:lang w:val="en-US" w:bidi="ar"/>
              </w:rPr>
              <w:t>铜线，通过螺钉、螺栓等方式连接。</w:t>
            </w:r>
          </w:p>
        </w:tc>
        <w:tc>
          <w:tcPr>
            <w:tcW w:w="2410" w:type="dxa"/>
            <w:vMerge w:val="restart"/>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《石油化工装置防雷设计规范》GB50650-2011；</w:t>
            </w:r>
          </w:p>
          <w:p>
            <w:pPr>
              <w:widowControl/>
              <w:ind w:firstLine="0" w:firstLineChars="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《建筑物防雷设计规范》GB50057-2010；</w:t>
            </w:r>
          </w:p>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《爆炸和火灾危险场所防雷装置检测技术规范》GB/T32937-2016</w:t>
            </w: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9"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2.</w:t>
            </w:r>
          </w:p>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105</w:t>
            </w:r>
          </w:p>
        </w:tc>
        <w:tc>
          <w:tcPr>
            <w:tcW w:w="525" w:type="dxa"/>
            <w:vMerge w:val="continue"/>
            <w:noWrap w:val="0"/>
            <w:tcMar>
              <w:top w:w="15" w:type="dxa"/>
              <w:left w:w="15" w:type="dxa"/>
              <w:right w:w="15" w:type="dxa"/>
            </w:tcMar>
            <w:vAlign w:val="center"/>
          </w:tcPr>
          <w:p>
            <w:pPr>
              <w:ind w:firstLine="0" w:firstLineChars="0"/>
              <w:jc w:val="left"/>
              <w:rPr>
                <w:rFonts w:hint="eastAsia" w:ascii="宋体" w:hAnsi="宋体" w:eastAsia="宋体" w:cs="宋体"/>
                <w:sz w:val="21"/>
                <w:szCs w:val="21"/>
              </w:rPr>
            </w:pPr>
          </w:p>
        </w:tc>
        <w:tc>
          <w:tcPr>
            <w:tcW w:w="690"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1050"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高杆灯</w:t>
            </w:r>
          </w:p>
        </w:tc>
        <w:tc>
          <w:tcPr>
            <w:tcW w:w="2163"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接地损坏</w:t>
            </w:r>
          </w:p>
        </w:tc>
        <w:tc>
          <w:tcPr>
            <w:tcW w:w="2097"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1233"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260" w:type="dxa"/>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应修复、更换接地线。</w:t>
            </w:r>
          </w:p>
        </w:tc>
        <w:tc>
          <w:tcPr>
            <w:tcW w:w="2410" w:type="dxa"/>
            <w:vMerge w:val="continue"/>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p>
        </w:tc>
        <w:tc>
          <w:tcPr>
            <w:tcW w:w="495" w:type="dxa"/>
            <w:noWrap/>
            <w:tcMar>
              <w:top w:w="15" w:type="dxa"/>
              <w:left w:w="15" w:type="dxa"/>
              <w:right w:w="15" w:type="dxa"/>
            </w:tcMar>
            <w:vAlign w:val="center"/>
          </w:tcPr>
          <w:p>
            <w:pPr>
              <w:ind w:firstLine="0" w:firstLineChars="0"/>
              <w:jc w:val="left"/>
              <w:rPr>
                <w:rFonts w:hint="eastAsia" w:ascii="宋体" w:hAnsi="宋体" w:eastAsia="宋体" w:cs="宋体"/>
                <w:sz w:val="21"/>
                <w:szCs w:val="21"/>
              </w:rPr>
            </w:pPr>
          </w:p>
        </w:tc>
      </w:tr>
    </w:tbl>
    <w:p>
      <w:pPr>
        <w:spacing w:line="240" w:lineRule="auto"/>
        <w:ind w:firstLine="462"/>
        <w:rPr>
          <w:rStyle w:val="12"/>
          <w:rFonts w:hint="eastAsia" w:ascii="黑体" w:hAnsi="黑体" w:eastAsia="黑体" w:cs="黑体"/>
          <w:sz w:val="21"/>
          <w:szCs w:val="21"/>
          <w:lang w:val="en-US"/>
        </w:rPr>
      </w:pPr>
      <w:r>
        <w:rPr>
          <w:rStyle w:val="12"/>
          <w:rFonts w:hint="eastAsia" w:ascii="黑体" w:hAnsi="黑体" w:eastAsia="黑体" w:cs="黑体"/>
          <w:sz w:val="21"/>
          <w:szCs w:val="21"/>
          <w:lang w:val="en-US"/>
        </w:rPr>
        <w:br w:type="page"/>
      </w:r>
    </w:p>
    <w:tbl>
      <w:tblPr>
        <w:tblStyle w:val="9"/>
        <w:tblW w:w="138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462"/>
        <w:gridCol w:w="668"/>
        <w:gridCol w:w="1153"/>
        <w:gridCol w:w="2117"/>
        <w:gridCol w:w="2117"/>
        <w:gridCol w:w="952"/>
        <w:gridCol w:w="3416"/>
        <w:gridCol w:w="1967"/>
        <w:gridCol w:w="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484" w:type="dxa"/>
            <w:noWrap w:val="0"/>
            <w:tcMar>
              <w:top w:w="15" w:type="dxa"/>
              <w:left w:w="15" w:type="dxa"/>
              <w:right w:w="15" w:type="dxa"/>
            </w:tcMar>
            <w:vAlign w:val="center"/>
          </w:tcPr>
          <w:p>
            <w:pPr>
              <w:widowControl/>
              <w:ind w:firstLine="0" w:firstLineChars="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序号</w:t>
            </w:r>
          </w:p>
        </w:tc>
        <w:tc>
          <w:tcPr>
            <w:tcW w:w="462"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rPr>
            </w:pPr>
            <w:r>
              <w:rPr>
                <w:rFonts w:hint="eastAsia" w:ascii="宋体" w:hAnsi="宋体" w:eastAsia="宋体" w:cs="宋体"/>
                <w:sz w:val="21"/>
                <w:szCs w:val="21"/>
                <w:lang w:val="en-US"/>
              </w:rPr>
              <w:t>类别</w:t>
            </w:r>
          </w:p>
        </w:tc>
        <w:tc>
          <w:tcPr>
            <w:tcW w:w="668"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rPr>
            </w:pPr>
            <w:r>
              <w:rPr>
                <w:rFonts w:hint="eastAsia" w:ascii="宋体" w:hAnsi="宋体" w:eastAsia="宋体" w:cs="宋体"/>
                <w:sz w:val="21"/>
                <w:szCs w:val="21"/>
                <w:lang w:val="en-US"/>
              </w:rPr>
              <w:t>场所/装置</w:t>
            </w: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部位/环节</w:t>
            </w:r>
          </w:p>
        </w:tc>
        <w:tc>
          <w:tcPr>
            <w:tcW w:w="2117"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较大危险因素</w:t>
            </w:r>
          </w:p>
        </w:tc>
        <w:tc>
          <w:tcPr>
            <w:tcW w:w="2117"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易发生/</w:t>
            </w:r>
          </w:p>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诱发的事故类型</w:t>
            </w:r>
          </w:p>
        </w:tc>
        <w:tc>
          <w:tcPr>
            <w:tcW w:w="952" w:type="dxa"/>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危险等级</w:t>
            </w:r>
          </w:p>
        </w:tc>
        <w:tc>
          <w:tcPr>
            <w:tcW w:w="3416"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主要防范措施</w:t>
            </w:r>
          </w:p>
        </w:tc>
        <w:tc>
          <w:tcPr>
            <w:tcW w:w="1967"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依据</w:t>
            </w:r>
          </w:p>
        </w:tc>
        <w:tc>
          <w:tcPr>
            <w:tcW w:w="517" w:type="dxa"/>
            <w:noWrap w:val="0"/>
            <w:tcMar>
              <w:top w:w="15" w:type="dxa"/>
              <w:left w:w="15" w:type="dxa"/>
              <w:right w:w="15" w:type="dxa"/>
            </w:tcMar>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储罐区储罐区</w:t>
            </w: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放散管、呼吸阀、通气管口</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用做接闪的呼吸阀等的阻火器老化、失效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应更换阻火器或另设接闪器</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浮顶金属储罐的浮顶与罐体</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浮顶金属储罐的浮顶与罐体应进行等电位连接。外浮顶储罐：采用不小于50mm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的扁平镀锡软铜复绞线或绝缘阻燃护套软铜复绞线电气连接，不少于2处，均匀分布，间距不应大于30m。内浮顶储罐：采用直径不小于5mm的不锈钢丝绳连接，不少于2处，均匀分布，间距不应大于30m。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量油孔、人孔、切水管、透光孔等金属附件</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0"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储罐接地线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接地线应采用截面积不小于50mm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热镀锌圆钢或扁钢，通过焊接或螺栓等方式连接。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储罐区</w:t>
            </w: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储罐上的仪表金属外壳、设备、灯具、梯子、栏杆、防滑踏步等</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防火堤内分散布置的金属跨桥、标识牌、气体探测仪、洗眼器以及油气可能积聚的沟渠隔板（金属）</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5"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油气输送管道弯头、阀门、金属法兰盘等连接部位电气导通不良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应修复、更换跨接线。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铜线、铜片或铜编织线，通过螺钉、螺栓等方式连接。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储罐区</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输油管</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平行或交叉敷设的输油管等电位连接线松动、脱落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平行敷设的金属管道，当其净距小于100mm时，应每隔25m左右用金属线跨接一次；当交叉净距小于100mm时，其交叉处亦应跨接。</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输油管道、管架接地线松动、脱落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接地线应采用截面积不小于50mm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热镀锌扁钢或圆钢，通过焊接、螺栓等方式连接。接地点不应少于2处，间距不应大于18m。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法兰盘（少于5根螺栓）</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跨接线松动、脱落、失效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应修复、更换跨接线。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跨接线应采用铜线、铜片或铜编织线，通过螺钉、螺栓等方式连接。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8"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3.11</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接地装置</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接地装置老化、失效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根据规范要求，运行15年及以上应开挖检查防雷接地装置，发现问题及时修复。</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3.12</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装卸区</w:t>
            </w: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铁路罐车装卸栈桥</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铁路罐车装卸栈桥的首、末端及中间处，应与钢轨、工艺管道、鹤管等相互做电气连接并接地。接地线应采用截面积不小于50mm2热镀锌扁钢或圆钢，通过焊接、螺栓等方式连接。</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装卸码头设备（输油臂、消防炮、登船梯等）</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接地线应采用截面积不小于50mm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热镀锌扁钢或圆钢，通过焊接、螺栓等方式连接。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木质或其他绝缘材料的油驳开展装卸作业</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作业前应将桅杆或其它金属物与水线以下的铜板连接或借助码头的地接地装置进行接地</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装卸棚</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3.16</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3.18</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装卸棚</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产生电火花、电涌侵入，诱发火灾、电气、电子系统失效或设备损坏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3.19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3.21</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易燃液体输送管道</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进行液体装卸区的易燃液体输送管道在进入点应接地，接地线应采用截面积不小于50mm2热镀锌扁钢或圆钢，通过焊接、螺栓等方式连接，接地电阻不应大于20Ω。</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3.23</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装卸棚</w:t>
            </w: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卸车防静电接地</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应修复、更换等接地线。</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装卸场地应设置防雷防静电跨接的静电装置，并设置于爆炸危险1区以外区域。</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泵站</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3.26</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6"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3.28</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泵站</w:t>
            </w:r>
          </w:p>
        </w:tc>
        <w:tc>
          <w:tcPr>
            <w:tcW w:w="1153" w:type="dxa"/>
            <w:vMerge w:val="restart"/>
            <w:noWrap w:val="0"/>
            <w:tcMar>
              <w:top w:w="15" w:type="dxa"/>
              <w:left w:w="15" w:type="dxa"/>
              <w:right w:w="15" w:type="dxa"/>
            </w:tcMar>
            <w:vAlign w:val="center"/>
          </w:tcPr>
          <w:p>
            <w:pPr>
              <w:ind w:firstLine="42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3.29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3.31</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长金属管线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金属管道、线缆的金属外皮、架空电缆的金属桥架以及暖气管道等长金属应在泵房入户处接地，应采用截面积不小于16mm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铜线，通过螺钉、螺栓等方式连接至等电位连接排。</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较大金属物</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泵机、管道、构架、电缆金属外皮、钢屋架、门窗等较大金属物应进行等电位连接并接地。等电位连接线应采用截面积不小于6mm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3.33</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油气回收处理装置</w:t>
            </w: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放散管、呼吸阀、通风管</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用做接闪的呼吸阀等的阻火器老化、失效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应更换阻火器或另设接闪器</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设备、仪表、灯具、梯子、栏杆、防滑踏步等金属物</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设备、仪表、灯具、梯子、栏杆、防滑踏步等应进行等电位连接，等电位连接线应采用截面积不小于6mm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灌桶间</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3.36</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3.38</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3.39</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灌桶间</w:t>
            </w:r>
          </w:p>
        </w:tc>
        <w:tc>
          <w:tcPr>
            <w:tcW w:w="1153" w:type="dxa"/>
            <w:vMerge w:val="restart"/>
            <w:noWrap w:val="0"/>
            <w:tcMar>
              <w:top w:w="15" w:type="dxa"/>
              <w:left w:w="15" w:type="dxa"/>
              <w:right w:w="15" w:type="dxa"/>
            </w:tcMar>
            <w:vAlign w:val="center"/>
          </w:tcPr>
          <w:p>
            <w:pPr>
              <w:ind w:firstLine="42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3.41</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长金属管线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金属管道、线缆的金属外皮、架空电缆的金属桥架以及暖气管道等长金属应在泵房入户处接地，应采用截面积不小于16mm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铜线，通过螺钉、螺栓等方式连接至等电位连接排。</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较大金属物</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泵机、管道、构架、电缆金属外皮、钢屋架、门窗等较大金属物应进行等电位连接并接地。等电位连接线应采用截面积不小于6mm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3.44</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灌桶间</w:t>
            </w: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法兰盘（少于5根螺栓）</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跨接线松动、脱落、失效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应修复、更换跨接线。</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跨接线应采用铜线、铜片或铜编织线，通过螺钉、螺栓等方式连接。</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油气输送管道弯头、阀门等</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跨接线松动、脱落、失效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应修复、更换跨接线。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跨接线应采用铜线、铜片或铜编织线，通过螺钉、螺栓等方式连接。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3.46</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卸车防静电接地</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接地线应采用铜线、铜片或铜编织线，通过螺钉、螺栓等方式连接。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消除人体静电装置</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甲、乙、丙A类油品（原油除外）作业场所应设置消除人体静电装置。接地线应采用铜线、铜片或铜编织线，通过螺钉、螺栓等方式连接。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3.48</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仓库</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3.49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3.51</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仓库</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产生电火花、电涌侵入，诱发火灾、爆炸、电气、电子系统失效或设备损坏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较大金属物</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建筑物内的设备、管道、构架、电缆金属外皮、钢屋架、门窗等较大金属物应进行等电位连接并接地。等电位连接线应采用截面积不小于6mm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3.56</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ascii="宋体" w:hAnsi="宋体" w:eastAsia="宋体" w:cs="宋体"/>
                <w:sz w:val="21"/>
                <w:szCs w:val="21"/>
                <w:lang w:val="en-US" w:bidi="ar"/>
              </w:rPr>
            </w:pPr>
            <w:r>
              <w:rPr>
                <w:rFonts w:hint="eastAsia" w:ascii="宋体" w:hAnsi="宋体" w:eastAsia="宋体" w:cs="宋体"/>
                <w:sz w:val="21"/>
                <w:szCs w:val="21"/>
                <w:lang w:val="en-US" w:bidi="ar"/>
              </w:rPr>
              <w:t>洗桶间/控制室</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移除接闪器（接闪带、接闪杆、接闪线）上附着的电气、电子线路</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3.58</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3.59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3.61</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3.62</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洗桶间/控制室</w:t>
            </w:r>
          </w:p>
        </w:tc>
        <w:tc>
          <w:tcPr>
            <w:tcW w:w="1153" w:type="dxa"/>
            <w:noWrap w:val="0"/>
            <w:tcMar>
              <w:top w:w="15" w:type="dxa"/>
              <w:left w:w="15" w:type="dxa"/>
              <w:right w:w="15" w:type="dxa"/>
            </w:tcMar>
            <w:vAlign w:val="center"/>
          </w:tcPr>
          <w:p>
            <w:pPr>
              <w:ind w:firstLine="42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应修复或更换引下线</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较大金属物</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建筑物内的设备、管道、构架、电缆金属外皮、钢屋架、门窗等较大金属物应进行等电位连接并接地。等电位连接线应采用截面积不小于6mm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val="0"/>
            <w:tcMar>
              <w:top w:w="15" w:type="dxa"/>
              <w:left w:w="15" w:type="dxa"/>
              <w:right w:w="15" w:type="dxa"/>
            </w:tcMar>
            <w:vAlign w:val="center"/>
          </w:tcPr>
          <w:p>
            <w:pPr>
              <w:ind w:firstLine="0" w:firstLineChars="0"/>
              <w:jc w:val="center"/>
              <w:rPr>
                <w:rFonts w:ascii="宋体" w:hAnsi="宋体" w:eastAsia="宋体" w:cs="宋体"/>
                <w:sz w:val="21"/>
                <w:szCs w:val="21"/>
                <w:lang w:val="en-US" w:bidi="ar"/>
              </w:rPr>
            </w:pPr>
            <w:r>
              <w:rPr>
                <w:rFonts w:hint="eastAsia" w:ascii="宋体" w:hAnsi="宋体" w:eastAsia="宋体" w:cs="宋体"/>
                <w:sz w:val="21"/>
                <w:szCs w:val="21"/>
                <w:lang w:val="en-US" w:bidi="ar"/>
              </w:rPr>
              <w:t>办公楼/警卫室/污水处理设施/计量室/化验室/消防泵房/机修间/空气压缩机间</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3.66</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3.68</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办公楼/警卫室/污水处理设施/计量室/化验室/消防泵房/机修间/空气压缩机间</w:t>
            </w:r>
          </w:p>
        </w:tc>
        <w:tc>
          <w:tcPr>
            <w:tcW w:w="1153" w:type="dxa"/>
            <w:vMerge w:val="restart"/>
            <w:noWrap w:val="0"/>
            <w:tcMar>
              <w:top w:w="15" w:type="dxa"/>
              <w:left w:w="15" w:type="dxa"/>
              <w:right w:w="15" w:type="dxa"/>
            </w:tcMar>
            <w:vAlign w:val="center"/>
          </w:tcPr>
          <w:p>
            <w:pPr>
              <w:ind w:firstLine="420"/>
              <w:jc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3.69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3.71</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变配电间</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2" w:type="dxa"/>
            <w:noWrap w:val="0"/>
            <w:vAlign w:val="center"/>
          </w:tcPr>
          <w:p>
            <w:pPr>
              <w:ind w:firstLine="420"/>
              <w:jc w:val="center"/>
              <w:rPr>
                <w:rFonts w:hint="eastAsia" w:ascii="宋体" w:hAnsi="宋体" w:eastAsia="宋体" w:cs="宋体"/>
                <w:sz w:val="21"/>
                <w:szCs w:val="21"/>
              </w:rPr>
            </w:pP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3.74</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变配电间</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产生电火花、电涌侵入，诱发火灾、爆炸、电气、电子系统失效或设备损坏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3.76</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3.78</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柴油发电机间</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3.79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产生物理损害、电火花，诱发火灾、爆炸</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3.80</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柴油发电机间</w:t>
            </w:r>
          </w:p>
        </w:tc>
        <w:tc>
          <w:tcPr>
            <w:tcW w:w="1153" w:type="dxa"/>
            <w:noWrap w:val="0"/>
            <w:tcMar>
              <w:top w:w="15" w:type="dxa"/>
              <w:left w:w="15" w:type="dxa"/>
              <w:right w:w="15" w:type="dxa"/>
            </w:tcMar>
            <w:vAlign w:val="center"/>
          </w:tcPr>
          <w:p>
            <w:pPr>
              <w:ind w:firstLine="420"/>
              <w:jc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产生物理损害、电火花，诱发火灾</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应修复或更换接闪器</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3.81</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产生电火花、电涌侵入，诱发火灾、爆炸、电气、电子系统失效或设备损坏</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952" w:type="dxa"/>
            <w:noWrap w:val="0"/>
            <w:vAlign w:val="center"/>
          </w:tcPr>
          <w:p>
            <w:pPr>
              <w:pStyle w:val="13"/>
              <w:shd w:val="clear" w:color="auto" w:fill="auto"/>
              <w:spacing w:before="0" w:line="240" w:lineRule="auto"/>
              <w:ind w:firstLine="0" w:firstLineChars="0"/>
              <w:jc w:val="both"/>
              <w:rPr>
                <w:rStyle w:val="12"/>
                <w:rFonts w:hint="eastAsia" w:ascii="宋体" w:hAnsi="宋体" w:eastAsia="宋体" w:cs="宋体"/>
                <w:sz w:val="21"/>
                <w:szCs w:val="21"/>
                <w:lang w:val="en-US"/>
              </w:rPr>
            </w:pPr>
            <w:r>
              <w:rPr>
                <w:rStyle w:val="12"/>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柴油罐</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应修复、更换接地线。接地线应采用截面积不小于50mm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热镀锌圆钢或扁钢，通过焊接或螺栓等方式连接。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3.86</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氮气罐</w:t>
            </w:r>
          </w:p>
        </w:tc>
        <w:tc>
          <w:tcPr>
            <w:tcW w:w="1153" w:type="dxa"/>
            <w:noWrap/>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接地线应采用截面积不小于50mm2热镀锌圆钢或扁钢，通过焊接或螺栓等方式连接。</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3.87</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全部</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电气系统</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SPD老化、失效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产生电涌侵入，诱发电子系统失效或设备损坏</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检修并更换SPD。检查SPD状态标识，有故障标识出现、表面发热等情况时，应将SPD与系统断开连接，排除故障后方可将SPD并入系统。</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3.88</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SPD接地线脱落、断裂</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应修复或更换接地线。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Ⅰ、Ⅱ、Ⅲ级试验的电涌保护器接地线应分别采用截面积不小于6mm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、2.5mm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、1.5mm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铜线。接地线应尽量短直。</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3.89</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SPD接地线松动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应修复接地线。Ⅰ、Ⅱ、Ⅲ级试验的电涌保护器接地线应分别采用截面积不小于6mm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、2.5mm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、1.5mm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铜线。接地线应尽量短直。</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3.90</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线路电缆外皮或金属保护管接地线松动、脱落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rPr>
            </w:pPr>
            <w:r>
              <w:rPr>
                <w:rFonts w:hint="eastAsia" w:ascii="宋体" w:hAnsi="宋体" w:eastAsia="宋体" w:cs="宋体"/>
                <w:sz w:val="21"/>
                <w:szCs w:val="21"/>
                <w:lang w:val="en-US" w:bidi="ar"/>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电气线路应采用铠装电缆或导线穿钢管配线。配线电缆金属外皮两端、保护钢管两端均应接地。接地线应采用截面积不小于16mm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3.91</w:t>
            </w:r>
          </w:p>
        </w:tc>
        <w:tc>
          <w:tcPr>
            <w:tcW w:w="462"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石</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行</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业</w:t>
            </w:r>
          </w:p>
        </w:tc>
        <w:tc>
          <w:tcPr>
            <w:tcW w:w="668" w:type="dxa"/>
            <w:vMerge w:val="restart"/>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全部</w:t>
            </w:r>
          </w:p>
        </w:tc>
        <w:tc>
          <w:tcPr>
            <w:tcW w:w="1153" w:type="dxa"/>
            <w:vMerge w:val="restart"/>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监控、网络等电子系统</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SPD接地线脱落、断裂</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D1类电涌保护器接地线应采用截面积不小于1.2mm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铜线，其他类的电涌保护器接地线采用铜线截面积根据具体情况确定，可小于1.2mm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。接线应尽量短直。</w:t>
            </w:r>
          </w:p>
        </w:tc>
        <w:tc>
          <w:tcPr>
            <w:tcW w:w="1967" w:type="dxa"/>
            <w:vMerge w:val="restart"/>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《石油库设计规范》GB50074-2014、《建筑物防雷设计规范》GB50057-2010、《爆炸和火灾危险场所防雷装置检测技术规范》GB/T32937-2016</w:t>
            </w: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3.92</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SPD老化、失效</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产生电涌侵入，诱发电子系统失效或设备损坏</w:t>
            </w:r>
          </w:p>
        </w:tc>
        <w:tc>
          <w:tcPr>
            <w:tcW w:w="952" w:type="dxa"/>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检修并更换SPD。检查SPD状态标识，有故障标识出现、表面发热等情况时，应将SPD与系统断开连接，排除故障后方可将SPD并入系统。</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3.93</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SPD接地线松动</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应修复、更换接地线。D1类电涌保护器接地线应采用截面积不小于1.2mm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铜线，其他类的电涌保护器接地线采用铜线截面积根据具体情况确定，可小于1.2mm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。接线应尽量短直。</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3.94</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vMerge w:val="continue"/>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线路电缆外皮或金属保护管接地线松动、脱落</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电气线路应采用铠装电缆或导线穿钢管配线。配线电缆金属外皮两端、保护钢管两端均应接地。接地线应采用截面积不小于16mm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84" w:type="dxa"/>
            <w:noWrap w:val="0"/>
            <w:tcMar>
              <w:top w:w="15" w:type="dxa"/>
              <w:left w:w="15" w:type="dxa"/>
              <w:right w:w="15" w:type="dxa"/>
            </w:tcMar>
            <w:vAlign w:val="center"/>
          </w:tcPr>
          <w:p>
            <w:pPr>
              <w:widowControl/>
              <w:ind w:firstLine="0" w:firstLineChars="0"/>
              <w:jc w:val="center"/>
              <w:textAlignment w:val="center"/>
              <w:rPr>
                <w:rFonts w:ascii="宋体" w:hAnsi="宋体" w:eastAsia="宋体" w:cs="宋体"/>
                <w:sz w:val="21"/>
                <w:szCs w:val="21"/>
                <w:lang w:val="en-US"/>
              </w:rPr>
            </w:pPr>
            <w:r>
              <w:rPr>
                <w:rFonts w:hint="eastAsia" w:ascii="宋体" w:hAnsi="宋体" w:eastAsia="宋体" w:cs="宋体"/>
                <w:sz w:val="21"/>
                <w:szCs w:val="21"/>
                <w:lang w:val="en-US"/>
              </w:rPr>
              <w:t>3.95</w:t>
            </w:r>
          </w:p>
        </w:tc>
        <w:tc>
          <w:tcPr>
            <w:tcW w:w="462"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68" w:type="dxa"/>
            <w:vMerge w:val="continue"/>
            <w:noWrap w:val="0"/>
            <w:tcMar>
              <w:top w:w="15" w:type="dxa"/>
              <w:left w:w="15" w:type="dxa"/>
              <w:right w:w="15" w:type="dxa"/>
            </w:tcMar>
            <w:vAlign w:val="center"/>
          </w:tcPr>
          <w:p>
            <w:pPr>
              <w:ind w:firstLine="0" w:firstLineChars="0"/>
              <w:jc w:val="center"/>
              <w:rPr>
                <w:rFonts w:hint="eastAsia" w:ascii="宋体" w:hAnsi="宋体" w:eastAsia="宋体" w:cs="宋体"/>
                <w:sz w:val="21"/>
                <w:szCs w:val="21"/>
                <w:lang w:val="en-US" w:bidi="ar"/>
              </w:rPr>
            </w:pPr>
          </w:p>
        </w:tc>
        <w:tc>
          <w:tcPr>
            <w:tcW w:w="1153" w:type="dxa"/>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高杆灯</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接地损坏</w:t>
            </w:r>
          </w:p>
        </w:tc>
        <w:tc>
          <w:tcPr>
            <w:tcW w:w="2117"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2" w:type="dxa"/>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416" w:type="dxa"/>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应修复、更换接地线。</w:t>
            </w:r>
          </w:p>
        </w:tc>
        <w:tc>
          <w:tcPr>
            <w:tcW w:w="1967" w:type="dxa"/>
            <w:vMerge w:val="continue"/>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517" w:type="dxa"/>
            <w:noWrap/>
            <w:tcMar>
              <w:top w:w="15" w:type="dxa"/>
              <w:left w:w="15" w:type="dxa"/>
              <w:right w:w="15" w:type="dxa"/>
            </w:tcMar>
            <w:vAlign w:val="center"/>
          </w:tcPr>
          <w:p>
            <w:pPr>
              <w:ind w:firstLine="420"/>
              <w:jc w:val="left"/>
              <w:rPr>
                <w:rFonts w:hint="eastAsia" w:ascii="宋体" w:hAnsi="宋体" w:eastAsia="宋体" w:cs="宋体"/>
                <w:sz w:val="21"/>
                <w:szCs w:val="21"/>
              </w:rPr>
            </w:pPr>
          </w:p>
        </w:tc>
      </w:tr>
    </w:tbl>
    <w:p>
      <w:pPr>
        <w:spacing w:line="240" w:lineRule="auto"/>
        <w:ind w:firstLine="241"/>
        <w:rPr>
          <w:rStyle w:val="12"/>
          <w:rFonts w:ascii="黑体" w:hAnsi="黑体" w:eastAsia="黑体" w:cs="黑体"/>
          <w:sz w:val="10"/>
          <w:szCs w:val="10"/>
          <w:lang w:val="en-US"/>
        </w:rPr>
      </w:pPr>
    </w:p>
    <w:p>
      <w:pPr>
        <w:spacing w:line="240" w:lineRule="auto"/>
        <w:ind w:firstLine="241"/>
        <w:rPr>
          <w:rStyle w:val="12"/>
          <w:rFonts w:ascii="黑体" w:hAnsi="黑体" w:eastAsia="黑体" w:cs="黑体"/>
          <w:sz w:val="10"/>
          <w:szCs w:val="10"/>
          <w:lang w:val="en-US"/>
        </w:rPr>
      </w:pPr>
      <w:r>
        <w:rPr>
          <w:rStyle w:val="12"/>
          <w:rFonts w:ascii="黑体" w:hAnsi="黑体" w:eastAsia="黑体" w:cs="黑体"/>
          <w:sz w:val="10"/>
          <w:szCs w:val="10"/>
          <w:lang w:val="en-US"/>
        </w:rPr>
        <w:br w:type="page"/>
      </w:r>
    </w:p>
    <w:tbl>
      <w:tblPr>
        <w:tblStyle w:val="9"/>
        <w:tblW w:w="13986" w:type="dxa"/>
        <w:tblInd w:w="0" w:type="dxa"/>
        <w:tblLayout w:type="fixed"/>
        <w:tblCellMar>
          <w:top w:w="0" w:type="dxa"/>
          <w:left w:w="0" w:type="dxa"/>
          <w:bottom w:w="0" w:type="dxa"/>
          <w:right w:w="0" w:type="dxa"/>
        </w:tblCellMar>
      </w:tblPr>
      <w:tblGrid>
        <w:gridCol w:w="482"/>
        <w:gridCol w:w="478"/>
        <w:gridCol w:w="654"/>
        <w:gridCol w:w="1145"/>
        <w:gridCol w:w="2128"/>
        <w:gridCol w:w="2113"/>
        <w:gridCol w:w="953"/>
        <w:gridCol w:w="3119"/>
        <w:gridCol w:w="2126"/>
        <w:gridCol w:w="788"/>
      </w:tblGrid>
      <w:tr>
        <w:tblPrEx>
          <w:tblCellMar>
            <w:top w:w="0" w:type="dxa"/>
            <w:left w:w="0" w:type="dxa"/>
            <w:bottom w:w="0" w:type="dxa"/>
            <w:right w:w="0" w:type="dxa"/>
          </w:tblCellMar>
        </w:tblPrEx>
        <w:trPr>
          <w:trHeight w:val="23" w:hRule="atLeast"/>
          <w:tblHeader/>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序号</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类别</w:t>
            </w:r>
          </w:p>
        </w:tc>
        <w:tc>
          <w:tcPr>
            <w:tcW w:w="6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场所/装置</w:t>
            </w: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部位/环节</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较大危险因素</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易发生/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诱发的事故类型</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危险等级</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主要防范措施</w:t>
            </w:r>
          </w:p>
        </w:tc>
        <w:tc>
          <w:tcPr>
            <w:tcW w:w="21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依据</w:t>
            </w:r>
          </w:p>
        </w:tc>
        <w:tc>
          <w:tcPr>
            <w:tcW w:w="7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w:t>
            </w:r>
          </w:p>
        </w:tc>
        <w:tc>
          <w:tcPr>
            <w:tcW w:w="478"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花</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爆</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tc>
        <w:tc>
          <w:tcPr>
            <w:tcW w:w="65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仓储区</w:t>
            </w:r>
          </w:p>
        </w:tc>
        <w:tc>
          <w:tcPr>
            <w:tcW w:w="11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126"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rPr>
              <w:t>《烟花爆竹工程设计安全规范》GB50161-2009、《建筑物防雷设计规范》GB50057-2010、《爆炸和火灾危险场所防雷装置检测技术规范》GB/T32937-2016</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4.3</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4.4</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独立接闪器对人身安全的防反击、防跨步电压措施损坏、失效</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应设立警示标志，修复或更换,宜设围栏。</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4.5</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产生电火花、电涌侵入，诱发火灾、电气、电子系统失效或设备损坏</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禁止易燃物品接触或附着引下线，与易燃物品间距应不小于0.1m，当小于0.1m时，引下线的截面积应不小于100mm2。</w:t>
            </w:r>
          </w:p>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明敷引下线与电气电子线路平行敷设时距离不宜小于1.0m，交叉敷设时不宜小于0.3m。</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4.6</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4.7</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1510"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4.8</w:t>
            </w:r>
          </w:p>
        </w:tc>
        <w:tc>
          <w:tcPr>
            <w:tcW w:w="478"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ascii="宋体" w:hAnsi="宋体" w:eastAsia="宋体" w:cs="宋体"/>
                <w:sz w:val="21"/>
                <w:szCs w:val="21"/>
                <w:lang w:val="en-US"/>
              </w:rPr>
            </w:pPr>
            <w:r>
              <w:rPr>
                <w:rFonts w:hint="eastAsia" w:ascii="宋体" w:hAnsi="宋体" w:eastAsia="宋体" w:cs="宋体"/>
                <w:sz w:val="21"/>
                <w:szCs w:val="21"/>
                <w:lang w:val="en-US" w:bidi="ar"/>
              </w:rPr>
              <w:t>金属门/金属窗</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等电位连接线松动、脱落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2126"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4.9</w:t>
            </w:r>
          </w:p>
        </w:tc>
        <w:tc>
          <w:tcPr>
            <w:tcW w:w="478"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花</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爆</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tc>
        <w:tc>
          <w:tcPr>
            <w:tcW w:w="65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仓储区</w:t>
            </w: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人体防静电设施</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接地线松动、脱落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产生电火花，诱发火灾、爆炸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进入建物前应设置人体静电放电装置，静电放电装置应与建筑物防雷电感应接地共用，接地电阻不应大于100Ω</w:t>
            </w:r>
          </w:p>
        </w:tc>
        <w:tc>
          <w:tcPr>
            <w:tcW w:w="2126"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rPr>
              <w:t>《烟花爆竹工程设计安全规范》GB50161-2009、《建筑物防雷设计规范》GB50057-2010、《爆炸和火灾危险场所防雷装置检测技术规范》GB/T32937-2016</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4.10</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爆炸危险场所的长金属物</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平行或交叉敷设的长金属物等电位连接线松动、脱落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铜线，通过螺钉、螺栓等方式连接。平行敷设的金属管道，当其净距小于100mm时，应每隔25m左右用金属线跨接一次；当交叉净距小于100mm时，其交叉处亦应跨接。</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4.11</w:t>
            </w:r>
          </w:p>
        </w:tc>
        <w:tc>
          <w:tcPr>
            <w:tcW w:w="478" w:type="dxa"/>
            <w:vMerge w:val="continue"/>
            <w:tcBorders>
              <w:left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进入建筑物的架空金属管道</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架空金属管道接地线松动、脱落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等电位连接线应采用截面积不小于16mm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架空敷设的金属管道应在进出建筑物处与防雷电感应的接地装置相连接。距离建筑物100m内的金属管道应每隔25m左右接地一次，其冲击接地电阻不应大于20Ω。埋地或地沟内敷设的金属管道在进出建筑物处亦应与防雷电感应的接地装置相连。</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4.12</w:t>
            </w:r>
          </w:p>
        </w:tc>
        <w:tc>
          <w:tcPr>
            <w:tcW w:w="478"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其它金属物</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其它金属物等电位连接线松动、脱落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应修复、更换等电位连接线。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等电位连接线应采用截面积不小于6mm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2126"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4.13</w:t>
            </w:r>
          </w:p>
        </w:tc>
        <w:tc>
          <w:tcPr>
            <w:tcW w:w="47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花</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爆</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tc>
        <w:tc>
          <w:tcPr>
            <w:tcW w:w="65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0" w:firstLineChars="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附属设施</w:t>
            </w:r>
          </w:p>
        </w:tc>
        <w:tc>
          <w:tcPr>
            <w:tcW w:w="11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接闪器上附着电气、电子线路</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产生电涌侵入，诱发电气、电子系统失效或设备损坏</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移除接闪器（接闪带、接闪杆、接闪线）上附着的电气、电子线路</w:t>
            </w:r>
          </w:p>
        </w:tc>
        <w:tc>
          <w:tcPr>
            <w:tcW w:w="2126"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rPr>
              <w:t>《烟花爆竹工程设计安全规范》GB50161-2009、《建筑物防雷设计规范》GB50057-2010、《爆炸和火灾危险场所防雷装置检测技术规范》GB/T32937-2016</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4.14</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应除锈、刷防锈漆或更换接闪器</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4.15</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产生物理损害、电火花，诱发火灾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应修复或更换接闪器</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4.16</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引下线</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与易燃物品、电子、电气线路安全距离不足</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产生电火花、电涌侵入，诱发火灾、电气、电子系统失效或设备损坏</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禁止易燃物品接触或附着引下线，与易燃物品间距应不小于0.1m，当小于0.1m时，引下线的截面积应不小于100mm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明敷引下线与电气电子线路平行敷设时距离不宜小于1.0m，交叉敷设时不宜小于0.3m。</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4.17</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防接触保护损坏、失效</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产生反击，诱发人身伤亡</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应修复、更换或设立警示标志。</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外露引下线在高2.7m以下部分穿不小于3mm厚的交联聚乙烯管，交联聚乙烯管应能耐受100kV冲击电压（1.2/50μs波形），另设立阻止人员进入的护拦或警示牌。护拦与引下线水平距离不应小于3m。</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4.18</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严重锈蚀</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应除锈、刷防锈漆或更换引下线</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918"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4.19</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断裂、脱落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产生电火花，诱发火灾</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应修复或更换引下线</w:t>
            </w:r>
          </w:p>
        </w:tc>
        <w:tc>
          <w:tcPr>
            <w:tcW w:w="2126"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4.20</w:t>
            </w:r>
          </w:p>
        </w:tc>
        <w:tc>
          <w:tcPr>
            <w:tcW w:w="47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花</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爆</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tc>
        <w:tc>
          <w:tcPr>
            <w:tcW w:w="65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全部</w:t>
            </w:r>
          </w:p>
        </w:tc>
        <w:tc>
          <w:tcPr>
            <w:tcW w:w="11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电气系统</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SPD老化、失效</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产生电涌侵入，诱发电子系统失效或设备损坏</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检修并更换SPD。</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检查SPD状态标识，有故障标识出现、表面发热等情况时，应将SPD与系统断开连接，排除故障后方可将SPD并入系统。</w:t>
            </w:r>
          </w:p>
        </w:tc>
        <w:tc>
          <w:tcPr>
            <w:tcW w:w="2126"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《汽车加油加气站设计与施工规范》GB50156-2012（2014年版）、《建筑物防雷设计规范》GB50057-2010、《爆炸和火灾危险场所防雷装置检测技术规范》GB/T32937-2016</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4.21</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SPD接地线脱落、断裂</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应修复或更换接地线。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Ⅰ、Ⅱ、Ⅲ级试验的电涌保护器接地线应分别采用截面积不小于6mm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、2.5mm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、1.5mm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铜线。接地线应尽量短直。</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4.22</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SPD接地线松动</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Ⅰ、Ⅱ、Ⅲ级试验的电涌保护器接地线应分别采用截面积不小于6mm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、2.5mm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、1.5mm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铜线。接地线应尽量短直。</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4.23</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线路电缆外皮或金属保护管接地线松动、脱落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电气线路应采用铠装电缆或导线穿钢管配线。配线电缆金属外皮两端、保护钢管两端均应接地。接地线应采用截面积不小于16mm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1978"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4.24</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监控、网络等电子系统</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SPD接地线脱落、断裂</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D1类电涌保护器接地线应采用截面积不小于1.2mm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铜线，其他类的电涌保护器接地线采用铜线截面积根据具体情况确定，可小于1.2mm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。接线应尽量短直。</w:t>
            </w:r>
          </w:p>
        </w:tc>
        <w:tc>
          <w:tcPr>
            <w:tcW w:w="2126"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4.25</w:t>
            </w:r>
          </w:p>
        </w:tc>
        <w:tc>
          <w:tcPr>
            <w:tcW w:w="47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烟</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花</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爆</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竹</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仓</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库</w:t>
            </w:r>
          </w:p>
        </w:tc>
        <w:tc>
          <w:tcPr>
            <w:tcW w:w="65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r>
              <w:rPr>
                <w:rFonts w:hint="eastAsia" w:ascii="宋体" w:hAnsi="宋体" w:eastAsia="宋体" w:cs="宋体"/>
                <w:sz w:val="21"/>
                <w:szCs w:val="21"/>
                <w:lang w:val="en-US" w:bidi="ar"/>
              </w:rPr>
              <w:t>全部</w:t>
            </w:r>
          </w:p>
        </w:tc>
        <w:tc>
          <w:tcPr>
            <w:tcW w:w="114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r>
              <w:rPr>
                <w:rFonts w:hint="eastAsia" w:ascii="宋体" w:hAnsi="宋体" w:eastAsia="宋体" w:cs="宋体"/>
                <w:sz w:val="21"/>
                <w:szCs w:val="21"/>
                <w:lang w:val="en-US" w:bidi="ar"/>
              </w:rPr>
              <w:t>监控、网络等电子系统</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SPD老化、失效</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产生电涌侵入，诱发电子系统失效或设备损坏</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检修并更换SPD。</w:t>
            </w:r>
          </w:p>
          <w:p>
            <w:pPr>
              <w:widowControl/>
              <w:ind w:firstLine="420"/>
              <w:jc w:val="left"/>
              <w:textAlignment w:val="center"/>
              <w:rPr>
                <w:rFonts w:hint="eastAsia" w:ascii="宋体" w:hAnsi="宋体" w:eastAsia="宋体" w:cs="宋体"/>
                <w:sz w:val="21"/>
                <w:szCs w:val="21"/>
                <w:lang w:val="en-US"/>
              </w:rPr>
            </w:pPr>
            <w:r>
              <w:rPr>
                <w:rFonts w:hint="eastAsia" w:ascii="宋体" w:hAnsi="宋体" w:eastAsia="宋体" w:cs="宋体"/>
                <w:sz w:val="21"/>
                <w:szCs w:val="21"/>
                <w:lang w:val="en-US" w:bidi="ar"/>
              </w:rPr>
              <w:t>检查SPD状态标识，有故障标识出现、表面发热等情况时，应将SPD与系统断开连接，排除故障后方可将SPD并入系统。</w:t>
            </w:r>
          </w:p>
        </w:tc>
        <w:tc>
          <w:tcPr>
            <w:tcW w:w="2126"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《汽车加油加气站设计与施工规范》GB50156-2012（2014年版）、《建筑物防雷设计规范》GB50057-2010、《爆炸和火灾危险场所防雷装置检测技术规范》GB/T32937-2016</w:t>
            </w: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4.26</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SPD接地线松动</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D1类电涌保护器接地线应采用截面积不小于1.2mm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铜线，其他类的电涌保护器接地线采用铜线截面积根据具体情况确定，可小于1.2mm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。接线应尽量短直。</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4.27</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线路电缆外皮或金属保护管接地线松动、脱落</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B级/橙色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lang w:val="en-US" w:bidi="ar"/>
              </w:rPr>
            </w:pPr>
            <w:r>
              <w:rPr>
                <w:rFonts w:hint="eastAsia" w:ascii="宋体" w:hAnsi="宋体" w:eastAsia="宋体" w:cs="宋体"/>
                <w:sz w:val="21"/>
                <w:szCs w:val="21"/>
                <w:lang w:val="en-US" w:bidi="ar"/>
              </w:rPr>
              <w:t>应修复、更换接地线。</w:t>
            </w:r>
          </w:p>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电气线路应采用铠装电缆或导线穿钢管配线。配线电缆金属外皮两端、保护钢管两端均应接地。接地线应采用截面积不小于16mm</w:t>
            </w:r>
            <w:r>
              <w:rPr>
                <w:rFonts w:hint="eastAsia" w:ascii="宋体" w:hAnsi="宋体" w:eastAsia="宋体" w:cs="宋体"/>
                <w:sz w:val="21"/>
                <w:szCs w:val="21"/>
                <w:vertAlign w:val="superscript"/>
                <w:lang w:val="en-US" w:bidi="ar"/>
              </w:rPr>
              <w:t>2</w:t>
            </w:r>
            <w:r>
              <w:rPr>
                <w:rFonts w:hint="eastAsia" w:ascii="宋体" w:hAnsi="宋体" w:eastAsia="宋体" w:cs="宋体"/>
                <w:sz w:val="21"/>
                <w:szCs w:val="21"/>
                <w:lang w:val="en-US" w:bidi="ar"/>
              </w:rPr>
              <w:t>铜线，通过螺钉、螺栓等方式连接。</w:t>
            </w:r>
          </w:p>
        </w:tc>
        <w:tc>
          <w:tcPr>
            <w:tcW w:w="2126" w:type="dxa"/>
            <w:vMerge w:val="continue"/>
            <w:tcBorders>
              <w:left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r>
        <w:tblPrEx>
          <w:tblCellMar>
            <w:top w:w="0" w:type="dxa"/>
            <w:left w:w="0" w:type="dxa"/>
            <w:bottom w:w="0" w:type="dxa"/>
            <w:right w:w="0" w:type="dxa"/>
          </w:tblCellMar>
        </w:tblPrEx>
        <w:trPr>
          <w:trHeight w:val="23" w:hRule="atLeast"/>
        </w:trPr>
        <w:tc>
          <w:tcPr>
            <w:tcW w:w="4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4.28</w:t>
            </w:r>
          </w:p>
        </w:tc>
        <w:tc>
          <w:tcPr>
            <w:tcW w:w="47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hint="eastAsia" w:ascii="宋体" w:hAnsi="宋体" w:eastAsia="宋体" w:cs="宋体"/>
                <w:sz w:val="21"/>
                <w:szCs w:val="21"/>
              </w:rPr>
            </w:pPr>
          </w:p>
        </w:tc>
        <w:tc>
          <w:tcPr>
            <w:tcW w:w="65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jc w:val="center"/>
              <w:rPr>
                <w:rFonts w:hint="eastAsia" w:ascii="宋体" w:hAnsi="宋体" w:eastAsia="宋体" w:cs="宋体"/>
                <w:sz w:val="21"/>
                <w:szCs w:val="21"/>
              </w:rPr>
            </w:pP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center"/>
              <w:textAlignment w:val="center"/>
              <w:rPr>
                <w:rFonts w:hint="eastAsia" w:ascii="宋体" w:hAnsi="宋体" w:eastAsia="宋体" w:cs="宋体"/>
                <w:sz w:val="21"/>
                <w:szCs w:val="21"/>
              </w:rPr>
            </w:pPr>
            <w:r>
              <w:rPr>
                <w:rFonts w:hint="eastAsia" w:ascii="宋体" w:hAnsi="宋体" w:eastAsia="宋体" w:cs="宋体"/>
                <w:sz w:val="21"/>
                <w:szCs w:val="21"/>
                <w:lang w:val="en-US" w:bidi="ar"/>
              </w:rPr>
              <w:t>高杆灯</w:t>
            </w:r>
          </w:p>
        </w:tc>
        <w:tc>
          <w:tcPr>
            <w:tcW w:w="21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接地损坏</w:t>
            </w:r>
          </w:p>
        </w:tc>
        <w:tc>
          <w:tcPr>
            <w:tcW w:w="2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产生电火花，引发火灾、爆炸</w:t>
            </w:r>
          </w:p>
        </w:tc>
        <w:tc>
          <w:tcPr>
            <w:tcW w:w="953"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textAlignment w:val="center"/>
              <w:rPr>
                <w:rFonts w:hint="eastAsia" w:ascii="宋体" w:hAnsi="宋体" w:eastAsia="宋体" w:cs="宋体"/>
                <w:sz w:val="21"/>
                <w:szCs w:val="21"/>
                <w:lang w:val="en-US"/>
              </w:rPr>
            </w:pPr>
            <w:r>
              <w:rPr>
                <w:rFonts w:hint="eastAsia" w:ascii="宋体" w:hAnsi="宋体" w:eastAsia="宋体" w:cs="宋体"/>
                <w:sz w:val="21"/>
                <w:szCs w:val="21"/>
                <w:lang w:val="en-US"/>
              </w:rPr>
              <w:t>A级/红色</w:t>
            </w:r>
          </w:p>
        </w:tc>
        <w:tc>
          <w:tcPr>
            <w:tcW w:w="31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r>
              <w:rPr>
                <w:rFonts w:hint="eastAsia" w:ascii="宋体" w:hAnsi="宋体" w:eastAsia="宋体" w:cs="宋体"/>
                <w:sz w:val="21"/>
                <w:szCs w:val="21"/>
                <w:lang w:val="en-US" w:bidi="ar"/>
              </w:rPr>
              <w:t>应修复、更换接地线。</w:t>
            </w:r>
          </w:p>
        </w:tc>
        <w:tc>
          <w:tcPr>
            <w:tcW w:w="2126"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20"/>
              <w:jc w:val="left"/>
              <w:textAlignment w:val="center"/>
              <w:rPr>
                <w:rFonts w:hint="eastAsia" w:ascii="宋体" w:hAnsi="宋体" w:eastAsia="宋体" w:cs="宋体"/>
                <w:sz w:val="21"/>
                <w:szCs w:val="21"/>
              </w:rPr>
            </w:pPr>
          </w:p>
        </w:tc>
        <w:tc>
          <w:tcPr>
            <w:tcW w:w="7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firstLine="420"/>
              <w:jc w:val="left"/>
              <w:rPr>
                <w:rFonts w:hint="eastAsia" w:ascii="宋体" w:hAnsi="宋体" w:eastAsia="宋体" w:cs="宋体"/>
                <w:sz w:val="21"/>
                <w:szCs w:val="21"/>
              </w:rPr>
            </w:pP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firstLine="360"/>
      <w:rPr>
        <w:rStyle w:val="11"/>
      </w:rPr>
    </w:pPr>
    <w:r>
      <w:fldChar w:fldCharType="begin"/>
    </w:r>
    <w:r>
      <w:rPr>
        <w:rStyle w:val="11"/>
      </w:rPr>
      <w:instrText xml:space="preserve">PAGE  </w:instrText>
    </w:r>
    <w:r>
      <w:fldChar w:fldCharType="separate"/>
    </w:r>
    <w:r>
      <w:rPr>
        <w:rStyle w:val="11"/>
      </w:rPr>
      <w:t>1</w:t>
    </w:r>
    <w:r>
      <w:fldChar w:fldCharType="end"/>
    </w:r>
  </w:p>
  <w:p>
    <w:pPr>
      <w:pStyle w:val="5"/>
      <w:tabs>
        <w:tab w:val="clear" w:pos="4153"/>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firstLine="360"/>
      <w:rPr>
        <w:rStyle w:val="11"/>
      </w:rPr>
    </w:pPr>
    <w:r>
      <w:fldChar w:fldCharType="begin"/>
    </w:r>
    <w:r>
      <w:rPr>
        <w:rStyle w:val="11"/>
      </w:rPr>
      <w:instrText xml:space="preserve">PAGE  </w:instrText>
    </w:r>
    <w:r>
      <w:fldChar w:fldCharType="end"/>
    </w: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firstLine="560"/>
      <w:rPr>
        <w:rStyle w:val="11"/>
        <w:rFonts w:ascii="宋体" w:hAnsi="宋体" w:eastAsia="宋体"/>
        <w:sz w:val="28"/>
        <w:szCs w:val="28"/>
      </w:rPr>
    </w:pPr>
    <w:r>
      <w:rPr>
        <w:rFonts w:ascii="宋体" w:hAnsi="宋体" w:eastAsia="宋体"/>
        <w:sz w:val="28"/>
        <w:szCs w:val="28"/>
      </w:rPr>
      <w:fldChar w:fldCharType="begin"/>
    </w:r>
    <w:r>
      <w:rPr>
        <w:rStyle w:val="11"/>
        <w:rFonts w:ascii="宋体" w:hAnsi="宋体" w:eastAsia="宋体"/>
        <w:sz w:val="28"/>
        <w:szCs w:val="28"/>
      </w:rPr>
      <w:instrText xml:space="preserve">PAGE  </w:instrText>
    </w:r>
    <w:r>
      <w:rPr>
        <w:rFonts w:ascii="宋体" w:hAnsi="宋体" w:eastAsia="宋体"/>
        <w:sz w:val="28"/>
        <w:szCs w:val="28"/>
      </w:rPr>
      <w:fldChar w:fldCharType="separate"/>
    </w:r>
    <w:r>
      <w:rPr>
        <w:rStyle w:val="11"/>
        <w:rFonts w:ascii="宋体" w:hAnsi="宋体" w:eastAsia="宋体"/>
        <w:sz w:val="28"/>
        <w:szCs w:val="28"/>
      </w:rPr>
      <w:t>82</w:t>
    </w:r>
    <w:r>
      <w:rPr>
        <w:rFonts w:ascii="宋体" w:hAnsi="宋体" w:eastAsia="宋体"/>
        <w:sz w:val="28"/>
        <w:szCs w:val="28"/>
      </w:rPr>
      <w:fldChar w:fldCharType="end"/>
    </w:r>
  </w:p>
  <w:p>
    <w:pPr>
      <w:pStyle w:val="5"/>
      <w:tabs>
        <w:tab w:val="clear" w:pos="4153"/>
      </w:tabs>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6F1338"/>
    <w:rsid w:val="106F1338"/>
    <w:rsid w:val="17DD0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Times New Roman" w:cs="Times New Roman"/>
      <w:color w:val="000000"/>
      <w:sz w:val="24"/>
      <w:szCs w:val="24"/>
      <w:lang w:val="zh-CN" w:eastAsia="zh-CN" w:bidi="zh-CN"/>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i/>
      <w:iCs/>
      <w:sz w:val="20"/>
      <w:szCs w:val="20"/>
    </w:rPr>
  </w:style>
  <w:style w:type="paragraph" w:styleId="5">
    <w:name w:val="footer"/>
    <w:basedOn w:val="1"/>
    <w:unhideWhenUsed/>
    <w:qFormat/>
    <w:uiPriority w:val="99"/>
    <w:pPr>
      <w:tabs>
        <w:tab w:val="center" w:pos="4153"/>
        <w:tab w:val="right" w:pos="8306"/>
      </w:tabs>
      <w:snapToGrid w:val="0"/>
    </w:pPr>
    <w:rPr>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pPr>
      <w:spacing w:before="120" w:after="120"/>
      <w:jc w:val="left"/>
    </w:pPr>
    <w:rPr>
      <w:rFonts w:ascii="Calibri" w:hAnsi="Calibri"/>
      <w:b/>
      <w:bCs/>
      <w:caps/>
      <w:sz w:val="20"/>
      <w:szCs w:val="20"/>
    </w:rPr>
  </w:style>
  <w:style w:type="paragraph" w:styleId="8">
    <w:name w:val="Title"/>
    <w:basedOn w:val="1"/>
    <w:next w:val="1"/>
    <w:qFormat/>
    <w:uiPriority w:val="0"/>
    <w:pPr>
      <w:spacing w:line="360" w:lineRule="auto"/>
      <w:jc w:val="left"/>
      <w:outlineLvl w:val="0"/>
    </w:pPr>
    <w:rPr>
      <w:rFonts w:ascii="Cambria" w:hAnsi="Cambria" w:eastAsia="宋体"/>
      <w:b/>
      <w:bCs/>
      <w:sz w:val="28"/>
      <w:szCs w:val="32"/>
    </w:rPr>
  </w:style>
  <w:style w:type="character" w:styleId="11">
    <w:name w:val="page number"/>
    <w:uiPriority w:val="0"/>
  </w:style>
  <w:style w:type="character" w:customStyle="1" w:styleId="12">
    <w:name w:val="MSG_EN_FONT_STYLE_NAME_TEMPLATE_ROLE_NUMBER MSG_EN_FONT_STYLE_NAME_BY_ROLE_TEXT 2 + MSG_EN_FONT_STYLE_MODIFER_SIZE 8"/>
    <w:qFormat/>
    <w:uiPriority w:val="0"/>
    <w:rPr>
      <w:rFonts w:ascii="PMingLiU" w:hAnsi="PMingLiU" w:eastAsia="PMingLiU" w:cs="PMingLiU"/>
      <w:b/>
      <w:bCs/>
      <w:color w:val="000000"/>
      <w:spacing w:val="10"/>
      <w:w w:val="100"/>
      <w:position w:val="0"/>
      <w:sz w:val="16"/>
      <w:szCs w:val="16"/>
      <w:u w:val="none"/>
      <w:lang w:val="zh-CN" w:eastAsia="zh-CN" w:bidi="zh-CN"/>
    </w:rPr>
  </w:style>
  <w:style w:type="paragraph" w:customStyle="1" w:styleId="13">
    <w:name w:val="MSG_EN_FONT_STYLE_NAME_TEMPLATE_ROLE_NUMBER MSG_EN_FONT_STYLE_NAME_BY_ROLE_TEXT 2"/>
    <w:basedOn w:val="1"/>
    <w:qFormat/>
    <w:uiPriority w:val="0"/>
    <w:pPr>
      <w:shd w:val="clear" w:color="auto" w:fill="FFFFFF"/>
      <w:spacing w:before="260" w:line="432" w:lineRule="exact"/>
      <w:ind w:firstLine="520"/>
      <w:jc w:val="distribute"/>
    </w:pPr>
    <w:rPr>
      <w:rFonts w:ascii="PMingLiU" w:hAnsi="PMingLiU" w:eastAsia="PMingLiU"/>
      <w:color w:val="auto"/>
      <w:sz w:val="20"/>
      <w:szCs w:val="20"/>
      <w:lang w:bidi="ar-SA"/>
    </w:rPr>
  </w:style>
  <w:style w:type="character" w:customStyle="1" w:styleId="14">
    <w:name w:val="font31"/>
    <w:uiPriority w:val="0"/>
    <w:rPr>
      <w:rFonts w:hint="eastAsia" w:ascii="宋体" w:hAnsi="宋体" w:eastAsia="宋体" w:cs="宋体"/>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2020-11-02T06:34:00Z</dcterms:created>
  <dc:creator>追寻自由的脚步</dc:creator>
  <cp:lastModifiedBy>追寻自由的脚步</cp:lastModifiedBy>
  <dcterms:modified xsi:type="dcterms:W3CDTF">2020-11-02T07:05:58Z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