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黑体" w:hAnsi="黑体" w:eastAsia="黑体"/>
          <w:color w:val="auto"/>
          <w:sz w:val="32"/>
          <w:szCs w:val="30"/>
          <w:highlight w:val="none"/>
        </w:rPr>
      </w:pPr>
    </w:p>
    <w:p>
      <w:pPr>
        <w:pStyle w:val="4"/>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方正小标宋简体" w:hAnsi="Arial" w:eastAsia="方正小标宋简体" w:cs="Arial"/>
          <w:color w:val="auto"/>
          <w:kern w:val="0"/>
          <w:sz w:val="44"/>
          <w:szCs w:val="44"/>
          <w:highlight w:val="none"/>
          <w:lang w:val="en-US" w:eastAsia="zh-CN"/>
        </w:rPr>
      </w:pPr>
      <w:r>
        <w:rPr>
          <w:rFonts w:hint="eastAsia" w:ascii="方正小标宋简体" w:hAnsi="Arial" w:eastAsia="方正小标宋简体" w:cs="Arial"/>
          <w:color w:val="auto"/>
          <w:kern w:val="0"/>
          <w:sz w:val="44"/>
          <w:szCs w:val="44"/>
          <w:highlight w:val="none"/>
          <w:lang w:val="en-US" w:eastAsia="zh-CN"/>
        </w:rPr>
        <w:t>巨鹿县2022年度油料（高油酸花生）</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eastAsia="华文中宋"/>
          <w:b/>
          <w:color w:val="auto"/>
          <w:sz w:val="36"/>
          <w:szCs w:val="36"/>
          <w:highlight w:val="none"/>
        </w:rPr>
      </w:pPr>
      <w:r>
        <w:rPr>
          <w:rFonts w:hint="eastAsia" w:ascii="方正小标宋简体" w:hAnsi="Arial" w:eastAsia="方正小标宋简体" w:cs="Arial"/>
          <w:color w:val="auto"/>
          <w:kern w:val="0"/>
          <w:sz w:val="44"/>
          <w:szCs w:val="44"/>
          <w:highlight w:val="none"/>
        </w:rPr>
        <w:t>产业</w:t>
      </w:r>
      <w:r>
        <w:rPr>
          <w:rFonts w:hint="eastAsia" w:ascii="方正小标宋简体" w:hAnsi="Arial" w:eastAsia="方正小标宋简体" w:cs="Arial"/>
          <w:color w:val="auto"/>
          <w:kern w:val="0"/>
          <w:sz w:val="44"/>
          <w:szCs w:val="44"/>
          <w:highlight w:val="none"/>
          <w:lang w:val="en-US" w:eastAsia="zh-CN"/>
        </w:rPr>
        <w:t>集群项目实施</w:t>
      </w:r>
      <w:r>
        <w:rPr>
          <w:rFonts w:hint="eastAsia" w:ascii="方正小标宋简体" w:hAnsi="Arial" w:eastAsia="方正小标宋简体" w:cs="Arial"/>
          <w:color w:val="auto"/>
          <w:kern w:val="0"/>
          <w:sz w:val="44"/>
          <w:szCs w:val="44"/>
          <w:highlight w:val="none"/>
        </w:rPr>
        <w:t>方案</w:t>
      </w:r>
    </w:p>
    <w:p>
      <w:pPr>
        <w:pStyle w:val="2"/>
        <w:keepNext w:val="0"/>
        <w:keepLines w:val="0"/>
        <w:pageBreakBefore w:val="0"/>
        <w:widowControl w:val="0"/>
        <w:kinsoku/>
        <w:wordWrap/>
        <w:overflowPunct/>
        <w:topLinePunct w:val="0"/>
        <w:bidi w:val="0"/>
        <w:spacing w:line="560" w:lineRule="exact"/>
        <w:jc w:val="both"/>
        <w:textAlignment w:val="auto"/>
        <w:rPr>
          <w:rFonts w:hint="eastAsia" w:eastAsia="宋体"/>
          <w:color w:val="auto"/>
          <w:highlight w:val="none"/>
          <w:lang w:eastAsia="zh-CN"/>
        </w:rPr>
      </w:pPr>
    </w:p>
    <w:p>
      <w:pPr>
        <w:pStyle w:val="2"/>
        <w:keepNext w:val="0"/>
        <w:keepLines w:val="0"/>
        <w:pageBreakBefore w:val="0"/>
        <w:widowControl w:val="0"/>
        <w:kinsoku/>
        <w:wordWrap/>
        <w:overflowPunct/>
        <w:topLinePunct w:val="0"/>
        <w:bidi w:val="0"/>
        <w:spacing w:line="560" w:lineRule="exact"/>
        <w:jc w:val="both"/>
        <w:textAlignment w:val="auto"/>
        <w:rPr>
          <w:rFonts w:hint="eastAsia" w:eastAsia="宋体"/>
          <w:color w:val="auto"/>
          <w:highlight w:val="none"/>
          <w:lang w:eastAsia="zh-CN"/>
        </w:rPr>
      </w:pPr>
    </w:p>
    <w:p>
      <w:pPr>
        <w:keepNext w:val="0"/>
        <w:keepLines w:val="0"/>
        <w:pageBreakBefore w:val="0"/>
        <w:widowControl w:val="0"/>
        <w:kinsoku/>
        <w:wordWrap/>
        <w:overflowPunct/>
        <w:topLinePunct w:val="0"/>
        <w:bidi w:val="0"/>
        <w:spacing w:line="560" w:lineRule="exact"/>
        <w:textAlignment w:val="auto"/>
        <w:rPr>
          <w:rFonts w:eastAsia="华文中宋"/>
          <w:b/>
          <w:color w:val="auto"/>
          <w:sz w:val="36"/>
          <w:szCs w:val="36"/>
          <w:highlight w:val="none"/>
        </w:rPr>
      </w:pPr>
    </w:p>
    <w:p>
      <w:pPr>
        <w:pStyle w:val="2"/>
        <w:keepNext w:val="0"/>
        <w:keepLines w:val="0"/>
        <w:pageBreakBefore w:val="0"/>
        <w:widowControl w:val="0"/>
        <w:kinsoku/>
        <w:wordWrap/>
        <w:overflowPunct/>
        <w:topLinePunct w:val="0"/>
        <w:bidi w:val="0"/>
        <w:spacing w:line="560" w:lineRule="exact"/>
        <w:textAlignment w:val="auto"/>
      </w:pPr>
    </w:p>
    <w:p>
      <w:pPr>
        <w:pStyle w:val="2"/>
        <w:keepNext w:val="0"/>
        <w:keepLines w:val="0"/>
        <w:pageBreakBefore w:val="0"/>
        <w:widowControl w:val="0"/>
        <w:kinsoku/>
        <w:wordWrap/>
        <w:overflowPunct/>
        <w:topLinePunct w:val="0"/>
        <w:bidi w:val="0"/>
        <w:spacing w:line="560" w:lineRule="exact"/>
        <w:textAlignment w:val="auto"/>
      </w:pPr>
    </w:p>
    <w:p>
      <w:pPr>
        <w:keepNext w:val="0"/>
        <w:keepLines w:val="0"/>
        <w:pageBreakBefore w:val="0"/>
        <w:widowControl w:val="0"/>
        <w:kinsoku/>
        <w:wordWrap/>
        <w:overflowPunct/>
        <w:topLinePunct w:val="0"/>
        <w:bidi w:val="0"/>
        <w:spacing w:line="560" w:lineRule="exact"/>
        <w:textAlignment w:val="auto"/>
        <w:rPr>
          <w:rFonts w:eastAsia="华文中宋"/>
          <w:b/>
          <w:color w:val="auto"/>
          <w:sz w:val="36"/>
          <w:szCs w:val="36"/>
          <w:highlight w:val="none"/>
        </w:rPr>
      </w:pPr>
    </w:p>
    <w:p>
      <w:pPr>
        <w:keepNext w:val="0"/>
        <w:keepLines w:val="0"/>
        <w:pageBreakBefore w:val="0"/>
        <w:widowControl w:val="0"/>
        <w:kinsoku/>
        <w:wordWrap/>
        <w:overflowPunct/>
        <w:topLinePunct w:val="0"/>
        <w:bidi w:val="0"/>
        <w:adjustRightInd w:val="0"/>
        <w:snapToGrid w:val="0"/>
        <w:spacing w:line="560" w:lineRule="exact"/>
        <w:ind w:firstLine="1600" w:firstLineChars="5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承担单位（公章）：</w:t>
      </w:r>
      <w:r>
        <w:rPr>
          <w:rFonts w:hint="eastAsia" w:ascii="Times New Roman" w:hAnsi="Times New Roman" w:eastAsia="仿宋_GB2312"/>
          <w:color w:val="auto"/>
          <w:sz w:val="32"/>
          <w:szCs w:val="32"/>
          <w:highlight w:val="none"/>
          <w:lang w:val="en-US" w:eastAsia="zh-CN"/>
        </w:rPr>
        <w:t>巨鹿县农业农村局</w:t>
      </w:r>
    </w:p>
    <w:p>
      <w:pPr>
        <w:keepNext w:val="0"/>
        <w:keepLines w:val="0"/>
        <w:pageBreakBefore w:val="0"/>
        <w:widowControl w:val="0"/>
        <w:kinsoku/>
        <w:wordWrap/>
        <w:overflowPunct/>
        <w:topLinePunct w:val="0"/>
        <w:bidi w:val="0"/>
        <w:adjustRightInd w:val="0"/>
        <w:snapToGrid w:val="0"/>
        <w:spacing w:line="560" w:lineRule="exact"/>
        <w:ind w:firstLine="1600" w:firstLineChars="5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联</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系</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人：</w:t>
      </w:r>
      <w:r>
        <w:rPr>
          <w:rFonts w:hint="eastAsia" w:ascii="Times New Roman" w:hAnsi="Times New Roman" w:eastAsia="仿宋_GB2312"/>
          <w:color w:val="auto"/>
          <w:sz w:val="32"/>
          <w:szCs w:val="32"/>
          <w:highlight w:val="none"/>
          <w:lang w:val="en-US" w:eastAsia="zh-CN"/>
        </w:rPr>
        <w:t xml:space="preserve">张  佩       </w:t>
      </w:r>
    </w:p>
    <w:p>
      <w:pPr>
        <w:keepNext w:val="0"/>
        <w:keepLines w:val="0"/>
        <w:pageBreakBefore w:val="0"/>
        <w:widowControl w:val="0"/>
        <w:kinsoku/>
        <w:wordWrap/>
        <w:overflowPunct/>
        <w:topLinePunct w:val="0"/>
        <w:bidi w:val="0"/>
        <w:adjustRightInd w:val="0"/>
        <w:snapToGrid w:val="0"/>
        <w:spacing w:line="560" w:lineRule="exact"/>
        <w:ind w:firstLine="1600" w:firstLineChars="5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联系电话：</w:t>
      </w:r>
      <w:r>
        <w:rPr>
          <w:rFonts w:hint="eastAsia" w:ascii="Times New Roman" w:hAnsi="Times New Roman" w:eastAsia="仿宋_GB2312"/>
          <w:color w:val="auto"/>
          <w:sz w:val="32"/>
          <w:szCs w:val="32"/>
          <w:highlight w:val="none"/>
          <w:lang w:val="en-US" w:eastAsia="zh-CN"/>
        </w:rPr>
        <w:t>0319-4325611</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1600" w:firstLineChars="5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eastAsia="zh-CN"/>
        </w:rPr>
        <w:t>电子邮箱：</w:t>
      </w:r>
      <w:r>
        <w:rPr>
          <w:rFonts w:hint="eastAsia" w:ascii="Times New Roman" w:hAnsi="Times New Roman" w:eastAsia="仿宋_GB2312"/>
          <w:color w:val="auto"/>
          <w:sz w:val="32"/>
          <w:szCs w:val="32"/>
          <w:highlight w:val="none"/>
          <w:lang w:val="en-US" w:eastAsia="zh-CN"/>
        </w:rPr>
        <w:fldChar w:fldCharType="begin"/>
      </w:r>
      <w:r>
        <w:rPr>
          <w:rFonts w:hint="eastAsia" w:ascii="Times New Roman" w:hAnsi="Times New Roman" w:eastAsia="仿宋_GB2312"/>
          <w:color w:val="auto"/>
          <w:sz w:val="32"/>
          <w:szCs w:val="32"/>
          <w:highlight w:val="none"/>
          <w:lang w:val="en-US" w:eastAsia="zh-CN"/>
        </w:rPr>
        <w:instrText xml:space="preserve"> HYPERLINK "mailto:wenchunshuang@126.com" </w:instrText>
      </w:r>
      <w:r>
        <w:rPr>
          <w:rFonts w:hint="eastAsia" w:ascii="Times New Roman" w:hAnsi="Times New Roman" w:eastAsia="仿宋_GB2312"/>
          <w:color w:val="auto"/>
          <w:sz w:val="32"/>
          <w:szCs w:val="32"/>
          <w:highlight w:val="none"/>
          <w:lang w:val="en-US" w:eastAsia="zh-CN"/>
        </w:rPr>
        <w:fldChar w:fldCharType="separate"/>
      </w:r>
      <w:r>
        <w:rPr>
          <w:rFonts w:hint="eastAsia" w:ascii="Times New Roman" w:hAnsi="Times New Roman" w:eastAsia="仿宋_GB2312"/>
          <w:color w:val="auto"/>
          <w:sz w:val="32"/>
          <w:szCs w:val="32"/>
          <w:highlight w:val="none"/>
          <w:lang w:val="en-US" w:eastAsia="zh-CN"/>
        </w:rPr>
        <w:t>jlngx2007@163.com</w:t>
      </w:r>
      <w:r>
        <w:rPr>
          <w:rFonts w:hint="eastAsia" w:ascii="Times New Roman" w:hAnsi="Times New Roman" w:eastAsia="仿宋_GB2312"/>
          <w:color w:val="auto"/>
          <w:sz w:val="32"/>
          <w:szCs w:val="32"/>
          <w:highlight w:val="none"/>
          <w:lang w:val="en-US" w:eastAsia="zh-CN"/>
        </w:rPr>
        <w:fldChar w:fldCharType="end"/>
      </w:r>
    </w:p>
    <w:p>
      <w:pPr>
        <w:keepNext w:val="0"/>
        <w:keepLines w:val="0"/>
        <w:pageBreakBefore w:val="0"/>
        <w:widowControl w:val="0"/>
        <w:kinsoku/>
        <w:wordWrap/>
        <w:overflowPunct/>
        <w:topLinePunct w:val="0"/>
        <w:bidi w:val="0"/>
        <w:adjustRightInd w:val="0"/>
        <w:snapToGrid w:val="0"/>
        <w:spacing w:line="560" w:lineRule="exact"/>
        <w:ind w:firstLine="1600" w:firstLineChars="500"/>
        <w:textAlignment w:val="auto"/>
        <w:rPr>
          <w:rFonts w:hint="eastAsia" w:ascii="Times New Roman" w:hAnsi="Times New Roman" w:eastAsia="仿宋_GB2312"/>
          <w:color w:val="auto"/>
          <w:spacing w:val="0"/>
          <w:sz w:val="32"/>
          <w:szCs w:val="32"/>
          <w:highlight w:val="none"/>
          <w:lang w:val="en-US" w:eastAsia="zh-CN"/>
        </w:rPr>
      </w:pPr>
      <w:r>
        <w:rPr>
          <w:rFonts w:hint="eastAsia" w:ascii="Times New Roman" w:hAnsi="Times New Roman" w:eastAsia="仿宋_GB2312"/>
          <w:color w:val="auto"/>
          <w:spacing w:val="0"/>
          <w:sz w:val="32"/>
          <w:szCs w:val="32"/>
          <w:highlight w:val="none"/>
        </w:rPr>
        <w:t>通讯地址：</w:t>
      </w:r>
      <w:r>
        <w:rPr>
          <w:rFonts w:hint="eastAsia" w:ascii="Times New Roman" w:hAnsi="Times New Roman" w:eastAsia="仿宋_GB2312"/>
          <w:color w:val="auto"/>
          <w:spacing w:val="0"/>
          <w:sz w:val="32"/>
          <w:szCs w:val="32"/>
          <w:highlight w:val="none"/>
          <w:lang w:val="en-US" w:eastAsia="zh-CN"/>
        </w:rPr>
        <w:t>巨鹿黄巾大道北侧巨鹿县农业农村局</w:t>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 xml:space="preserve">          邮    编：</w:t>
      </w:r>
      <w:r>
        <w:rPr>
          <w:rFonts w:hint="eastAsia" w:ascii="Times New Roman" w:hAnsi="Times New Roman" w:eastAsia="仿宋_GB2312"/>
          <w:color w:val="auto"/>
          <w:sz w:val="32"/>
          <w:szCs w:val="32"/>
          <w:highlight w:val="none"/>
          <w:lang w:val="en-US" w:eastAsia="zh-CN"/>
        </w:rPr>
        <w:t>055250</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黑体"/>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imes New Roman" w:hAnsi="Times New Roman" w:eastAsia="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Times New Roman" w:hAnsi="Times New Roman" w:eastAsia="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Times New Roman" w:hAnsi="Times New Roman" w:eastAsia="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仿宋_GB2312"/>
          <w:color w:val="auto"/>
          <w:sz w:val="32"/>
          <w:szCs w:val="32"/>
          <w:highlight w:val="none"/>
          <w:lang w:val="en-US" w:eastAsia="zh-CN"/>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2022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17</w:t>
      </w:r>
      <w:bookmarkStart w:id="14" w:name="_GoBack"/>
      <w:bookmarkEnd w:id="14"/>
      <w:r>
        <w:rPr>
          <w:rFonts w:hint="eastAsia" w:ascii="Times New Roman" w:hAnsi="Times New Roman" w:eastAsia="仿宋_GB2312"/>
          <w:color w:val="auto"/>
          <w:sz w:val="32"/>
          <w:szCs w:val="32"/>
          <w:highlight w:val="none"/>
        </w:rPr>
        <w:t>日</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巨鹿县 2022 年油料（高油酸花生）</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产业集群项目实施方案</w:t>
      </w:r>
    </w:p>
    <w:p>
      <w:pPr>
        <w:pStyle w:val="2"/>
        <w:rPr>
          <w:rFonts w:hint="eastAsia"/>
          <w:lang w:val="en-US" w:eastAsia="zh-CN"/>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为高标准完成巨鹿县高油酸花生“三品一标”基地建设工作，按照省农业农村厅</w:t>
      </w:r>
      <w:r>
        <w:rPr>
          <w:rFonts w:hint="eastAsia" w:ascii="仿宋" w:hAnsi="仿宋" w:eastAsia="仿宋" w:cs="仿宋"/>
          <w:sz w:val="32"/>
          <w:szCs w:val="32"/>
          <w:lang w:val="en-US" w:eastAsia="zh-CN"/>
        </w:rPr>
        <w:t>&lt;关于印发《河北省2022年省级财政提前下达农业转移支付项目实施方案》的通知&gt;和《河北省 2022 年油料产业集群项目实施方案》的有关要求，结合巨鹿县实际，</w:t>
      </w:r>
      <w:r>
        <w:rPr>
          <w:rFonts w:hint="eastAsia" w:ascii="仿宋" w:hAnsi="仿宋" w:eastAsia="仿宋" w:cs="仿宋"/>
          <w:sz w:val="32"/>
          <w:szCs w:val="32"/>
        </w:rPr>
        <w:t>制定本方案。</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一、产业基本情况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巨鹿县隶属于河北省</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"https://baike.baidu.com/item/%E9%82%A2%E5%8F%B0%E5%B8%82/274033" \t "https://baike.baidu.com/item/%E5%B7%A8%E9%B9%BF%E5%8E%BF/_blank"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邢台市</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，位于邢台市中部，总面积631平方公里</w:t>
      </w:r>
      <w:bookmarkStart w:id="0" w:name="ref_[27]_39776"/>
      <w:r>
        <w:rPr>
          <w:rFonts w:hint="eastAsia" w:ascii="仿宋" w:hAnsi="仿宋" w:eastAsia="仿宋" w:cs="仿宋"/>
          <w:sz w:val="32"/>
          <w:szCs w:val="32"/>
          <w:lang w:val="en-US" w:eastAsia="zh-CN"/>
        </w:rPr>
        <w:t>，辖8镇2乡，291个行政村</w:t>
      </w:r>
      <w:bookmarkEnd w:id="0"/>
      <w:r>
        <w:rPr>
          <w:rFonts w:hint="eastAsia" w:ascii="仿宋" w:hAnsi="仿宋" w:eastAsia="仿宋" w:cs="仿宋"/>
          <w:sz w:val="32"/>
          <w:szCs w:val="32"/>
          <w:lang w:val="en-US" w:eastAsia="zh-CN"/>
        </w:rPr>
        <w:t>，巨鹿县常住人口346007人 。</w:t>
      </w:r>
      <w:bookmarkStart w:id="1" w:name="ref_[1]_39776"/>
      <w:r>
        <w:rPr>
          <w:rFonts w:hint="eastAsia" w:ascii="仿宋" w:hAnsi="仿宋" w:eastAsia="仿宋" w:cs="仿宋"/>
          <w:sz w:val="32"/>
          <w:szCs w:val="32"/>
          <w:lang w:val="en-US" w:eastAsia="zh-CN"/>
        </w:rPr>
        <w:t>巨鹿县地处</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"https://baike.baidu.com/item/%E5%8F%A4%E9%BB%84%E6%B2%B3/6857367" \t "https://baike.baidu.com/item/%E5%B7%A8%E9%B9%BF%E5%8E%BF/_blank"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古黄河</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、漳河冲积平原，属暖温带半干旱、半湿润大陆季风区，四季分明，气温适中，</w:t>
      </w:r>
      <w:bookmarkEnd w:id="1"/>
      <w:r>
        <w:rPr>
          <w:rFonts w:hint="eastAsia" w:ascii="仿宋" w:hAnsi="仿宋" w:eastAsia="仿宋" w:cs="仿宋"/>
          <w:sz w:val="32"/>
          <w:szCs w:val="32"/>
          <w:lang w:val="en-US" w:eastAsia="zh-CN"/>
        </w:rPr>
        <w:t>被评为“中国最佳生态宜居县”、“</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"https://baike.baidu.com/item/%E5%9B%BD%E5%AE%B6%E7%BA%A7%E7%94%9F%E6%80%81%E7%A4%BA%E8%8C%83%E5%8C%BA/7521936" \t "https://baike.baidu.com/item/%E5%B7%A8%E9%B9%BF%E5%8E%BF/_blank"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国家级生态示范区</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val="en-US" w:eastAsia="zh-CN"/>
        </w:rPr>
        <w:t>近年来，我县紧盯主要品种，兼顾特色品种，以农业供给侧结构性改革为主线，以优化供给、提质增效、农民增收为目标，以高油酸花生为重点，以镇、村或新型经营主体为基本单元，示范推广轻简化高效栽培技术、膜下滴灌水肥一体化生产技术，并通过</w:t>
      </w:r>
      <w:r>
        <w:rPr>
          <w:rFonts w:hint="eastAsia" w:ascii="仿宋" w:hAnsi="仿宋" w:eastAsia="仿宋" w:cs="仿宋"/>
          <w:sz w:val="32"/>
          <w:szCs w:val="32"/>
          <w:lang w:eastAsia="zh-CN"/>
        </w:rPr>
        <w:t>“</w:t>
      </w:r>
      <w:r>
        <w:rPr>
          <w:rFonts w:hint="eastAsia" w:ascii="仿宋" w:hAnsi="仿宋" w:eastAsia="仿宋" w:cs="仿宋"/>
          <w:sz w:val="32"/>
          <w:szCs w:val="32"/>
        </w:rPr>
        <w:t>良种+良法+全程机械化耕作</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公司+基地+农户</w:t>
      </w:r>
      <w:r>
        <w:rPr>
          <w:rFonts w:hint="eastAsia" w:ascii="仿宋" w:hAnsi="仿宋" w:eastAsia="仿宋" w:cs="仿宋"/>
          <w:sz w:val="32"/>
          <w:szCs w:val="32"/>
          <w:lang w:eastAsia="zh-CN"/>
        </w:rPr>
        <w:t>”</w:t>
      </w:r>
      <w:r>
        <w:rPr>
          <w:rFonts w:hint="eastAsia" w:ascii="仿宋" w:hAnsi="仿宋" w:eastAsia="仿宋" w:cs="仿宋"/>
          <w:sz w:val="32"/>
          <w:szCs w:val="32"/>
        </w:rPr>
        <w:t>等模式</w:t>
      </w:r>
      <w:r>
        <w:rPr>
          <w:rFonts w:hint="eastAsia" w:ascii="仿宋" w:hAnsi="仿宋" w:eastAsia="仿宋" w:cs="仿宋"/>
          <w:sz w:val="32"/>
          <w:szCs w:val="32"/>
          <w:lang w:eastAsia="zh-CN"/>
        </w:rPr>
        <w:t>，农户收入增加了，提高了发展高油酸花生的</w:t>
      </w:r>
      <w:r>
        <w:rPr>
          <w:rFonts w:hint="eastAsia" w:ascii="仿宋" w:hAnsi="仿宋" w:eastAsia="仿宋" w:cs="仿宋"/>
          <w:sz w:val="32"/>
          <w:szCs w:val="32"/>
        </w:rPr>
        <w:t>积极</w:t>
      </w:r>
      <w:r>
        <w:rPr>
          <w:rFonts w:hint="eastAsia" w:ascii="仿宋" w:hAnsi="仿宋" w:eastAsia="仿宋" w:cs="仿宋"/>
          <w:sz w:val="32"/>
          <w:szCs w:val="32"/>
          <w:lang w:eastAsia="zh-CN"/>
        </w:rPr>
        <w:t>性，从而</w:t>
      </w:r>
      <w:r>
        <w:rPr>
          <w:rFonts w:hint="eastAsia" w:ascii="仿宋" w:hAnsi="仿宋" w:eastAsia="仿宋" w:cs="仿宋"/>
          <w:b w:val="0"/>
          <w:bCs w:val="0"/>
          <w:color w:val="auto"/>
          <w:sz w:val="32"/>
          <w:szCs w:val="32"/>
          <w:highlight w:val="none"/>
          <w:lang w:val="en-US" w:eastAsia="zh-CN"/>
        </w:rPr>
        <w:t>推动我县高油酸花生产业向布局区域化、经营规模化、生产标准化、产业化发展，提升我县农产品供给质量和供给效率。我县2</w:t>
      </w:r>
      <w:r>
        <w:rPr>
          <w:rFonts w:hint="eastAsia" w:ascii="仿宋" w:hAnsi="仿宋" w:eastAsia="仿宋" w:cs="仿宋"/>
          <w:color w:val="auto"/>
          <w:sz w:val="32"/>
          <w:szCs w:val="32"/>
        </w:rPr>
        <w:t>019年高油酸花生</w:t>
      </w:r>
      <w:r>
        <w:rPr>
          <w:rFonts w:hint="eastAsia" w:ascii="仿宋" w:hAnsi="仿宋" w:eastAsia="仿宋" w:cs="仿宋"/>
          <w:color w:val="auto"/>
          <w:sz w:val="32"/>
          <w:szCs w:val="32"/>
          <w:lang w:eastAsia="zh-CN"/>
        </w:rPr>
        <w:t>种植面积</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lang w:eastAsia="zh-CN"/>
        </w:rPr>
        <w:t>万</w:t>
      </w:r>
      <w:r>
        <w:rPr>
          <w:rFonts w:hint="eastAsia" w:ascii="仿宋" w:hAnsi="仿宋" w:eastAsia="仿宋" w:cs="仿宋"/>
          <w:color w:val="auto"/>
          <w:sz w:val="32"/>
          <w:szCs w:val="32"/>
        </w:rPr>
        <w:t>亩，2020年</w:t>
      </w:r>
      <w:r>
        <w:rPr>
          <w:rFonts w:hint="eastAsia" w:ascii="仿宋" w:hAnsi="仿宋" w:eastAsia="仿宋" w:cs="仿宋"/>
          <w:color w:val="auto"/>
          <w:sz w:val="32"/>
          <w:szCs w:val="32"/>
          <w:lang w:val="en-US" w:eastAsia="zh-CN"/>
        </w:rPr>
        <w:t>0.8</w:t>
      </w: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万</w:t>
      </w:r>
      <w:r>
        <w:rPr>
          <w:rFonts w:hint="eastAsia" w:ascii="仿宋" w:hAnsi="仿宋" w:eastAsia="仿宋" w:cs="仿宋"/>
          <w:color w:val="auto"/>
          <w:sz w:val="32"/>
          <w:szCs w:val="32"/>
        </w:rPr>
        <w:t>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2021年1.1达到万亩，</w:t>
      </w:r>
      <w:r>
        <w:rPr>
          <w:rFonts w:hint="eastAsia" w:ascii="仿宋" w:hAnsi="仿宋" w:eastAsia="仿宋" w:cs="仿宋"/>
          <w:sz w:val="32"/>
          <w:szCs w:val="32"/>
          <w:lang w:val="en-US" w:eastAsia="zh-CN"/>
        </w:rPr>
        <w:t>陆续出现“</w:t>
      </w:r>
      <w:r>
        <w:rPr>
          <w:rFonts w:hint="eastAsia" w:ascii="仿宋" w:hAnsi="仿宋" w:eastAsia="仿宋" w:cs="仿宋"/>
          <w:bCs/>
          <w:color w:val="000000"/>
          <w:kern w:val="0"/>
          <w:sz w:val="32"/>
          <w:szCs w:val="32"/>
          <w:lang w:eastAsia="zh-CN"/>
        </w:rPr>
        <w:t>创富盈</w:t>
      </w:r>
      <w:r>
        <w:rPr>
          <w:rFonts w:hint="eastAsia" w:ascii="仿宋" w:hAnsi="仿宋" w:eastAsia="仿宋" w:cs="仿宋"/>
          <w:sz w:val="32"/>
          <w:szCs w:val="32"/>
          <w:lang w:val="en-US" w:eastAsia="zh-CN"/>
        </w:rPr>
        <w:t>”</w:t>
      </w:r>
      <w:r>
        <w:rPr>
          <w:rFonts w:hint="eastAsia" w:ascii="仿宋" w:hAnsi="仿宋" w:eastAsia="仿宋" w:cs="仿宋"/>
          <w:bCs/>
          <w:color w:val="000000"/>
          <w:kern w:val="0"/>
          <w:sz w:val="32"/>
          <w:szCs w:val="32"/>
          <w:lang w:eastAsia="zh-CN"/>
        </w:rPr>
        <w:t>精品油、精品炒货和“宏四红”花生糖等品牌，通过一</w:t>
      </w:r>
      <w:r>
        <w:rPr>
          <w:rFonts w:hint="eastAsia" w:ascii="仿宋" w:hAnsi="仿宋" w:eastAsia="仿宋" w:cs="仿宋"/>
          <w:b w:val="0"/>
          <w:bCs w:val="0"/>
          <w:color w:val="auto"/>
          <w:sz w:val="32"/>
          <w:szCs w:val="32"/>
          <w:highlight w:val="none"/>
          <w:lang w:val="en-US" w:eastAsia="zh-CN"/>
        </w:rPr>
        <w:t>二三产业的融合发展，有效提高了农产品附加值，</w:t>
      </w:r>
      <w:r>
        <w:rPr>
          <w:rFonts w:hint="eastAsia" w:ascii="仿宋" w:hAnsi="仿宋" w:eastAsia="仿宋" w:cs="仿宋"/>
          <w:sz w:val="32"/>
          <w:szCs w:val="32"/>
          <w:lang w:eastAsia="zh-CN"/>
        </w:rPr>
        <w:t>真正意义上实现了农业增效、农民增收。</w:t>
      </w:r>
    </w:p>
    <w:p>
      <w:pPr>
        <w:keepNext w:val="0"/>
        <w:keepLines w:val="0"/>
        <w:pageBreakBefore w:val="0"/>
        <w:widowControl w:val="0"/>
        <w:numPr>
          <w:ilvl w:val="0"/>
          <w:numId w:val="1"/>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任务目标</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重点打造高油酸花生“三品一标”基地，示范引导全县高油酸花生新增0.9 万亩，撬动社会投入资金，提升种子检验、检测和精加工能力，努力打造巨鹿高标准制种实验室，促进高油酸花生产业发展，通过项目实施，巨鹿县优质品种和绿色防控覆盖率达到 100%，单产提升5%，优质农产品订单生产率达到 95%以上，集成1套高质高效、资源节约、生态环保的标准化技术模式。通过河北省创富盈农业科技有限公司、巨鹿县宏四农业发展公司等新型经营主体牵头打造规模化油料基地，实现先进农业技术落实，促进产业融合发展。</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三、项目内容</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（一）2022年以张王疃乡、阎疃镇和苏营镇为中心，建高油酸花生优质品种标准化种植基地0.584万亩，</w:t>
      </w:r>
      <w:r>
        <w:rPr>
          <w:rFonts w:hint="eastAsia" w:ascii="仿宋" w:hAnsi="仿宋" w:eastAsia="仿宋" w:cs="仿宋"/>
          <w:color w:val="000000"/>
          <w:sz w:val="32"/>
          <w:szCs w:val="32"/>
        </w:rPr>
        <w:t>制定推广</w:t>
      </w:r>
      <w:r>
        <w:rPr>
          <w:rFonts w:hint="eastAsia" w:ascii="仿宋" w:hAnsi="仿宋" w:eastAsia="仿宋" w:cs="仿宋"/>
          <w:color w:val="000000"/>
          <w:sz w:val="32"/>
          <w:szCs w:val="32"/>
          <w:lang w:eastAsia="zh-CN"/>
        </w:rPr>
        <w:t>高油酸花生</w:t>
      </w:r>
      <w:r>
        <w:rPr>
          <w:rFonts w:hint="eastAsia" w:ascii="仿宋" w:hAnsi="仿宋" w:eastAsia="仿宋" w:cs="仿宋"/>
          <w:color w:val="000000"/>
          <w:sz w:val="32"/>
          <w:szCs w:val="32"/>
        </w:rPr>
        <w:t>绿色高效、轻简、标准化生产技术，</w:t>
      </w:r>
      <w:r>
        <w:rPr>
          <w:rFonts w:hint="eastAsia" w:ascii="仿宋" w:hAnsi="仿宋" w:eastAsia="仿宋" w:cs="仿宋"/>
          <w:color w:val="auto"/>
          <w:sz w:val="32"/>
          <w:szCs w:val="32"/>
          <w:lang w:eastAsia="zh-CN"/>
        </w:rPr>
        <w:t>实现</w:t>
      </w:r>
      <w:r>
        <w:rPr>
          <w:rFonts w:hint="eastAsia" w:ascii="仿宋" w:hAnsi="仿宋" w:eastAsia="仿宋" w:cs="仿宋"/>
          <w:color w:val="auto"/>
          <w:sz w:val="32"/>
          <w:szCs w:val="32"/>
        </w:rPr>
        <w:t>良种和标准化生产技术覆盖率</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lang w:val="en-US" w:eastAsia="zh-CN"/>
        </w:rPr>
        <w:t>（二）建设</w:t>
      </w:r>
      <w:r>
        <w:rPr>
          <w:rFonts w:hint="eastAsia" w:ascii="仿宋" w:hAnsi="仿宋" w:eastAsia="仿宋" w:cs="仿宋"/>
          <w:sz w:val="32"/>
          <w:szCs w:val="32"/>
          <w:lang w:eastAsia="zh-CN"/>
        </w:rPr>
        <w:t>优质品种繁种基地</w:t>
      </w:r>
      <w:r>
        <w:rPr>
          <w:rFonts w:hint="eastAsia" w:ascii="仿宋" w:hAnsi="仿宋" w:eastAsia="仿宋" w:cs="仿宋"/>
          <w:color w:val="000000"/>
          <w:sz w:val="32"/>
          <w:szCs w:val="32"/>
          <w:lang w:val="en-US" w:eastAsia="zh-CN"/>
        </w:rPr>
        <w:t>0.1万亩</w:t>
      </w:r>
      <w:r>
        <w:rPr>
          <w:rFonts w:hint="eastAsia" w:ascii="仿宋" w:hAnsi="仿宋" w:eastAsia="仿宋" w:cs="仿宋"/>
          <w:sz w:val="32"/>
          <w:szCs w:val="32"/>
          <w:lang w:eastAsia="zh-CN"/>
        </w:rPr>
        <w:t>，确保用种安全，确保种子纯度。</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仿宋_GB2312" w:hAnsi="仿宋_GB2312" w:eastAsia="仿宋_GB2312" w:cs="仿宋"/>
          <w:bCs/>
          <w:color w:val="000000"/>
          <w:kern w:val="0"/>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壮大一批优势生产主体。支持龙头企业、专业合作社、种植大户、家庭农场等新型生产经营主体培育病虫害统防统治、化肥统配统施专业化服务组织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共同参与基地建设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提升组织化、规模化、集约化生产水平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提高生产效益。</w:t>
      </w:r>
    </w:p>
    <w:p>
      <w:pPr>
        <w:keepNext w:val="0"/>
        <w:keepLines w:val="0"/>
        <w:pageBreakBefore w:val="0"/>
        <w:widowControl w:val="0"/>
        <w:numPr>
          <w:ilvl w:val="0"/>
          <w:numId w:val="0"/>
        </w:numPr>
        <w:pBdr>
          <w:bottom w:val="single" w:color="FFFFFF" w:sz="4" w:space="31"/>
        </w:pBdr>
        <w:tabs>
          <w:tab w:val="left" w:pos="0"/>
        </w:tabs>
        <w:kinsoku/>
        <w:wordWrap/>
        <w:overflowPunct/>
        <w:topLinePunct w:val="0"/>
        <w:bidi w:val="0"/>
        <w:spacing w:line="560" w:lineRule="exact"/>
        <w:ind w:firstLine="640" w:firstLineChars="200"/>
        <w:jc w:val="both"/>
        <w:textAlignment w:val="auto"/>
        <w:rPr>
          <w:rFonts w:hint="eastAsia" w:ascii="仿宋_GB2312" w:hAnsi="仿宋_GB2312" w:eastAsia="仿宋_GB2312" w:cs="仿宋"/>
          <w:bCs/>
          <w:color w:val="000000"/>
          <w:kern w:val="0"/>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打造一批</w:t>
      </w:r>
      <w:r>
        <w:rPr>
          <w:rFonts w:hint="eastAsia" w:ascii="仿宋_GB2312" w:hAnsi="仿宋_GB2312" w:eastAsia="仿宋_GB2312" w:cs="仿宋"/>
          <w:bCs/>
          <w:color w:val="000000"/>
          <w:kern w:val="0"/>
          <w:sz w:val="32"/>
          <w:szCs w:val="32"/>
          <w:lang w:eastAsia="zh-CN"/>
        </w:rPr>
        <w:t>高油酸花生系列</w:t>
      </w:r>
      <w:r>
        <w:rPr>
          <w:rFonts w:hint="eastAsia" w:ascii="仿宋_GB2312" w:hAnsi="仿宋_GB2312" w:eastAsia="仿宋_GB2312" w:cs="仿宋_GB2312"/>
          <w:sz w:val="32"/>
          <w:szCs w:val="32"/>
        </w:rPr>
        <w:t>品牌。将基地建设与绿色、有机、地理标志产品认证结合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
          <w:bCs/>
          <w:color w:val="000000"/>
          <w:kern w:val="0"/>
          <w:sz w:val="32"/>
          <w:szCs w:val="32"/>
          <w:lang w:eastAsia="zh-CN"/>
        </w:rPr>
        <w:t>积极培育培优“创富盈”精品油、精品炒货和“宏四红”花生糖等品牌，</w:t>
      </w:r>
      <w:r>
        <w:rPr>
          <w:rFonts w:hint="eastAsia" w:ascii="仿宋_GB2312" w:hAnsi="仿宋_GB2312" w:eastAsia="仿宋_GB2312" w:cs="仿宋_GB2312"/>
          <w:sz w:val="32"/>
          <w:szCs w:val="32"/>
        </w:rPr>
        <w:t>提高影响力</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竞争力。</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四、资金安排</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（一）补助对象</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按照《河北省 2022 年油料产业集群项目实施方案》要求，对项目区内成方连片、规模种植的高油酸花生生产主体进行补贴。主要对种植高油酸花生的家庭农场、种植大户、专业合作社、社会化服务组织、涉农企业等新型农业经营主体和村级集体经济组织等进行基地建设补贴。</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（二）补贴环节及资金使用方向</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巨鹿县2022年度油料（高油酸花生）产业集群项目资金180万元，</w:t>
      </w:r>
      <w:r>
        <w:rPr>
          <w:rFonts w:hint="eastAsia" w:ascii="仿宋" w:hAnsi="仿宋" w:eastAsia="仿宋" w:cs="仿宋"/>
          <w:sz w:val="32"/>
          <w:szCs w:val="32"/>
          <w:lang w:eastAsia="zh-CN"/>
        </w:rPr>
        <w:t>采取先实施后补助的方</w:t>
      </w:r>
      <w:r>
        <w:rPr>
          <w:rFonts w:hint="eastAsia" w:ascii="仿宋_GB2312" w:hAnsi="仿宋_GB2312" w:eastAsia="仿宋_GB2312" w:cs="仿宋_GB2312"/>
          <w:b w:val="0"/>
          <w:bCs w:val="0"/>
          <w:color w:val="auto"/>
          <w:kern w:val="2"/>
          <w:sz w:val="32"/>
          <w:szCs w:val="32"/>
          <w:highlight w:val="none"/>
          <w:lang w:val="en-US" w:eastAsia="zh-CN" w:bidi="ar-SA"/>
        </w:rPr>
        <w:t>式，对承担项目的主体进行资金补贴。</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1、用于种植高油酸花生优质品种的（含繁种）补助，每亩补贴200元，</w:t>
      </w:r>
      <w:r>
        <w:rPr>
          <w:rFonts w:hint="eastAsia" w:ascii="仿宋" w:hAnsi="仿宋" w:eastAsia="仿宋" w:cs="仿宋"/>
          <w:sz w:val="32"/>
          <w:szCs w:val="32"/>
          <w:lang w:val="en-US" w:eastAsia="zh-CN"/>
        </w:rPr>
        <w:t>补贴面积0.684万亩，补贴金额136.8万元。</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2、统防统治绿色防控（含繁种）每亩补助50元，补助面积0.684万亩，补贴金额34.2万元。</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b w:val="0"/>
          <w:bCs w:val="0"/>
          <w:color w:val="auto"/>
          <w:kern w:val="2"/>
          <w:sz w:val="32"/>
          <w:szCs w:val="32"/>
          <w:highlight w:val="none"/>
          <w:lang w:val="en-US" w:eastAsia="zh-CN" w:bidi="ar-SA"/>
        </w:rPr>
        <w:t>3、用于</w:t>
      </w:r>
      <w:r>
        <w:rPr>
          <w:rFonts w:hint="eastAsia" w:ascii="仿宋" w:hAnsi="仿宋" w:eastAsia="仿宋" w:cs="仿宋"/>
          <w:sz w:val="32"/>
          <w:szCs w:val="32"/>
          <w:lang w:eastAsia="zh-CN"/>
        </w:rPr>
        <w:t>新技术试验示范、绿色模式攻关、标准制（修）订、标牌制作、展示参观、品牌培育、专家咨询、农产品质量检测、第三方公司检查验收等方面的支出，支出金额</w:t>
      </w:r>
      <w:r>
        <w:rPr>
          <w:rFonts w:hint="eastAsia" w:ascii="仿宋" w:hAnsi="仿宋" w:eastAsia="仿宋" w:cs="仿宋"/>
          <w:sz w:val="32"/>
          <w:szCs w:val="32"/>
          <w:lang w:val="en-US" w:eastAsia="zh-CN"/>
        </w:rPr>
        <w:t>9万元</w:t>
      </w:r>
      <w:r>
        <w:rPr>
          <w:rFonts w:hint="eastAsia" w:ascii="仿宋" w:hAnsi="仿宋" w:eastAsia="仿宋" w:cs="仿宋"/>
          <w:sz w:val="32"/>
          <w:szCs w:val="32"/>
          <w:lang w:eastAsia="zh-CN"/>
        </w:rPr>
        <w:t>。</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 w:hAnsi="仿宋" w:eastAsia="仿宋" w:cs="仿宋"/>
          <w:sz w:val="32"/>
          <w:szCs w:val="32"/>
          <w:lang w:eastAsia="zh-CN"/>
        </w:rPr>
        <w:t>高油酸花生优质品种将进行遴选推介，遴选程序：采取企业申报、专家评审、确定推介品种，经公示无异议后，由供种企业与种植户对接，签订供种、技术服务和回收合同，并按照要求的规格统一供种，种植户自愿选购品种；同时自愿选择社会化服务组织，签订服务合同。</w:t>
      </w:r>
    </w:p>
    <w:p>
      <w:pPr>
        <w:keepNext w:val="0"/>
        <w:keepLines w:val="0"/>
        <w:pageBreakBefore w:val="0"/>
        <w:widowControl w:val="0"/>
        <w:numPr>
          <w:ilvl w:val="0"/>
          <w:numId w:val="2"/>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补助方式</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由项目县农业农村局指导新型经营主体（包括合作社、合作社联合社、农业产业化联合体等），牵头组织实“三品一标”基地建设。项目实施过程中，由市农业农村局委托第三方公司对项目进行检查验收(费用从项目经费中列支)，进行“十查”即查项目实施方案报批程序，查局会议纪要研究情况，查专家会同县种植大户代表筛选品种及推荐技术模式的意见，查生产技术规程建立情况，查新型经营主体（包括合作社、合作社联合社、农业产业化联合体等）发展高油酸花生种植协议及成员名单，查购买新品种、耕种收作业、绿色防控等费用单据，查生产过程中用肥用药纪录，查基地面积，查质量全程可追溯制度建立情况，查订单销售合同。县农业农村局依据第三方公司出具的项目检查验收报告，对完成基地建设既定目标的，统一按亩进行综合补贴，资金直接补助给承担项目的新型经营主体。</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项目实施进度</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月：加大宣传、制定方案，</w:t>
      </w:r>
      <w:r>
        <w:rPr>
          <w:rFonts w:hint="eastAsia" w:ascii="仿宋" w:hAnsi="仿宋" w:eastAsia="仿宋" w:cs="仿宋"/>
          <w:sz w:val="32"/>
          <w:szCs w:val="32"/>
          <w:lang w:eastAsia="zh-CN"/>
        </w:rPr>
        <w:t>成立油料（高油酸花生）产业集群领导专班和技术指导小组。</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eastAsia="zh-CN"/>
        </w:rPr>
        <w:t>公开遴选推介优质高油酸花生品种，</w:t>
      </w:r>
      <w:r>
        <w:rPr>
          <w:rFonts w:hint="eastAsia" w:ascii="仿宋" w:hAnsi="仿宋" w:eastAsia="仿宋" w:cs="仿宋"/>
          <w:sz w:val="32"/>
          <w:szCs w:val="32"/>
        </w:rPr>
        <w:t>组织专家论证，</w:t>
      </w:r>
      <w:r>
        <w:rPr>
          <w:rFonts w:hint="eastAsia" w:ascii="仿宋" w:hAnsi="仿宋" w:eastAsia="仿宋" w:cs="仿宋"/>
          <w:sz w:val="32"/>
          <w:szCs w:val="32"/>
          <w:lang w:eastAsia="zh-CN"/>
        </w:rPr>
        <w:t>确定品种、组织申报、</w:t>
      </w:r>
      <w:r>
        <w:rPr>
          <w:rFonts w:hint="eastAsia" w:ascii="仿宋" w:hAnsi="仿宋" w:eastAsia="仿宋" w:cs="仿宋"/>
          <w:sz w:val="32"/>
          <w:szCs w:val="32"/>
        </w:rPr>
        <w:t>落实面积。</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月：进行技术培训、指导适期播种，确保播种质量，做好高油酸花生苗期</w:t>
      </w:r>
      <w:r>
        <w:rPr>
          <w:rFonts w:hint="eastAsia" w:ascii="仿宋" w:hAnsi="仿宋" w:eastAsia="仿宋" w:cs="仿宋"/>
          <w:sz w:val="32"/>
          <w:szCs w:val="32"/>
          <w:lang w:eastAsia="zh-CN"/>
        </w:rPr>
        <w:t>、</w:t>
      </w:r>
      <w:r>
        <w:rPr>
          <w:rFonts w:hint="eastAsia" w:ascii="仿宋" w:hAnsi="仿宋" w:eastAsia="仿宋" w:cs="仿宋"/>
          <w:sz w:val="32"/>
          <w:szCs w:val="32"/>
        </w:rPr>
        <w:t>中期</w:t>
      </w:r>
      <w:r>
        <w:rPr>
          <w:rFonts w:hint="eastAsia" w:ascii="仿宋" w:hAnsi="仿宋" w:eastAsia="仿宋" w:cs="仿宋"/>
          <w:sz w:val="32"/>
          <w:szCs w:val="32"/>
          <w:lang w:eastAsia="zh-CN"/>
        </w:rPr>
        <w:t>、</w:t>
      </w:r>
      <w:r>
        <w:rPr>
          <w:rFonts w:hint="eastAsia" w:ascii="仿宋" w:hAnsi="仿宋" w:eastAsia="仿宋" w:cs="仿宋"/>
          <w:sz w:val="32"/>
          <w:szCs w:val="32"/>
        </w:rPr>
        <w:t>后期管理</w:t>
      </w:r>
      <w:r>
        <w:rPr>
          <w:rFonts w:hint="eastAsia" w:ascii="仿宋" w:hAnsi="仿宋" w:eastAsia="仿宋" w:cs="仿宋"/>
          <w:sz w:val="32"/>
          <w:szCs w:val="32"/>
          <w:lang w:eastAsia="zh-CN"/>
        </w:rPr>
        <w:t>，</w:t>
      </w:r>
      <w:r>
        <w:rPr>
          <w:rFonts w:hint="eastAsia" w:ascii="仿宋" w:hAnsi="仿宋" w:eastAsia="仿宋" w:cs="仿宋"/>
          <w:sz w:val="32"/>
          <w:szCs w:val="32"/>
        </w:rPr>
        <w:t>组织现场观摩会，扩大宣传效果。</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 w:hAnsi="仿宋" w:eastAsia="仿宋" w:cs="仿宋"/>
          <w:sz w:val="32"/>
          <w:szCs w:val="32"/>
        </w:rPr>
        <w:t>6、202</w:t>
      </w:r>
      <w:r>
        <w:rPr>
          <w:rFonts w:hint="eastAsia" w:ascii="仿宋" w:hAnsi="仿宋" w:eastAsia="仿宋" w:cs="仿宋"/>
          <w:sz w:val="32"/>
          <w:szCs w:val="32"/>
          <w:lang w:val="en-US" w:eastAsia="zh-CN"/>
        </w:rPr>
        <w:t>2</w:t>
      </w:r>
      <w:r>
        <w:rPr>
          <w:rFonts w:hint="eastAsia" w:ascii="仿宋" w:hAnsi="仿宋" w:eastAsia="仿宋" w:cs="仿宋"/>
          <w:sz w:val="32"/>
          <w:szCs w:val="32"/>
        </w:rPr>
        <w:t>年10月～12月：</w:t>
      </w:r>
      <w:r>
        <w:rPr>
          <w:rFonts w:hint="eastAsia" w:ascii="仿宋_GB2312" w:hAnsi="仿宋_GB2312" w:eastAsia="仿宋_GB2312" w:cs="仿宋_GB2312"/>
          <w:b w:val="0"/>
          <w:bCs w:val="0"/>
          <w:color w:val="auto"/>
          <w:kern w:val="2"/>
          <w:sz w:val="32"/>
          <w:szCs w:val="32"/>
          <w:highlight w:val="none"/>
          <w:lang w:val="en-US" w:eastAsia="zh-CN" w:bidi="ar-SA"/>
        </w:rPr>
        <w:t>组织开展项目自验，完成项目绩效考核，全面总结。</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六、保障措施</w:t>
      </w:r>
    </w:p>
    <w:p>
      <w:pPr>
        <w:keepNext w:val="0"/>
        <w:keepLines w:val="0"/>
        <w:pageBreakBefore w:val="0"/>
        <w:widowControl w:val="0"/>
        <w:numPr>
          <w:ilvl w:val="0"/>
          <w:numId w:val="3"/>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强化组织领导。</w:t>
      </w:r>
      <w:r>
        <w:rPr>
          <w:rFonts w:hint="eastAsia" w:ascii="仿宋_GB2312" w:hAnsi="仿宋_GB2312" w:eastAsia="仿宋_GB2312" w:cs="仿宋_GB2312"/>
          <w:b w:val="0"/>
          <w:bCs w:val="0"/>
          <w:color w:val="auto"/>
          <w:kern w:val="2"/>
          <w:sz w:val="32"/>
          <w:szCs w:val="32"/>
          <w:highlight w:val="none"/>
          <w:lang w:val="en-US" w:eastAsia="zh-CN" w:bidi="ar-SA"/>
        </w:rPr>
        <w:t>成立油料（高油酸花生）产业集群项目领导小组，县农业农村局局长任组长，</w:t>
      </w:r>
      <w:r>
        <w:rPr>
          <w:rFonts w:hint="eastAsia" w:ascii="仿宋" w:hAnsi="仿宋" w:eastAsia="仿宋" w:cs="仿宋"/>
          <w:sz w:val="32"/>
          <w:szCs w:val="32"/>
          <w:lang w:eastAsia="zh-CN"/>
        </w:rPr>
        <w:t>领导小组下设办公室，办公室主任由主管副局长担任，负责日常工作。领导小组定期研究解决产业发展中的问题，协调推进高油酸花生与功能农业高度融合发展。建立季度小结，年终总结机制，层层落实责任，确保年度任务落实和长效机制建立。</w:t>
      </w:r>
    </w:p>
    <w:p>
      <w:pPr>
        <w:keepNext w:val="0"/>
        <w:keepLines w:val="0"/>
        <w:pageBreakBefore w:val="0"/>
        <w:widowControl w:val="0"/>
        <w:numPr>
          <w:ilvl w:val="0"/>
          <w:numId w:val="3"/>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强化科技支撑。成立</w:t>
      </w:r>
      <w:r>
        <w:rPr>
          <w:rFonts w:hint="eastAsia" w:ascii="仿宋" w:hAnsi="仿宋" w:eastAsia="仿宋" w:cs="仿宋"/>
          <w:sz w:val="32"/>
          <w:szCs w:val="32"/>
          <w:lang w:val="en-US" w:eastAsia="zh-CN"/>
        </w:rPr>
        <w:t>油料（高油酸花生）产业集群项目技术指导组，</w:t>
      </w:r>
      <w:r>
        <w:rPr>
          <w:rFonts w:hint="eastAsia" w:ascii="仿宋" w:hAnsi="仿宋" w:eastAsia="仿宋" w:cs="仿宋"/>
          <w:sz w:val="32"/>
          <w:szCs w:val="32"/>
          <w:lang w:eastAsia="zh-CN"/>
        </w:rPr>
        <w:t>河北省农林科学院粮油所育种专家李玉荣为组长，河北省农林科学院、邢台市农科院和县技术推广单位有关人员为成员，加强关键技术集成创新、试验示范和推广工作，确保关键技术入户到田。</w:t>
      </w:r>
    </w:p>
    <w:p>
      <w:pPr>
        <w:keepNext w:val="0"/>
        <w:keepLines w:val="0"/>
        <w:pageBreakBefore w:val="0"/>
        <w:widowControl w:val="0"/>
        <w:numPr>
          <w:ilvl w:val="0"/>
          <w:numId w:val="3"/>
        </w:numPr>
        <w:pBdr>
          <w:bottom w:val="single" w:color="FFFFFF" w:sz="4" w:space="31"/>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lang w:eastAsia="zh-CN"/>
        </w:rPr>
        <w:t>加快培育新型主体。以合作社联合社或农业产业化联合体等为龙头，统筹推进油料产业集群项目建设。积极推进统防统治、机耕机收等生产性服务，培育壮大生产性服务组织，加强产前、产中、产后服务，提高生产组织化规模化水平。鼓励龙头企业与农民签订服务合同和生产订单，以市场需求为导向，促进产加销一体化发展，提升产品品质和效益。</w:t>
      </w:r>
    </w:p>
    <w:p>
      <w:pPr>
        <w:keepNext w:val="0"/>
        <w:keepLines w:val="0"/>
        <w:pageBreakBefore w:val="0"/>
        <w:widowControl w:val="0"/>
        <w:numPr>
          <w:ilvl w:val="0"/>
          <w:numId w:val="3"/>
        </w:numPr>
        <w:pBdr>
          <w:bottom w:val="single" w:color="FFFFFF" w:sz="4" w:space="31"/>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 w:hAnsi="仿宋" w:eastAsia="仿宋" w:cs="仿宋"/>
          <w:sz w:val="32"/>
          <w:szCs w:val="32"/>
          <w:lang w:eastAsia="zh-CN"/>
        </w:rPr>
        <w:t>严格项目管理。强化项目实施的督导，督促和指导项目实施单位规范项目管理，切实提高项目实施的质量效益，保证按期完成项目建设任务，同时按照财政部门资金支付进度要求，提高资金运行效率和绩效目标。明确专人填报河北省农业投资项目管理信息系统，项目</w:t>
      </w:r>
      <w:bookmarkStart w:id="2" w:name="_Toc15548"/>
      <w:bookmarkStart w:id="3" w:name="_Toc22794_WPSOffice_Level1"/>
      <w:bookmarkStart w:id="4" w:name="_Toc11629"/>
      <w:bookmarkStart w:id="5" w:name="_Toc3938"/>
      <w:r>
        <w:rPr>
          <w:rFonts w:hint="eastAsia" w:ascii="仿宋" w:hAnsi="仿宋" w:eastAsia="仿宋" w:cs="仿宋"/>
          <w:sz w:val="32"/>
          <w:szCs w:val="32"/>
          <w:lang w:eastAsia="zh-CN"/>
        </w:rPr>
        <w:t>实施结束后及时报送工作总结。</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相关附件</w:t>
      </w:r>
      <w:bookmarkEnd w:id="2"/>
      <w:bookmarkEnd w:id="3"/>
      <w:bookmarkEnd w:id="4"/>
      <w:bookmarkEnd w:id="5"/>
      <w:bookmarkStart w:id="6" w:name="_Toc19223"/>
      <w:bookmarkStart w:id="7" w:name="_Toc12377"/>
      <w:bookmarkStart w:id="8" w:name="_Toc14877"/>
      <w:bookmarkStart w:id="9" w:name="_Toc3232_WPSOffice_Level2"/>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1.巨鹿县2022年度油料（高酸花生）产业集群项目领导小组名单</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bookmarkEnd w:id="6"/>
      <w:bookmarkEnd w:id="7"/>
      <w:bookmarkEnd w:id="8"/>
      <w:bookmarkStart w:id="10" w:name="_Toc28910"/>
      <w:bookmarkStart w:id="11" w:name="_Toc8069"/>
      <w:bookmarkStart w:id="12" w:name="_Toc29967"/>
      <w:r>
        <w:rPr>
          <w:rFonts w:hint="eastAsia" w:ascii="仿宋_GB2312" w:hAnsi="仿宋_GB2312" w:eastAsia="仿宋_GB2312" w:cs="仿宋_GB2312"/>
          <w:b w:val="0"/>
          <w:bCs w:val="0"/>
          <w:color w:val="auto"/>
          <w:kern w:val="2"/>
          <w:sz w:val="32"/>
          <w:szCs w:val="32"/>
          <w:highlight w:val="none"/>
          <w:lang w:val="en-US" w:eastAsia="zh-CN" w:bidi="ar-SA"/>
        </w:rPr>
        <w:t>巨鹿县2022年度油料（高酸花生）产业集群项目技术指导组</w:t>
      </w:r>
      <w:bookmarkEnd w:id="9"/>
      <w:bookmarkEnd w:id="10"/>
      <w:bookmarkEnd w:id="11"/>
      <w:bookmarkEnd w:id="12"/>
      <w:r>
        <w:rPr>
          <w:rFonts w:hint="eastAsia" w:ascii="仿宋_GB2312" w:hAnsi="仿宋_GB2312" w:eastAsia="仿宋_GB2312" w:cs="仿宋_GB2312"/>
          <w:b w:val="0"/>
          <w:bCs w:val="0"/>
          <w:color w:val="auto"/>
          <w:kern w:val="2"/>
          <w:sz w:val="32"/>
          <w:szCs w:val="32"/>
          <w:highlight w:val="none"/>
          <w:lang w:val="en-US" w:eastAsia="zh-CN" w:bidi="ar-SA"/>
        </w:rPr>
        <w:t>名单</w:t>
      </w:r>
    </w:p>
    <w:p>
      <w:pPr>
        <w:keepNext w:val="0"/>
        <w:keepLines w:val="0"/>
        <w:pageBreakBefore w:val="0"/>
        <w:widowControl w:val="0"/>
        <w:tabs>
          <w:tab w:val="left" w:pos="500"/>
        </w:tabs>
        <w:kinsoku/>
        <w:wordWrap/>
        <w:overflowPunct/>
        <w:topLinePunct w:val="0"/>
        <w:bidi w:val="0"/>
        <w:adjustRightInd w:val="0"/>
        <w:snapToGrid w:val="0"/>
        <w:spacing w:line="560" w:lineRule="exact"/>
        <w:ind w:firstLine="519" w:firstLineChars="0"/>
        <w:jc w:val="left"/>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ab/>
      </w:r>
    </w:p>
    <w:p>
      <w:pPr>
        <w:pStyle w:val="2"/>
        <w:keepNext w:val="0"/>
        <w:keepLines w:val="0"/>
        <w:pageBreakBefore w:val="0"/>
        <w:widowControl w:val="0"/>
        <w:kinsoku/>
        <w:wordWrap/>
        <w:overflowPunct/>
        <w:topLinePunct w:val="0"/>
        <w:bidi w:val="0"/>
        <w:spacing w:line="560" w:lineRule="exact"/>
        <w:jc w:val="both"/>
        <w:textAlignment w:val="auto"/>
        <w:rPr>
          <w:rFonts w:hint="eastAsia"/>
          <w:color w:val="auto"/>
          <w:highlight w:val="none"/>
          <w:lang w:val="en-US" w:eastAsia="zh-CN"/>
        </w:rPr>
      </w:pPr>
    </w:p>
    <w:p>
      <w:pPr>
        <w:pStyle w:val="2"/>
        <w:keepNext w:val="0"/>
        <w:keepLines w:val="0"/>
        <w:pageBreakBefore w:val="0"/>
        <w:widowControl w:val="0"/>
        <w:kinsoku/>
        <w:wordWrap/>
        <w:overflowPunct/>
        <w:topLinePunct w:val="0"/>
        <w:bidi w:val="0"/>
        <w:spacing w:line="560" w:lineRule="exact"/>
        <w:textAlignment w:val="auto"/>
        <w:rPr>
          <w:rFonts w:hint="default"/>
          <w:color w:val="auto"/>
          <w:highlight w:val="none"/>
          <w:lang w:val="en-US"/>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附件1</w:t>
      </w:r>
    </w:p>
    <w:p>
      <w:pPr>
        <w:keepNext w:val="0"/>
        <w:keepLines w:val="0"/>
        <w:pageBreakBefore w:val="0"/>
        <w:widowControl w:val="0"/>
        <w:kinsoku/>
        <w:wordWrap/>
        <w:overflowPunct/>
        <w:topLinePunct w:val="0"/>
        <w:bidi w:val="0"/>
        <w:spacing w:line="560" w:lineRule="exact"/>
        <w:jc w:val="center"/>
        <w:textAlignment w:val="auto"/>
        <w:rPr>
          <w:rFonts w:hint="eastAsia" w:ascii="宋体" w:hAnsi="宋体"/>
          <w:b w:val="0"/>
          <w:bCs/>
          <w:sz w:val="44"/>
          <w:szCs w:val="44"/>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巨鹿县2022年度油料（高油酸花生）</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产业集群项目领导小组名单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6" w:firstLineChars="500"/>
        <w:jc w:val="both"/>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组  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孟  国  县农业农村局局长</w:t>
      </w:r>
    </w:p>
    <w:p>
      <w:pPr>
        <w:pStyle w:val="2"/>
        <w:keepNext w:val="0"/>
        <w:keepLines w:val="0"/>
        <w:pageBreakBefore w:val="0"/>
        <w:widowControl w:val="0"/>
        <w:kinsoku/>
        <w:wordWrap/>
        <w:overflowPunct/>
        <w:topLinePunct w:val="0"/>
        <w:bidi w:val="0"/>
        <w:spacing w:line="560" w:lineRule="exact"/>
        <w:ind w:firstLine="1600" w:firstLineChars="5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副组长：马海峰  县农业农村局副局长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sz w:val="32"/>
          <w:szCs w:val="32"/>
        </w:rPr>
        <w:t>成  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auto"/>
          <w:sz w:val="32"/>
          <w:szCs w:val="32"/>
          <w:lang w:val="en-US" w:eastAsia="zh-CN"/>
        </w:rPr>
        <w:t xml:space="preserve">李  杰  </w:t>
      </w:r>
      <w:r>
        <w:rPr>
          <w:rFonts w:hint="eastAsia" w:ascii="仿宋_GB2312" w:hAnsi="仿宋_GB2312" w:eastAsia="仿宋_GB2312" w:cs="仿宋_GB2312"/>
          <w:b w:val="0"/>
          <w:bCs/>
          <w:sz w:val="32"/>
          <w:szCs w:val="32"/>
          <w:lang w:val="en-US" w:eastAsia="zh-CN"/>
        </w:rPr>
        <w:t>县农技推广中心主任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80" w:firstLineChars="90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 xml:space="preserve">张  佩 </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val="0"/>
          <w:bCs/>
          <w:sz w:val="32"/>
          <w:szCs w:val="32"/>
          <w:lang w:val="en-US" w:eastAsia="zh-CN"/>
        </w:rPr>
        <w:t>县农业农村局副科级干部</w:t>
      </w:r>
    </w:p>
    <w:p>
      <w:pPr>
        <w:pStyle w:val="2"/>
        <w:keepNext w:val="0"/>
        <w:keepLines w:val="0"/>
        <w:pageBreakBefore w:val="0"/>
        <w:widowControl w:val="0"/>
        <w:tabs>
          <w:tab w:val="left" w:pos="2765"/>
          <w:tab w:val="left" w:pos="4130"/>
        </w:tabs>
        <w:kinsoku/>
        <w:wordWrap/>
        <w:overflowPunct/>
        <w:topLinePunct w:val="0"/>
        <w:bidi w:val="0"/>
        <w:snapToGrid/>
        <w:spacing w:line="560" w:lineRule="exact"/>
        <w:ind w:firstLine="2880" w:firstLineChars="900"/>
        <w:jc w:val="both"/>
        <w:textAlignment w:val="auto"/>
        <w:rPr>
          <w:rFonts w:hint="eastAsia" w:ascii="仿宋_GB2312" w:hAnsi="仿宋_GB2312" w:eastAsia="仿宋_GB2312" w:cs="仿宋_GB2312"/>
          <w:b w:val="0"/>
          <w:bCs/>
          <w:kern w:val="2"/>
          <w:sz w:val="32"/>
          <w:szCs w:val="32"/>
          <w:lang w:val="en-US" w:eastAsia="zh-CN" w:bidi="ar-SA"/>
        </w:rPr>
      </w:pPr>
    </w:p>
    <w:p>
      <w:pPr>
        <w:pStyle w:val="2"/>
        <w:keepNext w:val="0"/>
        <w:keepLines w:val="0"/>
        <w:pageBreakBefore w:val="0"/>
        <w:widowControl w:val="0"/>
        <w:kinsoku/>
        <w:wordWrap/>
        <w:overflowPunct/>
        <w:topLinePunct w:val="0"/>
        <w:bidi w:val="0"/>
        <w:snapToGrid/>
        <w:spacing w:line="560" w:lineRule="exact"/>
        <w:ind w:firstLine="2880" w:firstLineChars="9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kern w:val="2"/>
          <w:sz w:val="32"/>
          <w:szCs w:val="32"/>
          <w:lang w:val="en-US" w:eastAsia="zh-CN" w:bidi="ar-SA"/>
        </w:rPr>
        <w:t xml:space="preserve">    </w:t>
      </w:r>
    </w:p>
    <w:p>
      <w:pPr>
        <w:pStyle w:val="2"/>
        <w:keepNext w:val="0"/>
        <w:keepLines w:val="0"/>
        <w:pageBreakBefore w:val="0"/>
        <w:widowControl w:val="0"/>
        <w:kinsoku/>
        <w:wordWrap/>
        <w:overflowPunct/>
        <w:topLinePunct w:val="0"/>
        <w:bidi w:val="0"/>
        <w:snapToGrid/>
        <w:spacing w:line="560" w:lineRule="exact"/>
        <w:ind w:firstLine="2880" w:firstLineChars="9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领导小组下设办公室，办公室设在农业农村局，办公室主任由县农业农村局副局长马海峰担任，负责日常工作。</w:t>
      </w:r>
    </w:p>
    <w:p>
      <w:pPr>
        <w:pStyle w:val="2"/>
        <w:keepNext w:val="0"/>
        <w:keepLines w:val="0"/>
        <w:pageBreakBefore w:val="0"/>
        <w:widowControl w:val="0"/>
        <w:kinsoku/>
        <w:wordWrap/>
        <w:overflowPunct/>
        <w:topLinePunct w:val="0"/>
        <w:bidi w:val="0"/>
        <w:spacing w:line="560" w:lineRule="exact"/>
        <w:textAlignment w:val="auto"/>
        <w:rPr>
          <w:rFonts w:hint="default" w:ascii="仿宋" w:hAnsi="仿宋" w:eastAsia="仿宋" w:cs="仿宋"/>
          <w:sz w:val="32"/>
          <w:szCs w:val="32"/>
          <w:lang w:val="en-US" w:eastAsia="zh-CN"/>
        </w:rPr>
      </w:pPr>
    </w:p>
    <w:p>
      <w:pPr>
        <w:pStyle w:val="2"/>
        <w:keepNext w:val="0"/>
        <w:keepLines w:val="0"/>
        <w:pageBreakBefore w:val="0"/>
        <w:widowControl w:val="0"/>
        <w:kinsoku/>
        <w:wordWrap/>
        <w:overflowPunct/>
        <w:topLinePunct w:val="0"/>
        <w:bidi w:val="0"/>
        <w:spacing w:line="560" w:lineRule="exact"/>
        <w:textAlignment w:val="auto"/>
        <w:rPr>
          <w:rFonts w:hint="default"/>
          <w:color w:val="auto"/>
          <w:highlight w:val="none"/>
          <w:lang w:val="en-US"/>
        </w:rPr>
      </w:pPr>
    </w:p>
    <w:p>
      <w:pPr>
        <w:pStyle w:val="2"/>
        <w:keepNext w:val="0"/>
        <w:keepLines w:val="0"/>
        <w:pageBreakBefore w:val="0"/>
        <w:widowControl w:val="0"/>
        <w:kinsoku/>
        <w:wordWrap/>
        <w:overflowPunct/>
        <w:topLinePunct w:val="0"/>
        <w:bidi w:val="0"/>
        <w:spacing w:line="560" w:lineRule="exact"/>
        <w:textAlignment w:val="auto"/>
        <w:rPr>
          <w:rFonts w:hint="default"/>
          <w:color w:val="auto"/>
          <w:highlight w:val="none"/>
          <w:lang w:val="en-US"/>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pacing w:line="560" w:lineRule="exact"/>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附件2</w:t>
      </w: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巨鹿县2022年度油料（高油酸花生）</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产业集群项目技术指导组名单</w:t>
      </w:r>
    </w:p>
    <w:p>
      <w:pPr>
        <w:pStyle w:val="2"/>
        <w:keepNext w:val="0"/>
        <w:keepLines w:val="0"/>
        <w:pageBreakBefore w:val="0"/>
        <w:widowControl w:val="0"/>
        <w:kinsoku/>
        <w:wordWrap/>
        <w:overflowPunct/>
        <w:topLinePunct w:val="0"/>
        <w:bidi w:val="0"/>
        <w:spacing w:line="560" w:lineRule="exact"/>
        <w:jc w:val="both"/>
        <w:textAlignment w:val="auto"/>
        <w:rPr>
          <w:rFonts w:hint="eastAsia"/>
          <w:color w:val="auto"/>
          <w:highlight w:val="none"/>
        </w:rPr>
      </w:pPr>
    </w:p>
    <w:p>
      <w:pPr>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bookmarkStart w:id="13" w:name="_Toc23579_WPSOffice_Level1"/>
      <w:r>
        <w:rPr>
          <w:rFonts w:hint="eastAsia" w:ascii="仿宋_GB2312" w:hAnsi="仿宋_GB2312" w:eastAsia="仿宋_GB2312" w:cs="仿宋_GB2312"/>
          <w:bCs/>
          <w:color w:val="auto"/>
          <w:sz w:val="32"/>
          <w:szCs w:val="32"/>
          <w:highlight w:val="none"/>
          <w:lang w:eastAsia="zh-CN"/>
        </w:rPr>
        <w:t>组</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lang w:eastAsia="zh-CN"/>
        </w:rPr>
        <w:t xml:space="preserve"> 长：李玉荣</w:t>
      </w:r>
      <w:r>
        <w:rPr>
          <w:rFonts w:hint="eastAsia" w:ascii="仿宋_GB2312" w:hAnsi="仿宋_GB2312" w:eastAsia="仿宋_GB2312" w:cs="仿宋_GB2312"/>
          <w:bCs/>
          <w:color w:val="auto"/>
          <w:sz w:val="32"/>
          <w:szCs w:val="32"/>
          <w:highlight w:val="none"/>
          <w:lang w:val="en-US" w:eastAsia="zh-CN"/>
        </w:rPr>
        <w:t xml:space="preserve">  河北省</w:t>
      </w:r>
      <w:bookmarkEnd w:id="13"/>
      <w:r>
        <w:rPr>
          <w:rFonts w:hint="eastAsia" w:ascii="仿宋_GB2312" w:hAnsi="仿宋_GB2312" w:eastAsia="仿宋_GB2312" w:cs="仿宋_GB2312"/>
          <w:bCs/>
          <w:color w:val="auto"/>
          <w:sz w:val="32"/>
          <w:szCs w:val="32"/>
          <w:highlight w:val="none"/>
          <w:lang w:val="en-US" w:eastAsia="zh-CN"/>
        </w:rPr>
        <w:t>农林科学院、高油酸花生育种专家</w:t>
      </w:r>
    </w:p>
    <w:p>
      <w:pPr>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副组长：何梦霞  邢台农科院、冀南油料创新团队专家</w:t>
      </w:r>
    </w:p>
    <w:p>
      <w:pPr>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成  员：张</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lang w:eastAsia="zh-CN"/>
        </w:rPr>
        <w:t>佩</w:t>
      </w:r>
      <w:r>
        <w:rPr>
          <w:rFonts w:hint="eastAsia" w:ascii="仿宋_GB2312" w:hAnsi="仿宋_GB2312" w:eastAsia="仿宋_GB2312" w:cs="仿宋_GB2312"/>
          <w:bCs/>
          <w:color w:val="auto"/>
          <w:sz w:val="32"/>
          <w:szCs w:val="32"/>
          <w:highlight w:val="none"/>
          <w:lang w:val="en-US" w:eastAsia="zh-CN"/>
        </w:rPr>
        <w:t xml:space="preserve">   巨鹿县农业农村局高级农艺师</w:t>
      </w:r>
    </w:p>
    <w:p>
      <w:pPr>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武墨广   巨鹿县农业农村局高级农艺师</w:t>
      </w: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党彦超   巨鹿县农业农村局农艺师</w:t>
      </w:r>
    </w:p>
    <w:p>
      <w:pPr>
        <w:pStyle w:val="2"/>
        <w:keepNext w:val="0"/>
        <w:keepLines w:val="0"/>
        <w:pageBreakBefore w:val="0"/>
        <w:widowControl w:val="0"/>
        <w:kinsoku/>
        <w:wordWrap/>
        <w:overflowPunct/>
        <w:topLinePunct w:val="0"/>
        <w:bidi w:val="0"/>
        <w:spacing w:line="560" w:lineRule="exact"/>
        <w:jc w:val="both"/>
        <w:textAlignment w:val="auto"/>
        <w:rPr>
          <w:rFonts w:hint="eastAsia" w:ascii="仿宋_GB2312" w:hAnsi="仿宋_GB2312" w:eastAsia="仿宋_GB2312" w:cs="仿宋_GB2312"/>
          <w:bCs/>
          <w:color w:val="auto"/>
          <w:sz w:val="32"/>
          <w:szCs w:val="32"/>
          <w:highlight w:val="none"/>
          <w:lang w:val="en-US" w:eastAsia="zh-CN"/>
        </w:rPr>
      </w:pPr>
    </w:p>
    <w:p>
      <w:pPr>
        <w:pStyle w:val="2"/>
        <w:keepNext w:val="0"/>
        <w:keepLines w:val="0"/>
        <w:pageBreakBefore w:val="0"/>
        <w:widowControl w:val="0"/>
        <w:kinsoku/>
        <w:wordWrap/>
        <w:overflowPunct/>
        <w:topLinePunct w:val="0"/>
        <w:bidi w:val="0"/>
        <w:spacing w:line="560" w:lineRule="exact"/>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w:t>
      </w: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72775"/>
    <w:multiLevelType w:val="singleLevel"/>
    <w:tmpl w:val="E8472775"/>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5A76CF2E"/>
    <w:multiLevelType w:val="singleLevel"/>
    <w:tmpl w:val="5A76CF2E"/>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595C"/>
    <w:rsid w:val="02963F39"/>
    <w:rsid w:val="03AF5DA9"/>
    <w:rsid w:val="06F1685A"/>
    <w:rsid w:val="077C1812"/>
    <w:rsid w:val="09666B66"/>
    <w:rsid w:val="0B156206"/>
    <w:rsid w:val="0F5A6D93"/>
    <w:rsid w:val="131E40C5"/>
    <w:rsid w:val="13686D1D"/>
    <w:rsid w:val="14750656"/>
    <w:rsid w:val="17022393"/>
    <w:rsid w:val="17EB6EA6"/>
    <w:rsid w:val="18213844"/>
    <w:rsid w:val="1AAE5452"/>
    <w:rsid w:val="1EE73F05"/>
    <w:rsid w:val="201E74B3"/>
    <w:rsid w:val="23FC5D5D"/>
    <w:rsid w:val="2800183D"/>
    <w:rsid w:val="2D297497"/>
    <w:rsid w:val="2DDD275B"/>
    <w:rsid w:val="2DFD564A"/>
    <w:rsid w:val="2E0F7BFC"/>
    <w:rsid w:val="2E46193C"/>
    <w:rsid w:val="2F367437"/>
    <w:rsid w:val="337E5A99"/>
    <w:rsid w:val="338A3EF6"/>
    <w:rsid w:val="388F4F9A"/>
    <w:rsid w:val="38A65909"/>
    <w:rsid w:val="3AAA0D4D"/>
    <w:rsid w:val="3D4E7DE6"/>
    <w:rsid w:val="3DAC3C9C"/>
    <w:rsid w:val="3F2301EA"/>
    <w:rsid w:val="3FCD4A86"/>
    <w:rsid w:val="40154CEE"/>
    <w:rsid w:val="40A23390"/>
    <w:rsid w:val="42044F45"/>
    <w:rsid w:val="42417305"/>
    <w:rsid w:val="451A3E3D"/>
    <w:rsid w:val="48DD765B"/>
    <w:rsid w:val="497955D6"/>
    <w:rsid w:val="49B02AEE"/>
    <w:rsid w:val="4A152192"/>
    <w:rsid w:val="4A985F30"/>
    <w:rsid w:val="4C3521D9"/>
    <w:rsid w:val="51757F19"/>
    <w:rsid w:val="52A37795"/>
    <w:rsid w:val="5553617E"/>
    <w:rsid w:val="566B49DA"/>
    <w:rsid w:val="56FC6001"/>
    <w:rsid w:val="57FE4A52"/>
    <w:rsid w:val="5A156629"/>
    <w:rsid w:val="5BB93F58"/>
    <w:rsid w:val="5E7719FC"/>
    <w:rsid w:val="601B2AEB"/>
    <w:rsid w:val="60573359"/>
    <w:rsid w:val="64BA6663"/>
    <w:rsid w:val="653575C7"/>
    <w:rsid w:val="6A022F6E"/>
    <w:rsid w:val="6AC645F4"/>
    <w:rsid w:val="6ADC556D"/>
    <w:rsid w:val="6BF53A75"/>
    <w:rsid w:val="6C111246"/>
    <w:rsid w:val="6C4E249B"/>
    <w:rsid w:val="6F801900"/>
    <w:rsid w:val="755A02D6"/>
    <w:rsid w:val="765C7B62"/>
    <w:rsid w:val="76D75987"/>
    <w:rsid w:val="782C253B"/>
    <w:rsid w:val="794762A8"/>
    <w:rsid w:val="7D4C1AAB"/>
    <w:rsid w:val="7D545D2B"/>
    <w:rsid w:val="7D9A5540"/>
    <w:rsid w:val="7ED95BF4"/>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line="560" w:lineRule="exact"/>
      <w:ind w:firstLine="880" w:firstLineChars="200"/>
      <w:jc w:val="left"/>
      <w:outlineLvl w:val="1"/>
    </w:pPr>
    <w:rPr>
      <w:rFonts w:ascii="Arial" w:hAnsi="Arial" w:eastAsia="楷体"/>
      <w:sz w:val="32"/>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240" w:lineRule="atLeast"/>
      <w:jc w:val="center"/>
    </w:pPr>
    <w:rPr>
      <w:rFonts w:ascii="宋体" w:hAnsi="Times New Roman" w:eastAsia="宋体" w:cs="Times New Roman"/>
      <w:sz w:val="21"/>
      <w:szCs w:val="22"/>
      <w:lang w:val="en-US" w:eastAsia="zh-CN" w:bidi="ar-SA"/>
    </w:r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正文首行缩进 21"/>
    <w:basedOn w:val="1"/>
    <w:qFormat/>
    <w:uiPriority w:val="0"/>
    <w:pPr>
      <w:spacing w:after="120"/>
      <w:ind w:left="420" w:leftChars="200" w:firstLine="420" w:firstLineChars="200"/>
    </w:pPr>
    <w:rPr>
      <w:rFonts w:ascii="Times New Roman" w:hAnsi="Times New Roman"/>
    </w:rPr>
  </w:style>
  <w:style w:type="paragraph" w:customStyle="1" w:styleId="11">
    <w:name w:val="自定义正文"/>
    <w:basedOn w:val="1"/>
    <w:qFormat/>
    <w:uiPriority w:val="0"/>
    <w:pPr>
      <w:ind w:firstLine="200" w:firstLineChars="200"/>
    </w:pPr>
    <w:rPr>
      <w:rFonts w:eastAsia="仿宋_GB2312"/>
      <w:sz w:val="32"/>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2619</Words>
  <Characters>2680</Characters>
  <Paragraphs>31</Paragraphs>
  <TotalTime>28</TotalTime>
  <ScaleCrop>false</ScaleCrop>
  <LinksUpToDate>false</LinksUpToDate>
  <CharactersWithSpaces>2697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2022-02-08T00:42:00Z</dcterms:created>
  <dc:creator>Administrator</dc:creator>
  <cp:lastModifiedBy>Administrator</cp:lastModifiedBy>
  <cp:lastPrinted>2022-02-17T03:28:00Z</cp:lastPrinted>
  <dcterms:modified xsi:type="dcterms:W3CDTF">2022-02-23T01:58:02Z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C3851D74300B498483C46FA2218E2278</vt:lpwstr>
  </property>
</Properties>
</file>