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中共巨鹿县委机构编制委员会办公室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中共巨鹿县委机构编制委员会办公室编制</w:t>
      </w:r>
    </w:p>
    <w:p w:rsidR="00DB0B3A" w:rsidRDefault="003A0C66">
      <w:pPr>
        <w:jc w:val="center"/>
        <w:sectPr w:rsidR="00DB0B3A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巨鹿县财政局</w:t>
      </w:r>
      <w:r>
        <w:rPr>
          <w:rFonts w:ascii="方正楷体_GBK" w:eastAsia="方正楷体_GBK" w:hAnsi="方正楷体_GBK" w:cs="方正楷体_GBK" w:hint="eastAsia"/>
          <w:b/>
          <w:color w:val="000000"/>
          <w:sz w:val="32"/>
        </w:rPr>
        <w:t>审核</w:t>
      </w:r>
      <w:bookmarkStart w:id="0" w:name="_GoBack"/>
      <w:bookmarkEnd w:id="0"/>
    </w:p>
    <w:p w:rsidR="00DB0B3A" w:rsidRDefault="00DB0B3A">
      <w:pPr>
        <w:jc w:val="center"/>
        <w:sectPr w:rsidR="00DB0B3A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DB0B3A" w:rsidRDefault="00310AA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DB0B3A" w:rsidRDefault="00310AA2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B0B3A" w:rsidRDefault="00310AA2">
      <w:pPr>
        <w:pStyle w:val="10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B0B3A" w:rsidRDefault="00310AA2">
      <w:pPr>
        <w:pStyle w:val="10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DB0B3A" w:rsidRDefault="00310AA2">
      <w:r>
        <w:fldChar w:fldCharType="end"/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DB0B3A" w:rsidRDefault="00310AA2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党政机关、事业单位中文域名专项经费绩效</w:t>
        </w:r>
        <w:r>
          <w:t>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DB0B3A" w:rsidRDefault="00310AA2">
      <w:pPr>
        <w:pStyle w:val="10"/>
        <w:tabs>
          <w:tab w:val="right" w:leader="dot" w:pos="9282"/>
        </w:tabs>
      </w:pPr>
      <w:hyperlink w:anchor="_Toc_4_4_0000000005" w:history="1">
        <w:r>
          <w:t>2.</w:t>
        </w:r>
        <w:r>
          <w:t>机构编制管理运行经费绩效目标表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DB0B3A" w:rsidRDefault="00310AA2">
      <w:r>
        <w:fldChar w:fldCharType="end"/>
      </w:r>
    </w:p>
    <w:p w:rsidR="00DB0B3A" w:rsidRDefault="00310AA2">
      <w:pPr>
        <w:sectPr w:rsidR="00DB0B3A">
          <w:footerReference w:type="even" r:id="rId16"/>
          <w:footerReference w:type="default" r:id="rId1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DB0B3A" w:rsidRDefault="00310AA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DB0B3A" w:rsidRDefault="00310AA2"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DB0B3A" w:rsidRDefault="00DB0B3A">
      <w:pPr>
        <w:pStyle w:val="-"/>
      </w:pPr>
    </w:p>
    <w:p w:rsidR="00DB0B3A" w:rsidRDefault="00310AA2">
      <w:pPr>
        <w:pStyle w:val="-"/>
      </w:pPr>
      <w:r>
        <w:t>认真贯彻落实中央、省、市委、市政府各项工作安排部署，科学盘活机构编制资源按照省市安排部署，积极创新编制管理，探索建立统筹使用各类编制资源的制度规定。加大机构编制资源挖潜创新和统筹调剂力度，保障重点领域机构编制需求。根据职责确定机构和编制，科学增减，确保重要领域机构编制需求。积极与省市沟通请示，规范机构设置和人员编制。抓紧推进乡镇治理能力提升工作，一是编制涉及自然资源、生态环境、城乡建设、应急管理、市场监管、综合执法等领域主体责任和配合责任事项清单。二是依托大数据平台或智慧党建平台等建立覆盖县直职能部门、延伸</w:t>
      </w:r>
      <w:r>
        <w:t>至乡镇的治理体系运转平台。三是制定清单事项动态管理、部门考核评价制度等相关配套制度。</w:t>
      </w:r>
    </w:p>
    <w:p w:rsidR="00DB0B3A" w:rsidRDefault="00DB0B3A">
      <w:pPr>
        <w:pStyle w:val="-"/>
      </w:pPr>
    </w:p>
    <w:p w:rsidR="00DB0B3A" w:rsidRDefault="00DB0B3A">
      <w:pPr>
        <w:pStyle w:val="-"/>
      </w:pPr>
    </w:p>
    <w:p w:rsidR="00DB0B3A" w:rsidRDefault="00310AA2"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DB0B3A" w:rsidRDefault="00310AA2">
      <w:pPr>
        <w:pStyle w:val="-0"/>
      </w:pPr>
      <w:r>
        <w:t>（一）科学盘活机构编制资源</w:t>
      </w:r>
    </w:p>
    <w:p w:rsidR="00DB0B3A" w:rsidRDefault="00310AA2">
      <w:pPr>
        <w:pStyle w:val="-0"/>
      </w:pPr>
      <w:r>
        <w:t>按照省市安排部署，积极创新编制管理，探索建立统筹使用各类编制资源的制度规定。加大机构编制资源挖潜创新和统筹调剂力度，保障重点领域机构编制需求。</w:t>
      </w:r>
    </w:p>
    <w:p w:rsidR="00DB0B3A" w:rsidRDefault="00310AA2">
      <w:pPr>
        <w:pStyle w:val="-0"/>
      </w:pPr>
      <w:r>
        <w:t>（二）搞好党政机构改革评估工作</w:t>
      </w:r>
    </w:p>
    <w:p w:rsidR="00DB0B3A" w:rsidRDefault="00310AA2">
      <w:pPr>
        <w:pStyle w:val="-0"/>
      </w:pPr>
      <w:r>
        <w:t>盘活机构编制资源，根据职责确定机构和编制，科学增减，确保重要领域机构编制需求。</w:t>
      </w:r>
    </w:p>
    <w:p w:rsidR="00DB0B3A" w:rsidRDefault="00310AA2">
      <w:pPr>
        <w:pStyle w:val="-0"/>
      </w:pPr>
      <w:r>
        <w:t>（三）抓紧推进乡镇治理能力提升工作，全面推进乡镇管理体制改革。</w:t>
      </w:r>
    </w:p>
    <w:p w:rsidR="00DB0B3A" w:rsidRDefault="00310AA2">
      <w:pPr>
        <w:pStyle w:val="-0"/>
      </w:pPr>
      <w:r>
        <w:lastRenderedPageBreak/>
        <w:t>一是编制涉及自然资源、生态环境、城乡建设、应急管理、市场</w:t>
      </w:r>
      <w:r>
        <w:t>监管、综合执法等领域主体责任和配合责任事项清单。二是依托大数据平台或智慧党建平台等建立覆盖县直职能部门、延伸至乡镇的治理体系运转平台。三是制定清单事项动态管理、部门考核评价制度等相关配套制度。</w:t>
      </w:r>
    </w:p>
    <w:p w:rsidR="00DB0B3A" w:rsidRDefault="00DB0B3A">
      <w:pPr>
        <w:pStyle w:val="-0"/>
      </w:pPr>
    </w:p>
    <w:p w:rsidR="00DB0B3A" w:rsidRDefault="00310AA2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DB0B3A" w:rsidRDefault="00310AA2">
      <w:pPr>
        <w:pStyle w:val="-1"/>
      </w:pPr>
      <w:r>
        <w:t>(</w:t>
      </w:r>
      <w:r>
        <w:t>一）完善制度建设</w:t>
      </w:r>
    </w:p>
    <w:p w:rsidR="00DB0B3A" w:rsidRDefault="00310AA2">
      <w:pPr>
        <w:pStyle w:val="-1"/>
      </w:pPr>
      <w:r>
        <w:t>完善预算绩效管理制度、工作保障制度等，为全年预算绩效目标的实现奠定制度基础。将事前评估、目标管理、运行监控、绩效评价、结果应用等各项改革措施，有效融入预算管理的全过程环节，建立健全机构编制部门预算绩效管理的路径和制度体系。在编办</w:t>
      </w:r>
      <w:r>
        <w:t>“</w:t>
      </w:r>
      <w:r>
        <w:t>一把手</w:t>
      </w:r>
      <w:r>
        <w:t>”</w:t>
      </w:r>
      <w:r>
        <w:t>任组长、分管财务工作的办领导任副组长，各</w:t>
      </w:r>
      <w:r>
        <w:t>科（处室）负责人任成员的预算绩效管理领导小组领导下，建立统筹协调、分工协作、密切配合、合力推进的工作机制。围绕年度总体绩效目标和分类绩效目标，细化工作方案，明确责任主体、实施进度要求，确保如期完成工作目标。</w:t>
      </w:r>
    </w:p>
    <w:p w:rsidR="00DB0B3A" w:rsidRDefault="00310AA2">
      <w:pPr>
        <w:pStyle w:val="-1"/>
      </w:pPr>
      <w:r>
        <w:t>(</w:t>
      </w:r>
      <w:r>
        <w:t>二）加强支出管理</w:t>
      </w:r>
    </w:p>
    <w:p w:rsidR="00DB0B3A" w:rsidRDefault="00310AA2">
      <w:pPr>
        <w:pStyle w:val="-1"/>
      </w:pPr>
      <w:r>
        <w:t>细化、量化全年全办工作的内容并进行科学分析，将有限的财政资金对照编办中心工作合理分配到每个业务科室、每件具体事项，采取优化支出结构、编细编实预算、尽快启动项目、及时支付资金等多种措施，加强编办的财务管理，确保支出进度达标。</w:t>
      </w:r>
    </w:p>
    <w:p w:rsidR="00DB0B3A" w:rsidRDefault="00310AA2">
      <w:pPr>
        <w:pStyle w:val="-1"/>
      </w:pPr>
      <w:r>
        <w:t>(</w:t>
      </w:r>
      <w:r>
        <w:t>三）加强绩效运行监控</w:t>
      </w:r>
    </w:p>
    <w:p w:rsidR="00DB0B3A" w:rsidRDefault="00310AA2">
      <w:pPr>
        <w:pStyle w:val="-1"/>
      </w:pPr>
      <w:r>
        <w:t>对预算资金进行全过程绩效监控，部门对</w:t>
      </w:r>
      <w:r>
        <w:t>项目实施按照年初确定的绩效目标指标全面开展绩效运行监控，重点关注重支出进度缓慢、管理基础薄弱的项目，动态掌握政策及项目进展，以及资金使用和绩效目标完成情况，对监控发现的管理漏洞和绩效目标偏差，及时采取有针对性的措施予以纠正，调整优化资金支出结构，确保绩效目标如期保质实现。</w:t>
      </w:r>
    </w:p>
    <w:p w:rsidR="00DB0B3A" w:rsidRDefault="00310AA2">
      <w:pPr>
        <w:pStyle w:val="-1"/>
      </w:pPr>
      <w:r>
        <w:t>(</w:t>
      </w:r>
      <w:r>
        <w:t>四）做好绩效自评</w:t>
      </w:r>
    </w:p>
    <w:p w:rsidR="00DB0B3A" w:rsidRDefault="00310AA2">
      <w:pPr>
        <w:pStyle w:val="-1"/>
      </w:pPr>
      <w:r>
        <w:lastRenderedPageBreak/>
        <w:t>按财政统一部署开展年度部门预算绩效自评和重点评价工作，按照预算绩效领导小组确定的范围、要求等对预算绩效情况进行评价。对评价中发现的问题及时整改，调整优化支出结构，提高财政资金使用效益。按照</w:t>
      </w:r>
      <w:r>
        <w:t>“</w:t>
      </w:r>
      <w:r>
        <w:t>谁花钱、谁负责，谁牵总、谁主</w:t>
      </w:r>
      <w:r>
        <w:t>责</w:t>
      </w:r>
      <w:r>
        <w:t>”</w:t>
      </w:r>
      <w:r>
        <w:t>的原则，明确业务科室预算绩效管理职责。充分调动各项目主管科室的积极性和主动性，由项目实施科室负责科学制定分管项目和内容的中期、终期绩效目标和评价指标，动态收集评估数据信息，开展预算绩效中期评估、终期评价，落实整改措施等。按照领导小组指示，配合领导小组办公室开展分管项目及内容的预算绩效管理具体工作，实现</w:t>
      </w:r>
      <w:r>
        <w:t>“</w:t>
      </w:r>
      <w:r>
        <w:t>定项目就要抓绩效、分资金就要管绩效</w:t>
      </w:r>
      <w:r>
        <w:t>”</w:t>
      </w:r>
      <w:r>
        <w:t>，确保财务与</w:t>
      </w:r>
      <w:r>
        <w:t>b</w:t>
      </w:r>
      <w:r>
        <w:t>业编办工作紧密衔接。</w:t>
      </w:r>
    </w:p>
    <w:p w:rsidR="00DB0B3A" w:rsidRDefault="00310AA2">
      <w:pPr>
        <w:pStyle w:val="-1"/>
      </w:pPr>
      <w:r>
        <w:t>(</w:t>
      </w:r>
      <w:r>
        <w:t>五）规范财务资产管理</w:t>
      </w:r>
    </w:p>
    <w:p w:rsidR="00DB0B3A" w:rsidRDefault="00310AA2">
      <w:pPr>
        <w:pStyle w:val="-1"/>
      </w:pPr>
      <w:r>
        <w:t>进一步完善财务管理制度，严格审批程序，加强固定资产登记、使用和报废处置管理，做到支出合理，物尽其用，应收尽收</w:t>
      </w:r>
      <w:r>
        <w:t>。根据全年工作计划，合理配置资金、项目，对各项收支做到预先计划，心中有数，认真测算，层层把关，严格按照财政规定的资金用处、支出经济分类使用资金，努力提高资金使用效率和支出时效性、规范性，严格执行年初预算，防范违规用款行为的发生。</w:t>
      </w:r>
    </w:p>
    <w:p w:rsidR="00DB0B3A" w:rsidRDefault="00310AA2">
      <w:pPr>
        <w:pStyle w:val="-1"/>
      </w:pPr>
      <w:r>
        <w:t>(</w:t>
      </w:r>
      <w:r>
        <w:t>六）加强内部监督</w:t>
      </w:r>
    </w:p>
    <w:p w:rsidR="00DB0B3A" w:rsidRDefault="00310AA2">
      <w:pPr>
        <w:pStyle w:val="-1"/>
      </w:pPr>
      <w:r>
        <w:t>加强内部监督制度建设，认真学习编办内部控制制度，全面熟悉业务流程，掌握业务环节，分析风险隐患，完善风险评估机制，制定风险应对策略，有效运用内部控制基本方法，加强对单位层面和业务层面的内部控制，实现内部控制体系全面、有效实施。对绩效运行情况、重大支出决策、资产处置</w:t>
      </w:r>
      <w:r>
        <w:t>及其他重要业务事项的决策和执行进行督导，对会计资料进行内部审计，并配合做好财政、审计监督等外部监督工作，确保财政资金安全有效。</w:t>
      </w:r>
    </w:p>
    <w:p w:rsidR="00DB0B3A" w:rsidRDefault="00310AA2">
      <w:pPr>
        <w:jc w:val="center"/>
        <w:sectPr w:rsidR="00DB0B3A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DB0B3A" w:rsidRDefault="00310AA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DB0B3A" w:rsidRDefault="00310AA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DB0B3A" w:rsidRDefault="00310AA2">
      <w:pPr>
        <w:jc w:val="center"/>
        <w:sectPr w:rsidR="00DB0B3A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DB0B3A" w:rsidRDefault="00310AA2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B0B3A" w:rsidRDefault="00310AA2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党政机关、事业单位中文域名专项经费绩效目标表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A0C66" w:rsidTr="003A0C6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0B3A" w:rsidRDefault="00310AA2">
            <w:pPr>
              <w:pStyle w:val="5"/>
            </w:pPr>
            <w:r>
              <w:t>225001</w:t>
            </w:r>
            <w:r>
              <w:t>中共巨鹿县委机构编制委员会办公室本级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0B3A" w:rsidRDefault="00310AA2">
            <w:pPr>
              <w:pStyle w:val="4"/>
            </w:pPr>
            <w:r>
              <w:t>单位：万元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B0B3A" w:rsidRDefault="00310AA2">
            <w:pPr>
              <w:pStyle w:val="2"/>
            </w:pPr>
            <w:r>
              <w:t>13052922P005840103373</w:t>
            </w:r>
          </w:p>
        </w:tc>
        <w:tc>
          <w:tcPr>
            <w:tcW w:w="1587" w:type="dxa"/>
            <w:vAlign w:val="center"/>
          </w:tcPr>
          <w:p w:rsidR="00DB0B3A" w:rsidRDefault="00310AA2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B0B3A" w:rsidRDefault="00310AA2">
            <w:pPr>
              <w:pStyle w:val="2"/>
            </w:pPr>
            <w:r>
              <w:t>党政机关、事业单位中文域名专项经费</w:t>
            </w:r>
          </w:p>
        </w:tc>
      </w:tr>
      <w:tr w:rsidR="00DB0B3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B3A" w:rsidRDefault="00310AA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4.40</w:t>
            </w:r>
          </w:p>
        </w:tc>
        <w:tc>
          <w:tcPr>
            <w:tcW w:w="1587" w:type="dxa"/>
            <w:vAlign w:val="center"/>
          </w:tcPr>
          <w:p w:rsidR="00DB0B3A" w:rsidRDefault="00310AA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DB0B3A" w:rsidRDefault="00310AA2">
            <w:pPr>
              <w:pStyle w:val="2"/>
            </w:pPr>
            <w:r>
              <w:t>4.40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 xml:space="preserve"> 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/>
          </w:tcPr>
          <w:p w:rsidR="00DB0B3A" w:rsidRDefault="00DB0B3A"/>
        </w:tc>
        <w:tc>
          <w:tcPr>
            <w:tcW w:w="8617" w:type="dxa"/>
            <w:gridSpan w:val="6"/>
            <w:vAlign w:val="center"/>
          </w:tcPr>
          <w:p w:rsidR="00DB0B3A" w:rsidRDefault="00310AA2">
            <w:pPr>
              <w:pStyle w:val="2"/>
            </w:pPr>
            <w:r>
              <w:t>党政机关、事业单位中文域名专项经费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B3A" w:rsidRDefault="00310AA2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DB0B3A" w:rsidRDefault="00310AA2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DB0B3A" w:rsidRDefault="00310AA2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DB0B3A" w:rsidRDefault="00310AA2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DB0B3A" w:rsidRDefault="00310AA2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/>
          </w:tcPr>
          <w:p w:rsidR="00DB0B3A" w:rsidRDefault="00DB0B3A"/>
        </w:tc>
        <w:tc>
          <w:tcPr>
            <w:tcW w:w="2608" w:type="dxa"/>
            <w:gridSpan w:val="2"/>
            <w:vAlign w:val="center"/>
          </w:tcPr>
          <w:p w:rsidR="00DB0B3A" w:rsidRDefault="00310AA2">
            <w:pPr>
              <w:pStyle w:val="3"/>
            </w:pPr>
            <w:r>
              <w:t>1.10</w:t>
            </w:r>
          </w:p>
        </w:tc>
        <w:tc>
          <w:tcPr>
            <w:tcW w:w="1587" w:type="dxa"/>
            <w:vAlign w:val="center"/>
          </w:tcPr>
          <w:p w:rsidR="00DB0B3A" w:rsidRDefault="00310AA2">
            <w:pPr>
              <w:pStyle w:val="3"/>
            </w:pPr>
            <w:r>
              <w:t>2.20</w:t>
            </w:r>
          </w:p>
        </w:tc>
        <w:tc>
          <w:tcPr>
            <w:tcW w:w="1304" w:type="dxa"/>
            <w:vAlign w:val="center"/>
          </w:tcPr>
          <w:p w:rsidR="00DB0B3A" w:rsidRDefault="00310AA2">
            <w:pPr>
              <w:pStyle w:val="3"/>
            </w:pPr>
            <w:r>
              <w:t>3.30</w:t>
            </w:r>
          </w:p>
        </w:tc>
        <w:tc>
          <w:tcPr>
            <w:tcW w:w="3118" w:type="dxa"/>
            <w:gridSpan w:val="2"/>
            <w:vAlign w:val="center"/>
          </w:tcPr>
          <w:p w:rsidR="00DB0B3A" w:rsidRDefault="00310AA2">
            <w:pPr>
              <w:pStyle w:val="3"/>
            </w:pPr>
            <w:r>
              <w:t>4.40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B0B3A" w:rsidRDefault="00310AA2">
            <w:pPr>
              <w:pStyle w:val="2"/>
            </w:pPr>
            <w:r>
              <w:t>1.</w:t>
            </w:r>
            <w:r>
              <w:t>确保业务顺利进行</w:t>
            </w:r>
          </w:p>
          <w:p w:rsidR="00DB0B3A" w:rsidRDefault="00310AA2">
            <w:pPr>
              <w:pStyle w:val="2"/>
            </w:pPr>
            <w:r>
              <w:t>2.</w:t>
            </w:r>
            <w:r>
              <w:t>资金保证</w:t>
            </w:r>
          </w:p>
          <w:p w:rsidR="00DB0B3A" w:rsidRDefault="00310AA2">
            <w:pPr>
              <w:pStyle w:val="2"/>
            </w:pPr>
            <w:r>
              <w:t>3.</w:t>
            </w:r>
            <w:r>
              <w:t>确保党政机关、事业单位中文域名使用效果</w:t>
            </w:r>
          </w:p>
        </w:tc>
      </w:tr>
    </w:tbl>
    <w:p w:rsidR="00DB0B3A" w:rsidRDefault="00310AA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A0C66" w:rsidTr="003A0C6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1"/>
            </w:pPr>
            <w:r>
              <w:t>指标值确定依据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B3A" w:rsidRDefault="00310AA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12</w:t>
            </w:r>
            <w:r>
              <w:t>月底前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县委、县政府安排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B3A" w:rsidRDefault="00DB0B3A"/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统计调查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B3A" w:rsidRDefault="00DB0B3A"/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项目实际成本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项目实际成本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4.4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县委、县政府安排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统计调查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统计调查</w:t>
            </w:r>
          </w:p>
        </w:tc>
      </w:tr>
    </w:tbl>
    <w:p w:rsidR="00DB0B3A" w:rsidRDefault="00DB0B3A">
      <w:pPr>
        <w:sectPr w:rsidR="00DB0B3A">
          <w:pgSz w:w="11900" w:h="16840"/>
          <w:pgMar w:top="1984" w:right="1304" w:bottom="1134" w:left="1304" w:header="720" w:footer="720" w:gutter="0"/>
          <w:cols w:space="720"/>
        </w:sectPr>
      </w:pPr>
    </w:p>
    <w:p w:rsidR="00DB0B3A" w:rsidRDefault="00310AA2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B0B3A" w:rsidRDefault="00310AA2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机构编制管理运行经费绩效目标表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A0C66" w:rsidTr="003A0C6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0B3A" w:rsidRDefault="00310AA2">
            <w:pPr>
              <w:pStyle w:val="5"/>
            </w:pPr>
            <w:r>
              <w:t>225001</w:t>
            </w:r>
            <w:r>
              <w:t>中共巨鹿县委机构编制委员会办公室本级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0B3A" w:rsidRDefault="00310AA2">
            <w:pPr>
              <w:pStyle w:val="4"/>
            </w:pPr>
            <w:r>
              <w:t>单位：万元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B0B3A" w:rsidRDefault="00310AA2">
            <w:pPr>
              <w:pStyle w:val="2"/>
            </w:pPr>
            <w:r>
              <w:t>13052922P00584010408C</w:t>
            </w:r>
          </w:p>
        </w:tc>
        <w:tc>
          <w:tcPr>
            <w:tcW w:w="1587" w:type="dxa"/>
            <w:vAlign w:val="center"/>
          </w:tcPr>
          <w:p w:rsidR="00DB0B3A" w:rsidRDefault="00310AA2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B0B3A" w:rsidRDefault="00310AA2">
            <w:pPr>
              <w:pStyle w:val="2"/>
            </w:pPr>
            <w:r>
              <w:t>机构编制管理运行经费</w:t>
            </w:r>
          </w:p>
        </w:tc>
      </w:tr>
      <w:tr w:rsidR="00DB0B3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B3A" w:rsidRDefault="00310AA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DB0B3A" w:rsidRDefault="00310AA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DB0B3A" w:rsidRDefault="00310AA2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 xml:space="preserve"> 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/>
          </w:tcPr>
          <w:p w:rsidR="00DB0B3A" w:rsidRDefault="00DB0B3A"/>
        </w:tc>
        <w:tc>
          <w:tcPr>
            <w:tcW w:w="8617" w:type="dxa"/>
            <w:gridSpan w:val="6"/>
            <w:vAlign w:val="center"/>
          </w:tcPr>
          <w:p w:rsidR="00DB0B3A" w:rsidRDefault="00310AA2">
            <w:pPr>
              <w:pStyle w:val="2"/>
            </w:pPr>
            <w:r>
              <w:t>机构编制管理运行经费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B3A" w:rsidRDefault="00310AA2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DB0B3A" w:rsidRDefault="00310AA2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DB0B3A" w:rsidRDefault="00310AA2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DB0B3A" w:rsidRDefault="00310AA2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DB0B3A" w:rsidRDefault="00310AA2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/>
          </w:tcPr>
          <w:p w:rsidR="00DB0B3A" w:rsidRDefault="00DB0B3A"/>
        </w:tc>
        <w:tc>
          <w:tcPr>
            <w:tcW w:w="2608" w:type="dxa"/>
            <w:gridSpan w:val="2"/>
            <w:vAlign w:val="center"/>
          </w:tcPr>
          <w:p w:rsidR="00DB0B3A" w:rsidRDefault="00310AA2">
            <w:pPr>
              <w:pStyle w:val="3"/>
            </w:pPr>
            <w:r>
              <w:t>2.50</w:t>
            </w:r>
          </w:p>
        </w:tc>
        <w:tc>
          <w:tcPr>
            <w:tcW w:w="1587" w:type="dxa"/>
            <w:vAlign w:val="center"/>
          </w:tcPr>
          <w:p w:rsidR="00DB0B3A" w:rsidRDefault="00310AA2">
            <w:pPr>
              <w:pStyle w:val="3"/>
            </w:pPr>
            <w:r>
              <w:t>5.00</w:t>
            </w:r>
          </w:p>
        </w:tc>
        <w:tc>
          <w:tcPr>
            <w:tcW w:w="1304" w:type="dxa"/>
            <w:vAlign w:val="center"/>
          </w:tcPr>
          <w:p w:rsidR="00DB0B3A" w:rsidRDefault="00310AA2">
            <w:pPr>
              <w:pStyle w:val="3"/>
            </w:pPr>
            <w:r>
              <w:t>8.50</w:t>
            </w:r>
          </w:p>
        </w:tc>
        <w:tc>
          <w:tcPr>
            <w:tcW w:w="3118" w:type="dxa"/>
            <w:gridSpan w:val="2"/>
            <w:vAlign w:val="center"/>
          </w:tcPr>
          <w:p w:rsidR="00DB0B3A" w:rsidRDefault="00310AA2">
            <w:pPr>
              <w:pStyle w:val="3"/>
            </w:pPr>
            <w:r>
              <w:t>10.00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B0B3A" w:rsidRDefault="00310AA2">
            <w:pPr>
              <w:pStyle w:val="2"/>
            </w:pPr>
            <w:r>
              <w:t>1.</w:t>
            </w:r>
            <w:r>
              <w:t>保障机构编制平台正常运行</w:t>
            </w:r>
          </w:p>
          <w:p w:rsidR="00DB0B3A" w:rsidRDefault="00310AA2">
            <w:pPr>
              <w:pStyle w:val="2"/>
            </w:pPr>
            <w:r>
              <w:t>2.</w:t>
            </w:r>
            <w:r>
              <w:t>确保工作完成</w:t>
            </w:r>
          </w:p>
          <w:p w:rsidR="00DB0B3A" w:rsidRDefault="00310AA2">
            <w:pPr>
              <w:pStyle w:val="2"/>
            </w:pPr>
            <w:r>
              <w:t>3.</w:t>
            </w:r>
            <w:r>
              <w:t>办公更便捷</w:t>
            </w:r>
          </w:p>
        </w:tc>
      </w:tr>
    </w:tbl>
    <w:p w:rsidR="00DB0B3A" w:rsidRDefault="00310AA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A0C66" w:rsidTr="003A0C6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1"/>
            </w:pPr>
            <w:r>
              <w:t>指标值确定依据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0B3A" w:rsidRDefault="00310AA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12</w:t>
            </w:r>
            <w:r>
              <w:t>月底前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县委、县政府安排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B3A" w:rsidRDefault="00DB0B3A"/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统计调查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0B3A" w:rsidRDefault="00DB0B3A"/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县委、县政府安排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统计调查</w:t>
            </w:r>
          </w:p>
        </w:tc>
      </w:tr>
      <w:tr w:rsidR="003A0C66" w:rsidTr="003A0C66">
        <w:trPr>
          <w:trHeight w:val="369"/>
          <w:jc w:val="center"/>
        </w:trPr>
        <w:tc>
          <w:tcPr>
            <w:tcW w:w="1276" w:type="dxa"/>
            <w:vAlign w:val="center"/>
          </w:tcPr>
          <w:p w:rsidR="00DB0B3A" w:rsidRDefault="00310AA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0B3A" w:rsidRDefault="00310AA2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B0B3A" w:rsidRDefault="00310AA2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B0B3A" w:rsidRDefault="00310AA2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B0B3A" w:rsidRDefault="00310AA2">
            <w:pPr>
              <w:pStyle w:val="2"/>
            </w:pPr>
            <w:r>
              <w:t>统计调查</w:t>
            </w:r>
          </w:p>
        </w:tc>
      </w:tr>
    </w:tbl>
    <w:p w:rsidR="00DB0B3A" w:rsidRDefault="00DB0B3A"/>
    <w:sectPr w:rsidR="00DB0B3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A2" w:rsidRDefault="00310AA2">
      <w:r>
        <w:separator/>
      </w:r>
    </w:p>
  </w:endnote>
  <w:endnote w:type="continuationSeparator" w:id="0">
    <w:p w:rsidR="00310AA2" w:rsidRDefault="0031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3A" w:rsidRDefault="00310AA2">
    <w:r>
      <w:fldChar w:fldCharType="begin"/>
    </w:r>
    <w:r>
      <w:instrText>PAGE "page number"</w:instrText>
    </w:r>
    <w:r>
      <w:fldChar w:fldCharType="separate"/>
    </w:r>
    <w:r w:rsidR="003A0C66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3A" w:rsidRDefault="00310AA2">
    <w:pPr>
      <w:jc w:val="right"/>
    </w:pPr>
    <w:r>
      <w:fldChar w:fldCharType="begin"/>
    </w:r>
    <w:r>
      <w:instrText>PAGE "page number"</w:instrText>
    </w:r>
    <w:r>
      <w:fldChar w:fldCharType="separate"/>
    </w:r>
    <w:r w:rsidR="003A0C6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A2" w:rsidRDefault="00310AA2">
      <w:r>
        <w:separator/>
      </w:r>
    </w:p>
  </w:footnote>
  <w:footnote w:type="continuationSeparator" w:id="0">
    <w:p w:rsidR="00310AA2" w:rsidRDefault="0031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FFC"/>
    <w:multiLevelType w:val="multilevel"/>
    <w:tmpl w:val="62864A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20A17A9E"/>
    <w:multiLevelType w:val="multilevel"/>
    <w:tmpl w:val="7FC424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54E54B6"/>
    <w:multiLevelType w:val="multilevel"/>
    <w:tmpl w:val="3F40D3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6611A84"/>
    <w:multiLevelType w:val="multilevel"/>
    <w:tmpl w:val="0090D34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3F043D8A"/>
    <w:multiLevelType w:val="multilevel"/>
    <w:tmpl w:val="21C875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59723F02"/>
    <w:multiLevelType w:val="multilevel"/>
    <w:tmpl w:val="D0B8B0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625E6B3D"/>
    <w:multiLevelType w:val="multilevel"/>
    <w:tmpl w:val="890C3C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6F8B67BF"/>
    <w:multiLevelType w:val="multilevel"/>
    <w:tmpl w:val="BD12FC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7D2D0381"/>
    <w:multiLevelType w:val="multilevel"/>
    <w:tmpl w:val="3D66FE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7FB46BD9"/>
    <w:multiLevelType w:val="multilevel"/>
    <w:tmpl w:val="79C62C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B0B3A"/>
    <w:rsid w:val="00310AA2"/>
    <w:rsid w:val="003A0C66"/>
    <w:rsid w:val="00D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2022-05-27T15:05:28Z</dcterms:created>
  <dcterms:modified xsi:type="dcterms:W3CDTF">2022-05-27T07:05:28Z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2022-05-27T15:05:28Z</dcterms:created>
  <dcterms:modified xsi:type="dcterms:W3CDTF">2022-05-27T07:05:28Z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2022-05-27T15:05:28Z</dcterms:created>
  <dcterms:modified xsi:type="dcterms:W3CDTF">2022-05-27T07:05:28Z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2022-05-27T15:05:28Z</dcterms:created>
  <dcterms:modified xsi:type="dcterms:W3CDTF">2022-05-27T07:05:28Z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82B1E76-9E1C-4571-BCB9-8CBB850878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5E8719AE-3AFF-4D99-B3C2-870C9EFA52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3C6335-82FC-4EEF-9B31-B1BAE22E02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62106F-E548-4C12-9BED-D49B372A76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87AF36B8-91E4-405E-A92D-6E9C487FD8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D6CAE34-6E3C-4402-B321-AA2E4445BC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9810C425-DA3D-4FCE-94D8-A1D7BF8A23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31ECF68-DD8C-40E6-8EAB-30D6DE1222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2022-05-27T15:05:00Z</dcterms:created>
  <dcterms:modified xsi:type="dcterms:W3CDTF">2022-05-27T08:30:00Z</dcterms:modified>
</cp:coreProperties>
</file>