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附件：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eastAsia="zh-CN"/>
        </w:rPr>
        <w:t>阎疃镇人民政府办公室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年信息公开年度报告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本年度报告是根据《中华人民共和国政府信息公开条例》（以下简称《条例》）要求，由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  <w:lang w:eastAsia="zh-CN"/>
        </w:rPr>
        <w:t>阎疃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镇人民政府编制。本报告由总体情况，主动公开政府信息情况，收到和处理政府信息公开申请情况，政府信息公开行政复议、行政诉讼情况，存在的主要问题及改进情况，其他需要报告的事项等六个部分组成。本年报中所列数据的统计期限自202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年1月1日至12月31日止。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推进政府信息公开是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  <w:lang w:eastAsia="zh-CN"/>
        </w:rPr>
        <w:t>阎疃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镇人民政府贯彻落实《条例》的重要举措，是深入推行政务公开，转变政府职能，实现管理创新，建设人民满意的服务型政府的一项重要工作。202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年度，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  <w:lang w:eastAsia="zh-CN"/>
        </w:rPr>
        <w:t>阎疃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镇人民政府认真执行《条例》规定，坚持把政府信息公开工作作为加强党风廉政建设、促进依法行政、密切党群和干群关系的重要举措来抓，紧紧围绕镇党委、政府中心工作及全镇民众期盼，加强信息发布、公开、解读和回应工作，不断扩大公开范围，细化公开内容，增强政府信息公开实效，努力推动政府信息公开工作的普及延伸和纵深发展。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854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54"/>
        <w:gridCol w:w="2086"/>
        <w:gridCol w:w="813"/>
        <w:gridCol w:w="755"/>
        <w:gridCol w:w="755"/>
        <w:gridCol w:w="813"/>
        <w:gridCol w:w="973"/>
        <w:gridCol w:w="711"/>
        <w:gridCol w:w="3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18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3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3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（一）存在的主要问题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2021年，我镇政务信息公开工作虽然取得了一定进展，但还有一定的差距。在公开信息数量上有较大提升，但仍存在信公开内容不够全面、信息质量有待提高等问题。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（二）改进情况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一是加大信息公开力度。进一步完善信息公开制度，强化信息公开的责任意识、大局意识、服务意识，确保政务信息公开工作及时、准确。二是更好地接受社会公众对信息公开情况的监督。三是大力开展宣传教育活动，增强群众对政务信息公开工作的认知度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480" w:firstLineChars="200"/>
        <w:jc w:val="both"/>
        <w:rPr>
          <w:rFonts w:hint="eastAsia" w:ascii="宋体" w:hAnsi="宋体" w:eastAsia="宋体" w:cs="宋体"/>
          <w:color w:val="333333"/>
          <w:lang w:eastAsia="zh-CN"/>
        </w:rPr>
      </w:pPr>
      <w:r>
        <w:rPr>
          <w:rFonts w:hint="eastAsia" w:ascii="宋体" w:hAnsi="宋体" w:cs="宋体"/>
          <w:color w:val="333333"/>
          <w:shd w:val="clear" w:color="auto" w:fill="FFFFFF"/>
          <w:lang w:eastAsia="zh-CN"/>
        </w:rPr>
        <w:t>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ODQxMWNmMDkxYTUyZmM3YTIxYmIzNzBiOWJhYjQifQ=="/>
  </w:docVars>
  <w:rsids>
    <w:rsidRoot w:val="15C578C3"/>
    <w:rsid w:val="000F3F3F"/>
    <w:rsid w:val="005A14C4"/>
    <w:rsid w:val="008537DF"/>
    <w:rsid w:val="00AF2A7A"/>
    <w:rsid w:val="0A225611"/>
    <w:rsid w:val="15C578C3"/>
    <w:rsid w:val="35D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1525</Words>
  <Characters>1555</Characters>
  <Lines>9</Lines>
  <Paragraphs>2</Paragraphs>
  <TotalTime>68</TotalTime>
  <ScaleCrop>false</ScaleCrop>
  <LinksUpToDate>false</LinksUpToDate>
  <CharactersWithSpaces>1753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张华君</cp:lastModifiedBy>
  <dcterms:modified xsi:type="dcterms:W3CDTF">2023-01-17T03:33:39Z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FFC3C19305B84DFCA03CA322AC570E8C</vt:lpwstr>
  </property>
</Properties>
</file>