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75" w:afterAutospacing="0"/>
        <w:ind w:left="0" w:right="0"/>
        <w:jc w:val="center"/>
        <w:rPr>
          <w:b/>
          <w:bCs/>
          <w:color w:val="auto"/>
          <w:sz w:val="48"/>
          <w:szCs w:val="48"/>
        </w:rPr>
      </w:pPr>
      <w:r>
        <w:rPr>
          <w:rFonts w:hint="eastAsia"/>
          <w:b/>
          <w:bCs/>
          <w:color w:val="auto"/>
          <w:sz w:val="48"/>
          <w:szCs w:val="48"/>
          <w:lang w:val="en-US" w:eastAsia="zh-CN"/>
        </w:rPr>
        <w:t>巨鹿县</w:t>
      </w:r>
      <w:r>
        <w:rPr>
          <w:b/>
          <w:bCs/>
          <w:color w:val="auto"/>
          <w:sz w:val="48"/>
          <w:szCs w:val="48"/>
        </w:rPr>
        <w:t>人社局202</w:t>
      </w:r>
      <w:r>
        <w:rPr>
          <w:rFonts w:hint="eastAsia"/>
          <w:b/>
          <w:bCs/>
          <w:color w:val="auto"/>
          <w:sz w:val="48"/>
          <w:szCs w:val="48"/>
          <w:lang w:val="en-US" w:eastAsia="zh-CN"/>
        </w:rPr>
        <w:t>2</w:t>
      </w:r>
      <w:r>
        <w:rPr>
          <w:b/>
          <w:bCs/>
          <w:color w:val="auto"/>
          <w:sz w:val="48"/>
          <w:szCs w:val="48"/>
        </w:rPr>
        <w:t>年度政府信息公开工作年度报告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5" w:lineRule="atLeast"/>
        <w:ind w:left="0" w:right="0"/>
        <w:jc w:val="left"/>
        <w:rPr>
          <w:color w:val="42424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uto"/>
        <w:ind w:left="0" w:right="0" w:firstLine="0"/>
        <w:jc w:val="left"/>
        <w:rPr>
          <w:color w:val="424242"/>
        </w:rPr>
      </w:pPr>
      <w:r>
        <w:rPr>
          <w:rFonts w:ascii="黑体" w:hAnsi="宋体" w:eastAsia="黑体" w:cs="黑体"/>
          <w:color w:val="424242"/>
          <w:sz w:val="32"/>
          <w:szCs w:val="32"/>
          <w:lang w:eastAsia="zh-CN"/>
        </w:rPr>
        <w:t>一、总体情况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5" w:lineRule="atLeast"/>
        <w:ind w:left="0" w:right="0" w:firstLine="634"/>
        <w:jc w:val="left"/>
        <w:rPr>
          <w:color w:val="424242"/>
        </w:rPr>
      </w:pPr>
      <w:r>
        <w:rPr>
          <w:rFonts w:hint="eastAsia" w:ascii="微软雅黑" w:hAnsi="微软雅黑" w:eastAsia="微软雅黑" w:cs="微软雅黑"/>
          <w:color w:val="424242"/>
          <w:sz w:val="32"/>
          <w:szCs w:val="32"/>
        </w:rPr>
        <w:t>202</w:t>
      </w:r>
      <w:r>
        <w:rPr>
          <w:rFonts w:hint="eastAsia" w:ascii="微软雅黑" w:hAnsi="微软雅黑" w:eastAsia="微软雅黑" w:cs="微软雅黑"/>
          <w:color w:val="424242"/>
          <w:sz w:val="32"/>
          <w:szCs w:val="32"/>
          <w:lang w:val="en-US" w:eastAsia="zh-CN"/>
        </w:rPr>
        <w:t>2</w:t>
      </w:r>
      <w:r>
        <w:rPr>
          <w:rFonts w:hint="default" w:ascii="monospace" w:eastAsia="monospace" w:cs="monospace"/>
          <w:color w:val="424242"/>
          <w:sz w:val="32"/>
          <w:szCs w:val="32"/>
          <w:lang w:eastAsia="zh-CN"/>
        </w:rPr>
        <w:t>年，我局以习近平新时代中国特色社会主义思想为指导，深入贯彻落实党的十九大精神，按照省、市和</w:t>
      </w:r>
      <w:r>
        <w:rPr>
          <w:rFonts w:hint="eastAsia" w:ascii="monospace" w:eastAsia="monospace" w:cs="monospace"/>
          <w:color w:val="424242"/>
          <w:sz w:val="32"/>
          <w:szCs w:val="32"/>
          <w:lang w:val="en-US" w:eastAsia="zh-CN"/>
        </w:rPr>
        <w:t>县</w:t>
      </w:r>
      <w:r>
        <w:rPr>
          <w:rFonts w:hint="default" w:ascii="monospace" w:eastAsia="monospace" w:cs="monospace"/>
          <w:color w:val="424242"/>
          <w:sz w:val="32"/>
          <w:szCs w:val="32"/>
          <w:lang w:eastAsia="zh-CN"/>
        </w:rPr>
        <w:t>有关工作部署，严格按照《条例》规定和区政府信息公开工作要求，结合人力资源和社会保障工作实际，创新公开形式，突出公开重点，有效地开展了政府信息公开工作。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5" w:lineRule="atLeast"/>
        <w:ind w:left="0" w:right="0" w:firstLine="418"/>
        <w:jc w:val="left"/>
        <w:rPr>
          <w:color w:val="424242"/>
        </w:rPr>
      </w:pPr>
      <w:r>
        <w:rPr>
          <w:rStyle w:val="6"/>
          <w:rFonts w:hint="default" w:ascii="monospace" w:hAnsi="宋体" w:eastAsia="monospace" w:cs="monospace"/>
          <w:color w:val="424242"/>
          <w:sz w:val="32"/>
          <w:szCs w:val="32"/>
          <w:lang w:eastAsia="zh-CN"/>
        </w:rPr>
        <w:t>（一）加强组织领导。</w:t>
      </w:r>
      <w:r>
        <w:rPr>
          <w:rFonts w:hint="default" w:ascii="monospace" w:hAnsi="宋体" w:eastAsia="monospace" w:cs="monospace"/>
          <w:color w:val="424242"/>
          <w:sz w:val="32"/>
          <w:szCs w:val="32"/>
          <w:lang w:eastAsia="zh-CN"/>
        </w:rPr>
        <w:t>信息公开领导机构健全，明确各成员单位工作职责，成立政务公开工作领导小组，由局长任组长，副局长为副组长，各股室负责人为成员，领导小组下设办公室，设在局办公室，具体负责日常工作。建立了“主要领导亲自抓、分管领导具体抓、各股室各司其职、</w:t>
      </w:r>
      <w:r>
        <w:rPr>
          <w:rFonts w:hint="eastAsia" w:ascii="monospace" w:hAnsi="宋体" w:eastAsia="monospace" w:cs="monospace"/>
          <w:color w:val="424242"/>
          <w:sz w:val="32"/>
          <w:szCs w:val="32"/>
          <w:lang w:val="en-US" w:eastAsia="zh-CN"/>
        </w:rPr>
        <w:t>政法职建股</w:t>
      </w:r>
      <w:r>
        <w:rPr>
          <w:rFonts w:hint="default" w:ascii="monospace" w:hAnsi="宋体" w:eastAsia="monospace" w:cs="monospace"/>
          <w:color w:val="424242"/>
          <w:sz w:val="32"/>
          <w:szCs w:val="32"/>
          <w:lang w:eastAsia="zh-CN"/>
        </w:rPr>
        <w:t>协调处理”的领导机制和工作机制，做到有领导分管、有工作人员负责，确保我局信息公开有序推进。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5" w:lineRule="atLeast"/>
        <w:ind w:left="0" w:right="0" w:firstLine="648"/>
        <w:jc w:val="left"/>
        <w:rPr>
          <w:color w:val="424242"/>
        </w:rPr>
      </w:pPr>
      <w:r>
        <w:rPr>
          <w:rStyle w:val="6"/>
          <w:rFonts w:hint="default" w:ascii="monospace" w:hAnsi="宋体" w:eastAsia="monospace" w:cs="monospace"/>
          <w:color w:val="424242"/>
          <w:sz w:val="32"/>
          <w:szCs w:val="32"/>
          <w:lang w:eastAsia="zh-CN"/>
        </w:rPr>
        <w:t>（二）完善工作机制。一是</w:t>
      </w:r>
      <w:r>
        <w:rPr>
          <w:rFonts w:hint="default" w:ascii="monospace" w:hAnsi="宋体" w:eastAsia="monospace" w:cs="monospace"/>
          <w:color w:val="424242"/>
          <w:sz w:val="32"/>
          <w:szCs w:val="32"/>
          <w:lang w:eastAsia="zh-CN"/>
        </w:rPr>
        <w:t>建立健全信息发布机制。按照有关要求及时公开有关人力资源和社会保障等方面的政府信息。</w:t>
      </w:r>
      <w:r>
        <w:rPr>
          <w:rStyle w:val="6"/>
          <w:rFonts w:hint="default" w:ascii="monospace" w:hAnsi="宋体" w:eastAsia="monospace" w:cs="monospace"/>
          <w:color w:val="424242"/>
          <w:sz w:val="32"/>
          <w:szCs w:val="32"/>
          <w:lang w:eastAsia="zh-CN"/>
        </w:rPr>
        <w:t>二是</w:t>
      </w:r>
      <w:r>
        <w:rPr>
          <w:rFonts w:hint="default" w:ascii="monospace" w:hAnsi="宋体" w:eastAsia="monospace" w:cs="monospace"/>
          <w:color w:val="424242"/>
          <w:sz w:val="32"/>
          <w:szCs w:val="32"/>
          <w:lang w:eastAsia="zh-CN"/>
        </w:rPr>
        <w:t>建立信息更新维护机制。指定专人负责管理，做好审核把关，明确信息公开类别、公开方式、公开时限等，及时更新发生变化或失效的公开政府信息，确保政府信息公开真实、及时、有效、安全。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5" w:lineRule="atLeast"/>
        <w:ind w:left="0" w:right="0" w:firstLine="648"/>
        <w:jc w:val="left"/>
        <w:rPr>
          <w:color w:val="424242"/>
        </w:rPr>
      </w:pPr>
      <w:r>
        <w:rPr>
          <w:rStyle w:val="6"/>
          <w:rFonts w:hint="default" w:ascii="monospace" w:hAnsi="宋体" w:eastAsia="monospace" w:cs="monospace"/>
          <w:color w:val="424242"/>
          <w:sz w:val="32"/>
          <w:szCs w:val="32"/>
          <w:lang w:eastAsia="zh-CN"/>
        </w:rPr>
        <w:t>（三）加强载体建设。</w:t>
      </w:r>
      <w:r>
        <w:rPr>
          <w:rFonts w:hint="default" w:ascii="monospace" w:hAnsi="宋体" w:eastAsia="monospace" w:cs="monospace"/>
          <w:color w:val="424242"/>
          <w:sz w:val="32"/>
          <w:szCs w:val="32"/>
          <w:lang w:eastAsia="zh-CN"/>
        </w:rPr>
        <w:t>通过</w:t>
      </w:r>
      <w:r>
        <w:rPr>
          <w:rFonts w:hint="eastAsia" w:ascii="monospace" w:hAnsi="宋体" w:eastAsia="monospace" w:cs="monospace"/>
          <w:color w:val="424242"/>
          <w:sz w:val="32"/>
          <w:szCs w:val="32"/>
          <w:lang w:val="en-US" w:eastAsia="zh-CN"/>
        </w:rPr>
        <w:t>局公众号</w:t>
      </w:r>
      <w:r>
        <w:rPr>
          <w:rFonts w:hint="default" w:ascii="monospace" w:hAnsi="宋体" w:eastAsia="monospace" w:cs="monospace"/>
          <w:color w:val="424242"/>
          <w:sz w:val="32"/>
          <w:szCs w:val="32"/>
          <w:lang w:eastAsia="zh-CN"/>
        </w:rPr>
        <w:t>、宣传栏，悬挂横幅、张贴标语，设立投诉电话等形式公开政务信息，方便群众办事。同时，借助</w:t>
      </w:r>
      <w:r>
        <w:rPr>
          <w:rFonts w:hint="eastAsia" w:ascii="monospace" w:hAnsi="宋体" w:eastAsia="monospace" w:cs="monospace"/>
          <w:color w:val="424242"/>
          <w:sz w:val="32"/>
          <w:szCs w:val="32"/>
          <w:lang w:val="en-US" w:eastAsia="zh-CN"/>
        </w:rPr>
        <w:t>县</w:t>
      </w:r>
      <w:r>
        <w:rPr>
          <w:rFonts w:hint="default" w:ascii="monospace" w:hAnsi="宋体" w:eastAsia="monospace" w:cs="monospace"/>
          <w:color w:val="424242"/>
          <w:sz w:val="32"/>
          <w:szCs w:val="32"/>
          <w:lang w:eastAsia="zh-CN"/>
        </w:rPr>
        <w:t>政府门户网站发挥信息公开主渠道作用。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2" w:lineRule="atLeast"/>
        <w:ind w:left="0" w:right="0" w:firstLine="634"/>
        <w:jc w:val="left"/>
        <w:rPr>
          <w:color w:val="424242"/>
        </w:rPr>
      </w:pPr>
      <w:r>
        <w:rPr>
          <w:rFonts w:hint="eastAsia" w:ascii="黑体" w:hAnsi="宋体" w:eastAsia="黑体" w:cs="黑体"/>
          <w:color w:val="424242"/>
          <w:sz w:val="32"/>
          <w:szCs w:val="32"/>
          <w:lang w:eastAsia="zh-CN"/>
        </w:rPr>
        <w:t>二、主动公开政府信息情况</w:t>
      </w:r>
    </w:p>
    <w:tbl>
      <w:tblPr>
        <w:tblStyle w:val="4"/>
        <w:tblW w:w="85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1864"/>
        <w:gridCol w:w="1879"/>
        <w:gridCol w:w="2083"/>
        <w:gridCol w:w="27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85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Style w:val="6"/>
                <w:rFonts w:ascii="微软雅黑" w:hAnsi="微软雅黑" w:eastAsia="微软雅黑" w:cs="微软雅黑"/>
                <w:color w:val="424242"/>
                <w:sz w:val="28"/>
                <w:szCs w:val="28"/>
                <w:lang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  <w:lang w:eastAsia="zh-CN"/>
              </w:rPr>
              <w:t>信息内容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  <w:lang w:eastAsia="zh-CN"/>
              </w:rPr>
              <w:t>本年新制作数量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  <w:lang w:eastAsia="zh-CN"/>
              </w:rPr>
              <w:t>本年新公开数量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  <w:lang w:eastAsia="zh-CN"/>
              </w:rPr>
              <w:t>对外公开总数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  <w:lang w:eastAsia="zh-CN"/>
              </w:rPr>
              <w:t>规章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default" w:ascii="Times New Roman" w:hAnsi="Times New Roman" w:cs="Times New Roman"/>
                <w:color w:val="424242"/>
                <w:sz w:val="24"/>
                <w:szCs w:val="24"/>
              </w:rPr>
              <w:t>0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default" w:ascii="Times New Roman" w:hAnsi="Times New Roman" w:cs="Times New Roman"/>
                <w:color w:val="424242"/>
                <w:sz w:val="24"/>
                <w:szCs w:val="24"/>
              </w:rPr>
              <w:t>0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default" w:ascii="Times New Roman" w:hAnsi="Times New Roman" w:cs="Times New Roman"/>
                <w:color w:val="424242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  <w:lang w:eastAsia="zh-CN"/>
              </w:rPr>
              <w:t>规范性文件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eastAsiaTheme="minorEastAsia"/>
                <w:color w:val="42424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42424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eastAsiaTheme="minorEastAsia"/>
                <w:color w:val="42424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42424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eastAsiaTheme="minorEastAsia"/>
                <w:color w:val="42424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42424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829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424242"/>
                <w:sz w:val="28"/>
                <w:szCs w:val="28"/>
                <w:lang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  <w:lang w:eastAsia="zh-CN"/>
              </w:rPr>
              <w:t>信息内容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  <w:lang w:eastAsia="zh-CN"/>
              </w:rPr>
              <w:t>上一年项目数量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  <w:lang w:eastAsia="zh-CN"/>
              </w:rPr>
              <w:t>本年增</w:t>
            </w:r>
            <w:r>
              <w:rPr>
                <w:rFonts w:hint="default" w:ascii="Times New Roman" w:hAnsi="Times New Roman" w:cs="Times New Roman"/>
                <w:color w:val="424242"/>
                <w:sz w:val="24"/>
                <w:szCs w:val="24"/>
              </w:rPr>
              <w:t>/</w:t>
            </w: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  <w:lang w:eastAsia="zh-CN"/>
              </w:rPr>
              <w:t>减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  <w:lang w:eastAsia="zh-CN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  <w:lang w:eastAsia="zh-CN"/>
              </w:rPr>
              <w:t>行政许可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default" w:ascii="Times New Roman" w:hAnsi="Times New Roman" w:cs="Times New Roman"/>
                <w:color w:val="424242"/>
                <w:sz w:val="24"/>
                <w:szCs w:val="24"/>
              </w:rPr>
              <w:t>0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eastAsiaTheme="minorEastAsia"/>
                <w:color w:val="42424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42424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default" w:ascii="Times New Roman" w:hAnsi="Times New Roman" w:cs="Times New Roman"/>
                <w:color w:val="424242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  <w:lang w:eastAsia="zh-CN"/>
              </w:rPr>
              <w:t>其他对外管理服务事项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default" w:ascii="Times New Roman" w:hAnsi="Times New Roman" w:cs="Times New Roman"/>
                <w:color w:val="424242"/>
                <w:sz w:val="24"/>
                <w:szCs w:val="24"/>
              </w:rPr>
              <w:t>0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default" w:ascii="Times New Roman" w:hAnsi="Times New Roman" w:cs="Times New Roman"/>
                <w:color w:val="424242"/>
                <w:sz w:val="24"/>
                <w:szCs w:val="24"/>
              </w:rPr>
              <w:t>0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default" w:ascii="Times New Roman" w:hAnsi="Times New Roman" w:cs="Times New Roman"/>
                <w:color w:val="424242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jc w:val="center"/>
        </w:trPr>
        <w:tc>
          <w:tcPr>
            <w:tcW w:w="829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424242"/>
                <w:sz w:val="28"/>
                <w:szCs w:val="28"/>
                <w:lang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jc w:val="center"/>
        </w:trPr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  <w:lang w:eastAsia="zh-CN"/>
              </w:rPr>
              <w:t>信息内容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  <w:lang w:eastAsia="zh-CN"/>
              </w:rPr>
              <w:t>上一年项目数量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  <w:lang w:eastAsia="zh-CN"/>
              </w:rPr>
              <w:t>本年增</w:t>
            </w:r>
            <w:r>
              <w:rPr>
                <w:rFonts w:hint="default" w:ascii="Times New Roman" w:hAnsi="Times New Roman" w:cs="Times New Roman"/>
                <w:color w:val="424242"/>
                <w:sz w:val="24"/>
                <w:szCs w:val="24"/>
              </w:rPr>
              <w:t>/</w:t>
            </w: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  <w:lang w:eastAsia="zh-CN"/>
              </w:rPr>
              <w:t>减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  <w:lang w:eastAsia="zh-CN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  <w:lang w:eastAsia="zh-CN"/>
              </w:rPr>
              <w:t>行政处罚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default" w:ascii="Times New Roman" w:hAnsi="Times New Roman" w:cs="Times New Roman"/>
                <w:color w:val="424242"/>
                <w:sz w:val="24"/>
                <w:szCs w:val="24"/>
              </w:rPr>
              <w:t>0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default" w:ascii="Times New Roman" w:hAnsi="Times New Roman" w:cs="Times New Roman"/>
                <w:color w:val="424242"/>
                <w:sz w:val="24"/>
                <w:szCs w:val="24"/>
              </w:rPr>
              <w:t>0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default" w:ascii="Times New Roman" w:hAnsi="Times New Roman" w:cs="Times New Roman"/>
                <w:color w:val="424242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  <w:lang w:eastAsia="zh-CN"/>
              </w:rPr>
              <w:t>行政强制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default" w:ascii="Times New Roman" w:hAnsi="Times New Roman" w:cs="Times New Roman"/>
                <w:color w:val="424242"/>
                <w:sz w:val="24"/>
                <w:szCs w:val="24"/>
              </w:rPr>
              <w:t>0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default" w:ascii="Times New Roman" w:hAnsi="Times New Roman" w:cs="Times New Roman"/>
                <w:color w:val="424242"/>
                <w:sz w:val="24"/>
                <w:szCs w:val="24"/>
              </w:rPr>
              <w:t>0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default" w:ascii="Times New Roman" w:hAnsi="Times New Roman" w:cs="Times New Roman"/>
                <w:color w:val="424242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829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424242"/>
                <w:sz w:val="28"/>
                <w:szCs w:val="28"/>
                <w:lang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  <w:lang w:eastAsia="zh-CN"/>
              </w:rPr>
              <w:t>信息内容</w:t>
            </w:r>
          </w:p>
        </w:tc>
        <w:tc>
          <w:tcPr>
            <w:tcW w:w="4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  <w:lang w:eastAsia="zh-CN"/>
              </w:rPr>
              <w:t>上一年项目数量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  <w:lang w:eastAsia="zh-CN"/>
              </w:rPr>
              <w:t>本年增</w:t>
            </w:r>
            <w:r>
              <w:rPr>
                <w:rFonts w:hint="default" w:ascii="Times New Roman" w:hAnsi="Times New Roman" w:cs="Times New Roman"/>
                <w:color w:val="424242"/>
                <w:sz w:val="24"/>
                <w:szCs w:val="24"/>
              </w:rPr>
              <w:t>/</w:t>
            </w: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  <w:lang w:eastAsia="zh-CN"/>
              </w:rPr>
              <w:t>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rPr>
                <w:color w:val="42424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1"/>
                <w:szCs w:val="21"/>
                <w:lang w:eastAsia="zh-CN"/>
              </w:rPr>
              <w:t>行政事业性收费</w:t>
            </w:r>
          </w:p>
        </w:tc>
        <w:tc>
          <w:tcPr>
            <w:tcW w:w="4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default" w:ascii="Times New Roman" w:hAnsi="Times New Roman" w:cs="Times New Roman"/>
                <w:color w:val="424242"/>
                <w:sz w:val="24"/>
                <w:szCs w:val="24"/>
              </w:rPr>
              <w:t>0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default" w:ascii="Times New Roman" w:hAnsi="Times New Roman" w:cs="Times New Roman"/>
                <w:color w:val="424242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jc w:val="center"/>
        </w:trPr>
        <w:tc>
          <w:tcPr>
            <w:tcW w:w="829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424242"/>
                <w:sz w:val="28"/>
                <w:szCs w:val="28"/>
                <w:lang w:eastAsia="zh-CN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  <w:lang w:eastAsia="zh-CN"/>
              </w:rPr>
              <w:t>信息内容</w:t>
            </w:r>
          </w:p>
        </w:tc>
        <w:tc>
          <w:tcPr>
            <w:tcW w:w="4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  <w:lang w:eastAsia="zh-CN"/>
              </w:rPr>
              <w:t>采购项目数量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  <w:lang w:eastAsia="zh-CN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  <w:lang w:eastAsia="zh-CN"/>
              </w:rPr>
              <w:t>政府集中采购</w:t>
            </w:r>
          </w:p>
        </w:tc>
        <w:tc>
          <w:tcPr>
            <w:tcW w:w="4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eastAsiaTheme="minorEastAsia"/>
                <w:color w:val="42424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42424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eastAsiaTheme="minorEastAsia"/>
                <w:color w:val="42424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424242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2" w:lineRule="atLeast"/>
        <w:ind w:left="0" w:right="0"/>
        <w:jc w:val="left"/>
        <w:rPr>
          <w:color w:val="42424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2" w:lineRule="atLeast"/>
        <w:ind w:left="0" w:right="0"/>
        <w:jc w:val="left"/>
        <w:rPr>
          <w:color w:val="42424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2" w:lineRule="atLeast"/>
        <w:ind w:left="0" w:right="0"/>
        <w:jc w:val="left"/>
        <w:rPr>
          <w:color w:val="42424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2" w:lineRule="atLeast"/>
        <w:ind w:left="0" w:right="0" w:firstLine="634"/>
        <w:jc w:val="left"/>
        <w:rPr>
          <w:color w:val="424242"/>
        </w:rPr>
      </w:pPr>
      <w:r>
        <w:rPr>
          <w:rFonts w:hint="eastAsia" w:ascii="黑体" w:hAnsi="宋体" w:eastAsia="黑体" w:cs="黑体"/>
          <w:color w:val="424242"/>
          <w:sz w:val="32"/>
          <w:szCs w:val="32"/>
          <w:lang w:eastAsia="zh-CN"/>
        </w:rPr>
        <w:t>三、收到和处理政府信息公开申请情况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2" w:lineRule="atLeast"/>
        <w:ind w:left="0" w:right="0"/>
        <w:jc w:val="left"/>
        <w:rPr>
          <w:color w:val="424242"/>
        </w:rPr>
      </w:pPr>
    </w:p>
    <w:tbl>
      <w:tblPr>
        <w:tblStyle w:val="4"/>
        <w:tblW w:w="85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780"/>
        <w:gridCol w:w="1020"/>
        <w:gridCol w:w="2135"/>
        <w:gridCol w:w="540"/>
        <w:gridCol w:w="540"/>
        <w:gridCol w:w="540"/>
        <w:gridCol w:w="540"/>
        <w:gridCol w:w="540"/>
        <w:gridCol w:w="816"/>
        <w:gridCol w:w="10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4530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  <w:lang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399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  <w:lang w:eastAsia="zh-CN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4530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  <w:lang w:eastAsia="zh-CN"/>
              </w:rPr>
              <w:t>自然人</w:t>
            </w:r>
          </w:p>
        </w:tc>
        <w:tc>
          <w:tcPr>
            <w:tcW w:w="274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  <w:lang w:eastAsia="zh-CN"/>
              </w:rPr>
              <w:t>法人或其他组织</w:t>
            </w:r>
          </w:p>
        </w:tc>
        <w:tc>
          <w:tcPr>
            <w:tcW w:w="2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  <w:lang w:eastAsia="zh-CN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4530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  <w:lang w:eastAsia="zh-CN"/>
              </w:rPr>
              <w:t>商业企业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  <w:lang w:eastAsia="zh-CN"/>
              </w:rPr>
              <w:t>科研机构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  <w:lang w:eastAsia="zh-CN"/>
              </w:rPr>
              <w:t>社会公益组织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  <w:lang w:eastAsia="zh-CN"/>
              </w:rPr>
              <w:t>法律服务机构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  <w:lang w:eastAsia="zh-CN"/>
              </w:rPr>
              <w:t>其他</w:t>
            </w:r>
          </w:p>
        </w:tc>
        <w:tc>
          <w:tcPr>
            <w:tcW w:w="2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42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  <w:lang w:eastAsia="zh-CN"/>
              </w:rPr>
              <w:t>一、本年新收政府信息公开申请数量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42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  <w:lang w:eastAsia="zh-CN"/>
              </w:rPr>
              <w:t>二、上年结转政府信息公开申请数量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  <w:lang w:eastAsia="zh-CN"/>
              </w:rPr>
              <w:t>三、本年度办理结果</w:t>
            </w:r>
          </w:p>
        </w:tc>
        <w:tc>
          <w:tcPr>
            <w:tcW w:w="37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  <w:lang w:eastAsia="zh-CN"/>
              </w:rPr>
              <w:t>（一）予以公开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  <w:lang w:eastAsia="zh-CN"/>
              </w:rPr>
              <w:t>（二）部分公开（区分处理的，只计这一情形，不计其他情形）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  <w:lang w:eastAsia="zh-CN"/>
              </w:rPr>
              <w:t>（三）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  <w:lang w:eastAsia="zh-CN"/>
              </w:rPr>
              <w:t>不予公开</w:t>
            </w:r>
          </w:p>
        </w:tc>
        <w:tc>
          <w:tcPr>
            <w:tcW w:w="2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1.</w:t>
            </w: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  <w:lang w:eastAsia="zh-CN"/>
              </w:rPr>
              <w:t>属于国家秘密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2.</w:t>
            </w: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  <w:lang w:eastAsia="zh-CN"/>
              </w:rPr>
              <w:t>其他法律行政法规禁止公开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3.</w:t>
            </w: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  <w:lang w:eastAsia="zh-CN"/>
              </w:rPr>
              <w:t>危及“三安全一稳定”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jc w:val="center"/>
        </w:trPr>
        <w:tc>
          <w:tcPr>
            <w:tcW w:w="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4.</w:t>
            </w: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  <w:lang w:eastAsia="zh-CN"/>
              </w:rPr>
              <w:t>保护第三方合法权益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5.</w:t>
            </w: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  <w:lang w:eastAsia="zh-CN"/>
              </w:rPr>
              <w:t>属于三类内部事务信息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6.</w:t>
            </w: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  <w:lang w:eastAsia="zh-CN"/>
              </w:rPr>
              <w:t>属于四类过程性信息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7.</w:t>
            </w: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  <w:lang w:eastAsia="zh-CN"/>
              </w:rPr>
              <w:t>属于行政执法案卷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8.</w:t>
            </w: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  <w:lang w:eastAsia="zh-CN"/>
              </w:rPr>
              <w:t>属于行政查询事项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  <w:lang w:eastAsia="zh-CN"/>
              </w:rPr>
              <w:t>（四）无法提供</w:t>
            </w:r>
          </w:p>
        </w:tc>
        <w:tc>
          <w:tcPr>
            <w:tcW w:w="2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1.</w:t>
            </w: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  <w:lang w:eastAsia="zh-CN"/>
              </w:rPr>
              <w:t>本机关不掌握相关政府信息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2.</w:t>
            </w: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  <w:lang w:eastAsia="zh-CN"/>
              </w:rPr>
              <w:t>没有现成信息需要另行制作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3.</w:t>
            </w: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  <w:lang w:eastAsia="zh-CN"/>
              </w:rPr>
              <w:t>补正后申请内容仍不明确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  <w:lang w:eastAsia="zh-CN"/>
              </w:rPr>
              <w:t>（五）不予处理</w:t>
            </w:r>
          </w:p>
        </w:tc>
        <w:tc>
          <w:tcPr>
            <w:tcW w:w="2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1.</w:t>
            </w: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  <w:lang w:eastAsia="zh-CN"/>
              </w:rPr>
              <w:t>信访举报投诉类申请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2.</w:t>
            </w: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  <w:lang w:eastAsia="zh-CN"/>
              </w:rPr>
              <w:t>重复申请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3.</w:t>
            </w: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  <w:lang w:eastAsia="zh-CN"/>
              </w:rPr>
              <w:t>要求提供公开出版物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4.</w:t>
            </w: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  <w:lang w:eastAsia="zh-CN"/>
              </w:rPr>
              <w:t>无正当理由大量反复申请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5.</w:t>
            </w: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  <w:lang w:eastAsia="zh-CN"/>
              </w:rPr>
              <w:t>要求行政机关确认或重新出具已获取信息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  <w:lang w:eastAsia="zh-CN"/>
              </w:rPr>
              <w:t>（六）其他处理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  <w:lang w:eastAsia="zh-CN"/>
              </w:rPr>
              <w:t>（七）总计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42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  <w:lang w:eastAsia="zh-CN"/>
              </w:rPr>
              <w:t>四、结转下年度继续办理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2" w:lineRule="atLeast"/>
        <w:ind w:left="0" w:right="0"/>
        <w:jc w:val="left"/>
        <w:rPr>
          <w:color w:val="42424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2" w:lineRule="atLeast"/>
        <w:ind w:left="0" w:right="0" w:firstLine="634"/>
        <w:jc w:val="left"/>
        <w:rPr>
          <w:color w:val="424242"/>
        </w:rPr>
      </w:pPr>
      <w:r>
        <w:rPr>
          <w:rFonts w:hint="eastAsia" w:ascii="黑体" w:hAnsi="宋体" w:eastAsia="黑体" w:cs="黑体"/>
          <w:color w:val="424242"/>
          <w:sz w:val="32"/>
          <w:szCs w:val="32"/>
          <w:lang w:eastAsia="zh-CN"/>
        </w:rPr>
        <w:t>四、政府信息公开行政复议、行政诉讼情况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2" w:lineRule="atLeast"/>
        <w:ind w:left="0" w:right="0"/>
        <w:jc w:val="left"/>
        <w:rPr>
          <w:color w:val="424242"/>
        </w:rPr>
      </w:pPr>
    </w:p>
    <w:tbl>
      <w:tblPr>
        <w:tblStyle w:val="4"/>
        <w:tblW w:w="85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540"/>
        <w:gridCol w:w="540"/>
        <w:gridCol w:w="540"/>
        <w:gridCol w:w="540"/>
        <w:gridCol w:w="683"/>
        <w:gridCol w:w="540"/>
        <w:gridCol w:w="540"/>
        <w:gridCol w:w="540"/>
        <w:gridCol w:w="540"/>
        <w:gridCol w:w="648"/>
        <w:gridCol w:w="540"/>
        <w:gridCol w:w="540"/>
        <w:gridCol w:w="540"/>
        <w:gridCol w:w="540"/>
        <w:gridCol w:w="7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282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  <w:lang w:eastAsia="zh-CN"/>
              </w:rPr>
              <w:t>行政复议</w:t>
            </w:r>
          </w:p>
        </w:tc>
        <w:tc>
          <w:tcPr>
            <w:tcW w:w="570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  <w:lang w:eastAsia="zh-CN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  <w:lang w:eastAsia="zh-CN"/>
              </w:rPr>
              <w:t>结果维持</w:t>
            </w:r>
          </w:p>
        </w:tc>
        <w:tc>
          <w:tcPr>
            <w:tcW w:w="3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  <w:lang w:eastAsia="zh-CN"/>
              </w:rPr>
              <w:t>结果纠正</w:t>
            </w:r>
          </w:p>
        </w:tc>
        <w:tc>
          <w:tcPr>
            <w:tcW w:w="3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  <w:lang w:eastAsia="zh-CN"/>
              </w:rPr>
              <w:t>其他结果</w:t>
            </w:r>
          </w:p>
        </w:tc>
        <w:tc>
          <w:tcPr>
            <w:tcW w:w="3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  <w:lang w:eastAsia="zh-CN"/>
              </w:rPr>
              <w:t>尚未审结</w:t>
            </w:r>
          </w:p>
        </w:tc>
        <w:tc>
          <w:tcPr>
            <w:tcW w:w="3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  <w:lang w:eastAsia="zh-CN"/>
              </w:rPr>
              <w:t>总计</w:t>
            </w:r>
          </w:p>
        </w:tc>
        <w:tc>
          <w:tcPr>
            <w:tcW w:w="262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  <w:lang w:eastAsia="zh-CN"/>
              </w:rPr>
              <w:t>未经复议直接起诉</w:t>
            </w:r>
          </w:p>
        </w:tc>
        <w:tc>
          <w:tcPr>
            <w:tcW w:w="262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  <w:lang w:eastAsia="zh-CN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  <w:lang w:eastAsia="zh-CN"/>
              </w:rPr>
              <w:t>结果维持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  <w:lang w:eastAsia="zh-CN"/>
              </w:rPr>
              <w:t>结果纠正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  <w:lang w:eastAsia="zh-CN"/>
              </w:rPr>
              <w:t>其他结果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  <w:lang w:eastAsia="zh-CN"/>
              </w:rPr>
              <w:t>尚未审结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  <w:lang w:eastAsia="zh-CN"/>
              </w:rPr>
              <w:t>总计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  <w:lang w:eastAsia="zh-CN"/>
              </w:rPr>
              <w:t>结果维持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  <w:lang w:eastAsia="zh-CN"/>
              </w:rPr>
              <w:t>结果纠正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  <w:lang w:eastAsia="zh-CN"/>
              </w:rPr>
              <w:t>其他结果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  <w:lang w:eastAsia="zh-CN"/>
              </w:rPr>
              <w:t>尚未审结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  <w:lang w:eastAsia="zh-CN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eastAsiaTheme="minorEastAsia"/>
                <w:color w:val="42424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2" w:lineRule="atLeast"/>
        <w:ind w:left="0" w:right="0"/>
        <w:jc w:val="left"/>
        <w:rPr>
          <w:color w:val="42424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2" w:lineRule="atLeast"/>
        <w:ind w:left="0" w:right="0"/>
        <w:jc w:val="left"/>
        <w:rPr>
          <w:color w:val="42424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2" w:lineRule="atLeast"/>
        <w:ind w:left="0" w:right="0" w:firstLine="634"/>
        <w:jc w:val="left"/>
        <w:rPr>
          <w:color w:val="424242"/>
        </w:rPr>
      </w:pPr>
      <w:r>
        <w:rPr>
          <w:rFonts w:hint="eastAsia" w:ascii="黑体" w:hAnsi="宋体" w:eastAsia="黑体" w:cs="黑体"/>
          <w:color w:val="424242"/>
          <w:sz w:val="32"/>
          <w:szCs w:val="32"/>
          <w:lang w:eastAsia="zh-CN"/>
        </w:rPr>
        <w:t>五、存在的主要问题及改进情况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2" w:lineRule="atLeast"/>
        <w:ind w:left="0" w:right="0" w:firstLine="634"/>
        <w:jc w:val="left"/>
        <w:rPr>
          <w:color w:val="424242"/>
        </w:rPr>
      </w:pPr>
      <w:r>
        <w:rPr>
          <w:rFonts w:hint="eastAsia" w:ascii="微软雅黑" w:hAnsi="微软雅黑" w:eastAsia="微软雅黑" w:cs="微软雅黑"/>
          <w:color w:val="424242"/>
          <w:sz w:val="32"/>
          <w:szCs w:val="32"/>
        </w:rPr>
        <w:t>202</w:t>
      </w:r>
      <w:r>
        <w:rPr>
          <w:rFonts w:hint="eastAsia" w:ascii="微软雅黑" w:hAnsi="微软雅黑" w:eastAsia="微软雅黑" w:cs="微软雅黑"/>
          <w:color w:val="424242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default" w:ascii="monospace" w:eastAsia="monospace" w:cs="monospace"/>
          <w:color w:val="424242"/>
          <w:sz w:val="32"/>
          <w:szCs w:val="32"/>
          <w:lang w:eastAsia="zh-CN"/>
        </w:rPr>
        <w:t>年，我局政府信息公开虽然做了一定的工作，但距离上级的要求还存在差距，主要表现在如下两方面：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2" w:lineRule="atLeast"/>
        <w:ind w:left="0" w:right="0" w:firstLine="648"/>
        <w:jc w:val="left"/>
        <w:rPr>
          <w:color w:val="424242"/>
        </w:rPr>
      </w:pPr>
      <w:r>
        <w:rPr>
          <w:rStyle w:val="6"/>
          <w:rFonts w:hint="default" w:ascii="monospace" w:eastAsia="monospace" w:cs="monospace"/>
          <w:color w:val="424242"/>
          <w:sz w:val="32"/>
          <w:szCs w:val="32"/>
          <w:lang w:eastAsia="zh-CN"/>
        </w:rPr>
        <w:t>一是信息公开宣传力度还不够大。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2" w:lineRule="atLeast"/>
        <w:ind w:left="0" w:right="0" w:firstLine="634"/>
        <w:jc w:val="left"/>
        <w:rPr>
          <w:color w:val="424242"/>
        </w:rPr>
      </w:pPr>
      <w:r>
        <w:rPr>
          <w:rFonts w:hint="default" w:ascii="monospace" w:eastAsia="monospace" w:cs="monospace"/>
          <w:color w:val="424242"/>
          <w:sz w:val="32"/>
          <w:szCs w:val="32"/>
          <w:lang w:eastAsia="zh-CN"/>
        </w:rPr>
        <w:t>信息公开工作存在经验不足、对政府信息公开工作的宣传及教育力度还不够大。通过</w:t>
      </w:r>
      <w:r>
        <w:rPr>
          <w:rFonts w:hint="eastAsia" w:ascii="monospace" w:eastAsia="monospace" w:cs="monospace"/>
          <w:color w:val="424242"/>
          <w:sz w:val="32"/>
          <w:szCs w:val="32"/>
          <w:lang w:val="en-US" w:eastAsia="zh-CN"/>
        </w:rPr>
        <w:t>公众号、短视频</w:t>
      </w:r>
      <w:r>
        <w:rPr>
          <w:rFonts w:hint="default" w:ascii="monospace" w:eastAsia="monospace" w:cs="monospace"/>
          <w:color w:val="424242"/>
          <w:sz w:val="32"/>
          <w:szCs w:val="32"/>
          <w:lang w:eastAsia="zh-CN"/>
        </w:rPr>
        <w:t>等其他公开方式公开政府信息还不够完善。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2" w:lineRule="atLeast"/>
        <w:ind w:left="0" w:right="0" w:firstLine="648"/>
        <w:jc w:val="left"/>
        <w:rPr>
          <w:color w:val="424242"/>
        </w:rPr>
      </w:pPr>
      <w:r>
        <w:rPr>
          <w:rStyle w:val="6"/>
          <w:rFonts w:hint="default" w:ascii="monospace" w:eastAsia="monospace" w:cs="monospace"/>
          <w:color w:val="424242"/>
          <w:sz w:val="32"/>
          <w:szCs w:val="32"/>
          <w:lang w:eastAsia="zh-CN"/>
        </w:rPr>
        <w:t>二是信息深度和广度相对较狭窄。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2" w:lineRule="atLeast"/>
        <w:ind w:left="0" w:right="0" w:firstLine="634"/>
        <w:jc w:val="left"/>
        <w:rPr>
          <w:color w:val="424242"/>
        </w:rPr>
      </w:pPr>
      <w:r>
        <w:rPr>
          <w:rFonts w:hint="default" w:ascii="monospace" w:eastAsia="monospace" w:cs="monospace"/>
          <w:color w:val="424242"/>
          <w:sz w:val="32"/>
          <w:szCs w:val="32"/>
          <w:lang w:eastAsia="zh-CN"/>
        </w:rPr>
        <w:t>信息的来源局限于局各股室提供，信息公开的深度和广度有待进一步扩大，公开形式不够丰富。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2" w:lineRule="atLeast"/>
        <w:ind w:left="0" w:right="0" w:firstLine="634"/>
        <w:jc w:val="left"/>
        <w:rPr>
          <w:color w:val="424242"/>
        </w:rPr>
      </w:pPr>
      <w:r>
        <w:rPr>
          <w:rFonts w:hint="default" w:ascii="monospace" w:eastAsia="monospace" w:cs="monospace"/>
          <w:color w:val="424242"/>
          <w:sz w:val="32"/>
          <w:szCs w:val="32"/>
          <w:lang w:eastAsia="zh-CN"/>
        </w:rPr>
        <w:t>下一步，我局将按照</w:t>
      </w:r>
      <w:r>
        <w:rPr>
          <w:rFonts w:hint="eastAsia" w:ascii="monospace" w:eastAsia="monospace" w:cs="monospace"/>
          <w:color w:val="424242"/>
          <w:sz w:val="32"/>
          <w:szCs w:val="32"/>
          <w:lang w:val="en-US" w:eastAsia="zh-CN"/>
        </w:rPr>
        <w:t>县委、县</w:t>
      </w:r>
      <w:r>
        <w:rPr>
          <w:rFonts w:hint="default" w:ascii="monospace" w:eastAsia="monospace" w:cs="monospace"/>
          <w:color w:val="424242"/>
          <w:sz w:val="32"/>
          <w:szCs w:val="32"/>
          <w:lang w:eastAsia="zh-CN"/>
        </w:rPr>
        <w:t>政府的统一安排部署，针对工作中出现的问题，认真总结整改，吸取经验教训，进一步加强和深化政府信息公开工作，拓宽信息公开的渠道，进一步规范政府信息公开的工作程序。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2" w:lineRule="atLeast"/>
        <w:ind w:left="0" w:right="0" w:firstLine="634"/>
        <w:jc w:val="left"/>
        <w:rPr>
          <w:color w:val="424242"/>
        </w:rPr>
      </w:pPr>
      <w:r>
        <w:rPr>
          <w:rFonts w:hint="eastAsia" w:ascii="黑体" w:hAnsi="宋体" w:eastAsia="黑体" w:cs="黑体"/>
          <w:color w:val="424242"/>
          <w:sz w:val="32"/>
          <w:szCs w:val="32"/>
          <w:lang w:eastAsia="zh-CN"/>
        </w:rPr>
        <w:t>六、其他需要报告的事项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2" w:lineRule="atLeast"/>
        <w:ind w:left="0" w:right="0" w:firstLine="634"/>
        <w:jc w:val="both"/>
        <w:rPr>
          <w:color w:val="424242"/>
        </w:rPr>
      </w:pPr>
      <w:r>
        <w:rPr>
          <w:rFonts w:hint="default" w:ascii="monospace" w:eastAsia="monospace" w:cs="monospace"/>
          <w:color w:val="424242"/>
          <w:sz w:val="32"/>
          <w:szCs w:val="32"/>
          <w:lang w:eastAsia="zh-CN"/>
        </w:rPr>
        <w:t>暂无需要报告的事项。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2" w:lineRule="atLeast"/>
        <w:ind w:left="0" w:right="0" w:firstLine="634"/>
        <w:jc w:val="both"/>
        <w:rPr>
          <w:color w:val="42424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2" w:lineRule="atLeast"/>
        <w:ind w:left="0" w:right="0" w:firstLine="634"/>
        <w:jc w:val="both"/>
        <w:rPr>
          <w:color w:val="42424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2" w:lineRule="atLeast"/>
        <w:ind w:left="0" w:right="0" w:firstLine="634"/>
        <w:jc w:val="both"/>
        <w:rPr>
          <w:color w:val="42424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ZmM2MTAyZDg5MjUwMzBkOWNiN2ZiOTQ3YzFlMmMifQ=="/>
    <w:docVar w:name="KSO_WPS_MARK_KEY" w:val="9a3cc52c-f109-4cff-bb65-d432090ec19a"/>
  </w:docVars>
  <w:rsids>
    <w:rsidRoot w:val="758A1AA9"/>
    <w:rsid w:val="09D30E33"/>
    <w:rsid w:val="09FF043E"/>
    <w:rsid w:val="17917B41"/>
    <w:rsid w:val="1BA61123"/>
    <w:rsid w:val="34460880"/>
    <w:rsid w:val="348B1673"/>
    <w:rsid w:val="391960F0"/>
    <w:rsid w:val="3BD7685B"/>
    <w:rsid w:val="4A654957"/>
    <w:rsid w:val="53F42060"/>
    <w:rsid w:val="62961F8F"/>
    <w:rsid w:val="758A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1726</Words>
  <Characters>1751</Characters>
  <Lines>0</Lines>
  <Paragraphs>0</Paragraphs>
  <TotalTime>21</TotalTime>
  <ScaleCrop>false</ScaleCrop>
  <LinksUpToDate>false</LinksUpToDate>
  <CharactersWithSpaces>1751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2021-04-09T03:12:00Z</dcterms:created>
  <dc:creator>段增志</dc:creator>
  <cp:lastModifiedBy>段增志</cp:lastModifiedBy>
  <dcterms:modified xsi:type="dcterms:W3CDTF">2023-01-20T07:16:17Z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F3756FD7E1834D2DA0314EFB0F34DB0C</vt:lpwstr>
  </property>
</Properties>
</file>