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5"/>
            <w:tcBorders>
              <w:top w:val="single" w:color="FFFFFF" w:sz="6" w:space="0"/>
              <w:left w:val="single" w:color="FFFFFF" w:sz="6" w:space="0"/>
              <w:right w:val="single" w:color="FFFFFF" w:sz="6" w:space="0"/>
            </w:tcBorders>
            <w:vAlign w:val="center"/>
          </w:tcPr>
          <w:p>
            <w:r>
              <w:t>225中共巨鹿县委机构编制委员会办公室</w:t>
            </w:r>
            <w:r>
              <w:rPr>
                <w:rFonts w:hint="eastAsia" w:eastAsia="宋体"/>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298.70</w:t>
            </w:r>
          </w:p>
        </w:tc>
        <w:tc>
          <w:tcPr>
            <w:tcW w:w="1971" w:type="dxa"/>
            <w:vAlign w:val="center"/>
          </w:tcPr>
          <w:p>
            <w:pPr>
              <w:pStyle w:val="14"/>
            </w:pPr>
            <w:r>
              <w:t>一、一般公共服务支出</w:t>
            </w:r>
          </w:p>
        </w:tc>
        <w:tc>
          <w:tcPr>
            <w:tcW w:w="1971" w:type="dxa"/>
            <w:vAlign w:val="center"/>
          </w:tcPr>
          <w:p>
            <w:pPr>
              <w:pStyle w:val="13"/>
            </w:pPr>
            <w:r>
              <w:t>234.35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298.70</w:t>
            </w:r>
          </w:p>
        </w:tc>
        <w:tc>
          <w:tcPr>
            <w:tcW w:w="1971" w:type="dxa"/>
            <w:vAlign w:val="center"/>
          </w:tcPr>
          <w:p>
            <w:pPr>
              <w:pStyle w:val="16"/>
            </w:pPr>
            <w:r>
              <w:t>本年支出合计</w:t>
            </w:r>
          </w:p>
        </w:tc>
        <w:tc>
          <w:tcPr>
            <w:tcW w:w="1971" w:type="dxa"/>
            <w:vAlign w:val="center"/>
          </w:tcPr>
          <w:p>
            <w:pPr>
              <w:pStyle w:val="17"/>
            </w:pPr>
            <w:r>
              <w:t>298.70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298.70</w:t>
            </w:r>
          </w:p>
        </w:tc>
        <w:tc>
          <w:tcPr>
            <w:tcW w:w="1971" w:type="dxa"/>
            <w:vAlign w:val="center"/>
          </w:tcPr>
          <w:p>
            <w:pPr>
              <w:pStyle w:val="16"/>
            </w:pPr>
            <w:r>
              <w:t>支出总计</w:t>
            </w:r>
          </w:p>
        </w:tc>
        <w:tc>
          <w:tcPr>
            <w:tcW w:w="1971" w:type="dxa"/>
            <w:vAlign w:val="center"/>
          </w:tcPr>
          <w:p>
            <w:pPr>
              <w:pStyle w:val="17"/>
            </w:pPr>
            <w:r>
              <w:t>298.70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298.70</w:t>
            </w:r>
          </w:p>
        </w:tc>
        <w:tc>
          <w:tcPr>
            <w:tcW w:w="758" w:type="dxa"/>
            <w:vAlign w:val="center"/>
          </w:tcPr>
          <w:p>
            <w:pPr>
              <w:pStyle w:val="17"/>
            </w:pPr>
            <w:r>
              <w:t>298.70</w:t>
            </w:r>
          </w:p>
        </w:tc>
        <w:tc>
          <w:tcPr>
            <w:tcW w:w="758" w:type="dxa"/>
            <w:vAlign w:val="center"/>
          </w:tcPr>
          <w:p>
            <w:pPr>
              <w:pStyle w:val="17"/>
            </w:pPr>
            <w:r>
              <w:t>298.70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20132</w:t>
            </w:r>
          </w:p>
        </w:tc>
        <w:tc>
          <w:tcPr>
            <w:tcW w:w="758" w:type="dxa"/>
            <w:vAlign w:val="center"/>
          </w:tcPr>
          <w:p>
            <w:pPr>
              <w:pStyle w:val="14"/>
            </w:pPr>
            <w:r>
              <w:t>组织事务</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2013201</w:t>
            </w:r>
          </w:p>
        </w:tc>
        <w:tc>
          <w:tcPr>
            <w:tcW w:w="758" w:type="dxa"/>
            <w:vAlign w:val="center"/>
          </w:tcPr>
          <w:p>
            <w:pPr>
              <w:pStyle w:val="14"/>
            </w:pPr>
            <w:r>
              <w:t>行政运行</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r>
              <w:t>234.35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25.35</w:t>
            </w:r>
          </w:p>
        </w:tc>
        <w:tc>
          <w:tcPr>
            <w:tcW w:w="758" w:type="dxa"/>
            <w:vAlign w:val="center"/>
          </w:tcPr>
          <w:p>
            <w:pPr>
              <w:pStyle w:val="13"/>
            </w:pPr>
            <w:r>
              <w:t>25.35</w:t>
            </w:r>
          </w:p>
        </w:tc>
        <w:tc>
          <w:tcPr>
            <w:tcW w:w="758" w:type="dxa"/>
            <w:vAlign w:val="center"/>
          </w:tcPr>
          <w:p>
            <w:pPr>
              <w:pStyle w:val="13"/>
            </w:pPr>
            <w:r>
              <w:t>25.35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r>
              <w:t>24.00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20827</w:t>
            </w:r>
          </w:p>
        </w:tc>
        <w:tc>
          <w:tcPr>
            <w:tcW w:w="758" w:type="dxa"/>
            <w:vAlign w:val="center"/>
          </w:tcPr>
          <w:p>
            <w:pPr>
              <w:pStyle w:val="14"/>
            </w:pPr>
            <w:r>
              <w:t>财政对其他社会保险基金的补助</w:t>
            </w:r>
          </w:p>
        </w:tc>
        <w:tc>
          <w:tcPr>
            <w:tcW w:w="758" w:type="dxa"/>
            <w:vAlign w:val="center"/>
          </w:tcPr>
          <w:p>
            <w:pPr>
              <w:pStyle w:val="13"/>
            </w:pPr>
            <w:r>
              <w:t>1.35</w:t>
            </w:r>
          </w:p>
        </w:tc>
        <w:tc>
          <w:tcPr>
            <w:tcW w:w="758" w:type="dxa"/>
            <w:vAlign w:val="center"/>
          </w:tcPr>
          <w:p>
            <w:pPr>
              <w:pStyle w:val="13"/>
            </w:pPr>
            <w:r>
              <w:t>1.35</w:t>
            </w:r>
          </w:p>
        </w:tc>
        <w:tc>
          <w:tcPr>
            <w:tcW w:w="758" w:type="dxa"/>
            <w:vAlign w:val="center"/>
          </w:tcPr>
          <w:p>
            <w:pPr>
              <w:pStyle w:val="13"/>
            </w:pPr>
            <w:r>
              <w:t>1.35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2082701</w:t>
            </w:r>
          </w:p>
        </w:tc>
        <w:tc>
          <w:tcPr>
            <w:tcW w:w="758" w:type="dxa"/>
            <w:vAlign w:val="center"/>
          </w:tcPr>
          <w:p>
            <w:pPr>
              <w:pStyle w:val="14"/>
            </w:pPr>
            <w:r>
              <w:t>财政对失业保险基金的补助</w:t>
            </w:r>
          </w:p>
        </w:tc>
        <w:tc>
          <w:tcPr>
            <w:tcW w:w="758" w:type="dxa"/>
            <w:vAlign w:val="center"/>
          </w:tcPr>
          <w:p>
            <w:pPr>
              <w:pStyle w:val="13"/>
            </w:pPr>
            <w:r>
              <w:t>0.55</w:t>
            </w:r>
          </w:p>
        </w:tc>
        <w:tc>
          <w:tcPr>
            <w:tcW w:w="758" w:type="dxa"/>
            <w:vAlign w:val="center"/>
          </w:tcPr>
          <w:p>
            <w:pPr>
              <w:pStyle w:val="13"/>
            </w:pPr>
            <w:r>
              <w:t>0.55</w:t>
            </w:r>
          </w:p>
        </w:tc>
        <w:tc>
          <w:tcPr>
            <w:tcW w:w="758" w:type="dxa"/>
            <w:vAlign w:val="center"/>
          </w:tcPr>
          <w:p>
            <w:pPr>
              <w:pStyle w:val="13"/>
            </w:pPr>
            <w:r>
              <w:t>0.55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2082702</w:t>
            </w:r>
          </w:p>
        </w:tc>
        <w:tc>
          <w:tcPr>
            <w:tcW w:w="758" w:type="dxa"/>
            <w:vAlign w:val="center"/>
          </w:tcPr>
          <w:p>
            <w:pPr>
              <w:pStyle w:val="14"/>
            </w:pPr>
            <w:r>
              <w:t>财政对工伤保险基金的补助</w:t>
            </w:r>
          </w:p>
        </w:tc>
        <w:tc>
          <w:tcPr>
            <w:tcW w:w="758" w:type="dxa"/>
            <w:vAlign w:val="center"/>
          </w:tcPr>
          <w:p>
            <w:pPr>
              <w:pStyle w:val="13"/>
            </w:pPr>
            <w:r>
              <w:t>0.80</w:t>
            </w:r>
          </w:p>
        </w:tc>
        <w:tc>
          <w:tcPr>
            <w:tcW w:w="758" w:type="dxa"/>
            <w:vAlign w:val="center"/>
          </w:tcPr>
          <w:p>
            <w:pPr>
              <w:pStyle w:val="13"/>
            </w:pPr>
            <w:r>
              <w:t>0.80</w:t>
            </w:r>
          </w:p>
        </w:tc>
        <w:tc>
          <w:tcPr>
            <w:tcW w:w="758" w:type="dxa"/>
            <w:vAlign w:val="center"/>
          </w:tcPr>
          <w:p>
            <w:pPr>
              <w:pStyle w:val="13"/>
            </w:pPr>
            <w:r>
              <w:t>0.80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r>
              <w:t>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298.70</w:t>
            </w:r>
          </w:p>
        </w:tc>
        <w:tc>
          <w:tcPr>
            <w:tcW w:w="1095" w:type="dxa"/>
            <w:vAlign w:val="center"/>
          </w:tcPr>
          <w:p>
            <w:pPr>
              <w:pStyle w:val="17"/>
            </w:pPr>
            <w:r>
              <w:t>279.30</w:t>
            </w:r>
          </w:p>
        </w:tc>
        <w:tc>
          <w:tcPr>
            <w:tcW w:w="1095" w:type="dxa"/>
            <w:vAlign w:val="center"/>
          </w:tcPr>
          <w:p>
            <w:pPr>
              <w:pStyle w:val="17"/>
            </w:pPr>
            <w:r>
              <w:t>19.40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234.35</w:t>
            </w:r>
          </w:p>
        </w:tc>
        <w:tc>
          <w:tcPr>
            <w:tcW w:w="1095" w:type="dxa"/>
            <w:vAlign w:val="center"/>
          </w:tcPr>
          <w:p>
            <w:pPr>
              <w:pStyle w:val="13"/>
            </w:pPr>
            <w:r>
              <w:t>214.95</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20132</w:t>
            </w:r>
          </w:p>
        </w:tc>
        <w:tc>
          <w:tcPr>
            <w:tcW w:w="1095" w:type="dxa"/>
            <w:vAlign w:val="center"/>
          </w:tcPr>
          <w:p>
            <w:pPr>
              <w:pStyle w:val="14"/>
            </w:pPr>
            <w:r>
              <w:t>组织事务</w:t>
            </w:r>
          </w:p>
        </w:tc>
        <w:tc>
          <w:tcPr>
            <w:tcW w:w="1095" w:type="dxa"/>
            <w:vAlign w:val="center"/>
          </w:tcPr>
          <w:p>
            <w:pPr>
              <w:pStyle w:val="13"/>
            </w:pPr>
            <w:r>
              <w:t>234.35</w:t>
            </w:r>
          </w:p>
        </w:tc>
        <w:tc>
          <w:tcPr>
            <w:tcW w:w="1095" w:type="dxa"/>
            <w:vAlign w:val="center"/>
          </w:tcPr>
          <w:p>
            <w:pPr>
              <w:pStyle w:val="13"/>
            </w:pPr>
            <w:r>
              <w:t>214.95</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2013201</w:t>
            </w:r>
          </w:p>
        </w:tc>
        <w:tc>
          <w:tcPr>
            <w:tcW w:w="1095" w:type="dxa"/>
            <w:vAlign w:val="center"/>
          </w:tcPr>
          <w:p>
            <w:pPr>
              <w:pStyle w:val="14"/>
            </w:pPr>
            <w:r>
              <w:t>行政运行</w:t>
            </w:r>
          </w:p>
        </w:tc>
        <w:tc>
          <w:tcPr>
            <w:tcW w:w="1095" w:type="dxa"/>
            <w:vAlign w:val="center"/>
          </w:tcPr>
          <w:p>
            <w:pPr>
              <w:pStyle w:val="13"/>
            </w:pPr>
            <w:r>
              <w:t>234.35</w:t>
            </w:r>
          </w:p>
        </w:tc>
        <w:tc>
          <w:tcPr>
            <w:tcW w:w="1095" w:type="dxa"/>
            <w:vAlign w:val="center"/>
          </w:tcPr>
          <w:p>
            <w:pPr>
              <w:pStyle w:val="13"/>
            </w:pPr>
            <w:r>
              <w:t>214.95</w:t>
            </w:r>
          </w:p>
        </w:tc>
        <w:tc>
          <w:tcPr>
            <w:tcW w:w="1095" w:type="dxa"/>
            <w:vAlign w:val="center"/>
          </w:tcPr>
          <w:p>
            <w:pPr>
              <w:pStyle w:val="13"/>
            </w:pPr>
            <w:r>
              <w:t>19.40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25.35</w:t>
            </w:r>
          </w:p>
        </w:tc>
        <w:tc>
          <w:tcPr>
            <w:tcW w:w="1095" w:type="dxa"/>
            <w:vAlign w:val="center"/>
          </w:tcPr>
          <w:p>
            <w:pPr>
              <w:pStyle w:val="13"/>
            </w:pPr>
            <w:r>
              <w:t>25.35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24.00</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24.00</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20827</w:t>
            </w:r>
          </w:p>
        </w:tc>
        <w:tc>
          <w:tcPr>
            <w:tcW w:w="1095" w:type="dxa"/>
            <w:vAlign w:val="center"/>
          </w:tcPr>
          <w:p>
            <w:pPr>
              <w:pStyle w:val="14"/>
            </w:pPr>
            <w:r>
              <w:t>财政对其他社会保险基金的补助</w:t>
            </w:r>
          </w:p>
        </w:tc>
        <w:tc>
          <w:tcPr>
            <w:tcW w:w="1095" w:type="dxa"/>
            <w:vAlign w:val="center"/>
          </w:tcPr>
          <w:p>
            <w:pPr>
              <w:pStyle w:val="13"/>
            </w:pPr>
            <w:r>
              <w:t>1.35</w:t>
            </w:r>
          </w:p>
        </w:tc>
        <w:tc>
          <w:tcPr>
            <w:tcW w:w="1095" w:type="dxa"/>
            <w:vAlign w:val="center"/>
          </w:tcPr>
          <w:p>
            <w:pPr>
              <w:pStyle w:val="13"/>
            </w:pPr>
            <w:r>
              <w:t>1.35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2082701</w:t>
            </w:r>
          </w:p>
        </w:tc>
        <w:tc>
          <w:tcPr>
            <w:tcW w:w="1095" w:type="dxa"/>
            <w:vAlign w:val="center"/>
          </w:tcPr>
          <w:p>
            <w:pPr>
              <w:pStyle w:val="14"/>
            </w:pPr>
            <w:r>
              <w:t>财政对失业保险基金的补助</w:t>
            </w:r>
          </w:p>
        </w:tc>
        <w:tc>
          <w:tcPr>
            <w:tcW w:w="1095" w:type="dxa"/>
            <w:vAlign w:val="center"/>
          </w:tcPr>
          <w:p>
            <w:pPr>
              <w:pStyle w:val="13"/>
            </w:pPr>
            <w:r>
              <w:t>0.55</w:t>
            </w:r>
          </w:p>
        </w:tc>
        <w:tc>
          <w:tcPr>
            <w:tcW w:w="1095" w:type="dxa"/>
            <w:vAlign w:val="center"/>
          </w:tcPr>
          <w:p>
            <w:pPr>
              <w:pStyle w:val="13"/>
            </w:pPr>
            <w:r>
              <w:t>0.55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2082702</w:t>
            </w:r>
          </w:p>
        </w:tc>
        <w:tc>
          <w:tcPr>
            <w:tcW w:w="1095" w:type="dxa"/>
            <w:vAlign w:val="center"/>
          </w:tcPr>
          <w:p>
            <w:pPr>
              <w:pStyle w:val="14"/>
            </w:pPr>
            <w:r>
              <w:t>财政对工伤保险基金的补助</w:t>
            </w:r>
          </w:p>
        </w:tc>
        <w:tc>
          <w:tcPr>
            <w:tcW w:w="1095" w:type="dxa"/>
            <w:vAlign w:val="center"/>
          </w:tcPr>
          <w:p>
            <w:pPr>
              <w:pStyle w:val="13"/>
            </w:pPr>
            <w:r>
              <w:t>0.80</w:t>
            </w:r>
          </w:p>
        </w:tc>
        <w:tc>
          <w:tcPr>
            <w:tcW w:w="1095" w:type="dxa"/>
            <w:vAlign w:val="center"/>
          </w:tcPr>
          <w:p>
            <w:pPr>
              <w:pStyle w:val="13"/>
            </w:pPr>
            <w:r>
              <w:t>0.80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17.00</w:t>
            </w:r>
          </w:p>
        </w:tc>
        <w:tc>
          <w:tcPr>
            <w:tcW w:w="1095" w:type="dxa"/>
            <w:vAlign w:val="center"/>
          </w:tcPr>
          <w:p>
            <w:pPr>
              <w:pStyle w:val="13"/>
            </w:pPr>
            <w:r>
              <w:t>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17.00</w:t>
            </w:r>
          </w:p>
        </w:tc>
        <w:tc>
          <w:tcPr>
            <w:tcW w:w="1095" w:type="dxa"/>
            <w:vAlign w:val="center"/>
          </w:tcPr>
          <w:p>
            <w:pPr>
              <w:pStyle w:val="13"/>
            </w:pPr>
            <w:r>
              <w:t>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14.00</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3.00</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22.00</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22.00</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22.00</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298.70</w:t>
            </w:r>
          </w:p>
        </w:tc>
        <w:tc>
          <w:tcPr>
            <w:tcW w:w="1232" w:type="dxa"/>
            <w:vAlign w:val="center"/>
          </w:tcPr>
          <w:p>
            <w:pPr>
              <w:pStyle w:val="14"/>
            </w:pPr>
            <w:r>
              <w:t>一、一般公共服务支出</w:t>
            </w:r>
          </w:p>
        </w:tc>
        <w:tc>
          <w:tcPr>
            <w:tcW w:w="1232" w:type="dxa"/>
            <w:vAlign w:val="center"/>
          </w:tcPr>
          <w:p>
            <w:pPr>
              <w:pStyle w:val="13"/>
            </w:pPr>
            <w:r>
              <w:t>234.35</w:t>
            </w:r>
          </w:p>
        </w:tc>
        <w:tc>
          <w:tcPr>
            <w:tcW w:w="1232" w:type="dxa"/>
            <w:vAlign w:val="center"/>
          </w:tcPr>
          <w:p>
            <w:pPr>
              <w:pStyle w:val="13"/>
            </w:pPr>
            <w:r>
              <w:t>234.35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25.35</w:t>
            </w:r>
          </w:p>
        </w:tc>
        <w:tc>
          <w:tcPr>
            <w:tcW w:w="1232" w:type="dxa"/>
            <w:vAlign w:val="center"/>
          </w:tcPr>
          <w:p>
            <w:pPr>
              <w:pStyle w:val="13"/>
            </w:pPr>
            <w:r>
              <w:t>25.35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17.00</w:t>
            </w:r>
          </w:p>
        </w:tc>
        <w:tc>
          <w:tcPr>
            <w:tcW w:w="1232" w:type="dxa"/>
            <w:vAlign w:val="center"/>
          </w:tcPr>
          <w:p>
            <w:pPr>
              <w:pStyle w:val="13"/>
            </w:pPr>
            <w:r>
              <w:t>17.00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22.00</w:t>
            </w:r>
          </w:p>
        </w:tc>
        <w:tc>
          <w:tcPr>
            <w:tcW w:w="1232" w:type="dxa"/>
            <w:vAlign w:val="center"/>
          </w:tcPr>
          <w:p>
            <w:pPr>
              <w:pStyle w:val="13"/>
            </w:pPr>
            <w:r>
              <w:t>22.00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298.70</w:t>
            </w:r>
          </w:p>
        </w:tc>
        <w:tc>
          <w:tcPr>
            <w:tcW w:w="1232" w:type="dxa"/>
            <w:vAlign w:val="center"/>
          </w:tcPr>
          <w:p>
            <w:pPr>
              <w:pStyle w:val="16"/>
            </w:pPr>
            <w:r>
              <w:t>本年支出合计</w:t>
            </w:r>
          </w:p>
        </w:tc>
        <w:tc>
          <w:tcPr>
            <w:tcW w:w="1232" w:type="dxa"/>
            <w:vAlign w:val="center"/>
          </w:tcPr>
          <w:p>
            <w:pPr>
              <w:pStyle w:val="17"/>
            </w:pPr>
            <w:r>
              <w:t>298.70</w:t>
            </w:r>
          </w:p>
        </w:tc>
        <w:tc>
          <w:tcPr>
            <w:tcW w:w="1232" w:type="dxa"/>
            <w:vAlign w:val="center"/>
          </w:tcPr>
          <w:p>
            <w:pPr>
              <w:pStyle w:val="17"/>
            </w:pPr>
            <w:r>
              <w:t>298.70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298.70</w:t>
            </w:r>
          </w:p>
        </w:tc>
        <w:tc>
          <w:tcPr>
            <w:tcW w:w="1232" w:type="dxa"/>
            <w:vAlign w:val="center"/>
          </w:tcPr>
          <w:p>
            <w:pPr>
              <w:pStyle w:val="16"/>
            </w:pPr>
            <w:r>
              <w:t>支出总计</w:t>
            </w:r>
          </w:p>
        </w:tc>
        <w:tc>
          <w:tcPr>
            <w:tcW w:w="1232" w:type="dxa"/>
            <w:vAlign w:val="center"/>
          </w:tcPr>
          <w:p>
            <w:pPr>
              <w:pStyle w:val="17"/>
            </w:pPr>
            <w:r>
              <w:t>298.70</w:t>
            </w:r>
          </w:p>
        </w:tc>
        <w:tc>
          <w:tcPr>
            <w:tcW w:w="1232" w:type="dxa"/>
            <w:vAlign w:val="center"/>
          </w:tcPr>
          <w:p>
            <w:pPr>
              <w:pStyle w:val="17"/>
            </w:pPr>
            <w:r>
              <w:t>298.70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298.70</w:t>
            </w:r>
          </w:p>
        </w:tc>
        <w:tc>
          <w:tcPr>
            <w:tcW w:w="1643" w:type="dxa"/>
            <w:vAlign w:val="center"/>
          </w:tcPr>
          <w:p>
            <w:pPr>
              <w:pStyle w:val="17"/>
            </w:pPr>
            <w:r>
              <w:t>279.30</w:t>
            </w:r>
          </w:p>
        </w:tc>
        <w:tc>
          <w:tcPr>
            <w:tcW w:w="1643" w:type="dxa"/>
            <w:vAlign w:val="center"/>
          </w:tcPr>
          <w:p>
            <w:pPr>
              <w:pStyle w:val="17"/>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234.35</w:t>
            </w:r>
          </w:p>
        </w:tc>
        <w:tc>
          <w:tcPr>
            <w:tcW w:w="1643" w:type="dxa"/>
            <w:vAlign w:val="center"/>
          </w:tcPr>
          <w:p>
            <w:pPr>
              <w:pStyle w:val="13"/>
            </w:pPr>
            <w:r>
              <w:t>214.95</w:t>
            </w:r>
          </w:p>
        </w:tc>
        <w:tc>
          <w:tcPr>
            <w:tcW w:w="1643" w:type="dxa"/>
            <w:vAlign w:val="center"/>
          </w:tcPr>
          <w:p>
            <w:pPr>
              <w:pStyle w:val="13"/>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20132</w:t>
            </w:r>
          </w:p>
        </w:tc>
        <w:tc>
          <w:tcPr>
            <w:tcW w:w="1643" w:type="dxa"/>
            <w:vAlign w:val="center"/>
          </w:tcPr>
          <w:p>
            <w:pPr>
              <w:pStyle w:val="14"/>
            </w:pPr>
            <w:r>
              <w:t>组织事务</w:t>
            </w:r>
          </w:p>
        </w:tc>
        <w:tc>
          <w:tcPr>
            <w:tcW w:w="1643" w:type="dxa"/>
            <w:vAlign w:val="center"/>
          </w:tcPr>
          <w:p>
            <w:pPr>
              <w:pStyle w:val="13"/>
            </w:pPr>
            <w:r>
              <w:t>234.35</w:t>
            </w:r>
          </w:p>
        </w:tc>
        <w:tc>
          <w:tcPr>
            <w:tcW w:w="1643" w:type="dxa"/>
            <w:vAlign w:val="center"/>
          </w:tcPr>
          <w:p>
            <w:pPr>
              <w:pStyle w:val="13"/>
            </w:pPr>
            <w:r>
              <w:t>214.95</w:t>
            </w:r>
          </w:p>
        </w:tc>
        <w:tc>
          <w:tcPr>
            <w:tcW w:w="1643" w:type="dxa"/>
            <w:vAlign w:val="center"/>
          </w:tcPr>
          <w:p>
            <w:pPr>
              <w:pStyle w:val="13"/>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2013201</w:t>
            </w:r>
          </w:p>
        </w:tc>
        <w:tc>
          <w:tcPr>
            <w:tcW w:w="1643" w:type="dxa"/>
            <w:vAlign w:val="center"/>
          </w:tcPr>
          <w:p>
            <w:pPr>
              <w:pStyle w:val="14"/>
            </w:pPr>
            <w:r>
              <w:t>行政运行</w:t>
            </w:r>
          </w:p>
        </w:tc>
        <w:tc>
          <w:tcPr>
            <w:tcW w:w="1643" w:type="dxa"/>
            <w:vAlign w:val="center"/>
          </w:tcPr>
          <w:p>
            <w:pPr>
              <w:pStyle w:val="13"/>
            </w:pPr>
            <w:r>
              <w:t>234.35</w:t>
            </w:r>
          </w:p>
        </w:tc>
        <w:tc>
          <w:tcPr>
            <w:tcW w:w="1643" w:type="dxa"/>
            <w:vAlign w:val="center"/>
          </w:tcPr>
          <w:p>
            <w:pPr>
              <w:pStyle w:val="13"/>
            </w:pPr>
            <w:r>
              <w:t>214.95</w:t>
            </w:r>
          </w:p>
        </w:tc>
        <w:tc>
          <w:tcPr>
            <w:tcW w:w="1643" w:type="dxa"/>
            <w:vAlign w:val="center"/>
          </w:tcPr>
          <w:p>
            <w:pPr>
              <w:pStyle w:val="13"/>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25.35</w:t>
            </w:r>
          </w:p>
        </w:tc>
        <w:tc>
          <w:tcPr>
            <w:tcW w:w="1643" w:type="dxa"/>
            <w:vAlign w:val="center"/>
          </w:tcPr>
          <w:p>
            <w:pPr>
              <w:pStyle w:val="13"/>
            </w:pPr>
            <w:r>
              <w:t>25.35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20827</w:t>
            </w:r>
          </w:p>
        </w:tc>
        <w:tc>
          <w:tcPr>
            <w:tcW w:w="1643" w:type="dxa"/>
            <w:vAlign w:val="center"/>
          </w:tcPr>
          <w:p>
            <w:pPr>
              <w:pStyle w:val="14"/>
            </w:pPr>
            <w:r>
              <w:t>财政对其他社会保险基金的补助</w:t>
            </w:r>
          </w:p>
        </w:tc>
        <w:tc>
          <w:tcPr>
            <w:tcW w:w="1643" w:type="dxa"/>
            <w:vAlign w:val="center"/>
          </w:tcPr>
          <w:p>
            <w:pPr>
              <w:pStyle w:val="13"/>
            </w:pPr>
            <w:r>
              <w:t>1.35</w:t>
            </w:r>
          </w:p>
        </w:tc>
        <w:tc>
          <w:tcPr>
            <w:tcW w:w="1643" w:type="dxa"/>
            <w:vAlign w:val="center"/>
          </w:tcPr>
          <w:p>
            <w:pPr>
              <w:pStyle w:val="13"/>
            </w:pPr>
            <w:r>
              <w:t>1.35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2082701</w:t>
            </w:r>
          </w:p>
        </w:tc>
        <w:tc>
          <w:tcPr>
            <w:tcW w:w="1643" w:type="dxa"/>
            <w:vAlign w:val="center"/>
          </w:tcPr>
          <w:p>
            <w:pPr>
              <w:pStyle w:val="14"/>
            </w:pPr>
            <w:r>
              <w:t>财政对失业保险基金的补助</w:t>
            </w:r>
          </w:p>
        </w:tc>
        <w:tc>
          <w:tcPr>
            <w:tcW w:w="1643" w:type="dxa"/>
            <w:vAlign w:val="center"/>
          </w:tcPr>
          <w:p>
            <w:pPr>
              <w:pStyle w:val="13"/>
            </w:pPr>
            <w:r>
              <w:t>0.55</w:t>
            </w:r>
          </w:p>
        </w:tc>
        <w:tc>
          <w:tcPr>
            <w:tcW w:w="1643" w:type="dxa"/>
            <w:vAlign w:val="center"/>
          </w:tcPr>
          <w:p>
            <w:pPr>
              <w:pStyle w:val="13"/>
            </w:pPr>
            <w:r>
              <w:t>0.55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2082702</w:t>
            </w:r>
          </w:p>
        </w:tc>
        <w:tc>
          <w:tcPr>
            <w:tcW w:w="1643" w:type="dxa"/>
            <w:vAlign w:val="center"/>
          </w:tcPr>
          <w:p>
            <w:pPr>
              <w:pStyle w:val="14"/>
            </w:pPr>
            <w:r>
              <w:t>财政对工伤保险基金的补助</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17.00</w:t>
            </w:r>
          </w:p>
        </w:tc>
        <w:tc>
          <w:tcPr>
            <w:tcW w:w="1643" w:type="dxa"/>
            <w:vAlign w:val="center"/>
          </w:tcPr>
          <w:p>
            <w:pPr>
              <w:pStyle w:val="13"/>
            </w:pPr>
            <w:r>
              <w:t>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279.30</w:t>
            </w:r>
          </w:p>
        </w:tc>
        <w:tc>
          <w:tcPr>
            <w:tcW w:w="1643" w:type="dxa"/>
            <w:vAlign w:val="center"/>
          </w:tcPr>
          <w:p>
            <w:pPr>
              <w:pStyle w:val="17"/>
            </w:pPr>
            <w:r>
              <w:t>248.35</w:t>
            </w:r>
          </w:p>
        </w:tc>
        <w:tc>
          <w:tcPr>
            <w:tcW w:w="1643" w:type="dxa"/>
            <w:vAlign w:val="center"/>
          </w:tcPr>
          <w:p>
            <w:pPr>
              <w:pStyle w:val="17"/>
            </w:pPr>
            <w:r>
              <w:t>30.95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248.35</w:t>
            </w:r>
          </w:p>
        </w:tc>
        <w:tc>
          <w:tcPr>
            <w:tcW w:w="1643" w:type="dxa"/>
            <w:vAlign w:val="center"/>
          </w:tcPr>
          <w:p>
            <w:pPr>
              <w:pStyle w:val="13"/>
            </w:pPr>
            <w:r>
              <w:t>248.35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173.00</w:t>
            </w:r>
          </w:p>
        </w:tc>
        <w:tc>
          <w:tcPr>
            <w:tcW w:w="1643" w:type="dxa"/>
            <w:vAlign w:val="center"/>
          </w:tcPr>
          <w:p>
            <w:pPr>
              <w:pStyle w:val="13"/>
            </w:pPr>
            <w:r>
              <w:t>173.00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11.00</w:t>
            </w:r>
          </w:p>
        </w:tc>
        <w:tc>
          <w:tcPr>
            <w:tcW w:w="1643" w:type="dxa"/>
            <w:vAlign w:val="center"/>
          </w:tcPr>
          <w:p>
            <w:pPr>
              <w:pStyle w:val="13"/>
            </w:pPr>
            <w:r>
              <w:t>11.00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1.35</w:t>
            </w:r>
          </w:p>
        </w:tc>
        <w:tc>
          <w:tcPr>
            <w:tcW w:w="1643" w:type="dxa"/>
            <w:vAlign w:val="center"/>
          </w:tcPr>
          <w:p>
            <w:pPr>
              <w:pStyle w:val="13"/>
            </w:pPr>
            <w:r>
              <w:t>1.35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30.30</w:t>
            </w:r>
          </w:p>
        </w:tc>
        <w:tc>
          <w:tcPr>
            <w:tcW w:w="1643" w:type="dxa"/>
            <w:vAlign w:val="center"/>
          </w:tcPr>
          <w:p>
            <w:pPr>
              <w:pStyle w:val="13"/>
            </w:pPr>
          </w:p>
        </w:tc>
        <w:tc>
          <w:tcPr>
            <w:tcW w:w="1643" w:type="dxa"/>
            <w:vAlign w:val="center"/>
          </w:tcPr>
          <w:p>
            <w:pPr>
              <w:pStyle w:val="13"/>
            </w:pPr>
            <w:r>
              <w:t>30.30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2.70</w:t>
            </w:r>
          </w:p>
        </w:tc>
        <w:tc>
          <w:tcPr>
            <w:tcW w:w="1643" w:type="dxa"/>
            <w:vAlign w:val="center"/>
          </w:tcPr>
          <w:p>
            <w:pPr>
              <w:pStyle w:val="13"/>
            </w:pPr>
          </w:p>
        </w:tc>
        <w:tc>
          <w:tcPr>
            <w:tcW w:w="1643"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4.20</w:t>
            </w:r>
          </w:p>
        </w:tc>
        <w:tc>
          <w:tcPr>
            <w:tcW w:w="1643" w:type="dxa"/>
            <w:vAlign w:val="center"/>
          </w:tcPr>
          <w:p>
            <w:pPr>
              <w:pStyle w:val="13"/>
            </w:pPr>
          </w:p>
        </w:tc>
        <w:tc>
          <w:tcPr>
            <w:tcW w:w="1643"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0.40</w:t>
            </w:r>
          </w:p>
        </w:tc>
        <w:tc>
          <w:tcPr>
            <w:tcW w:w="1643"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0.65</w:t>
            </w:r>
          </w:p>
        </w:tc>
        <w:tc>
          <w:tcPr>
            <w:tcW w:w="1643" w:type="dxa"/>
            <w:vAlign w:val="center"/>
          </w:tcPr>
          <w:p>
            <w:pPr>
              <w:pStyle w:val="13"/>
            </w:pPr>
          </w:p>
        </w:tc>
        <w:tc>
          <w:tcPr>
            <w:tcW w:w="1643"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0.65</w:t>
            </w:r>
          </w:p>
        </w:tc>
        <w:tc>
          <w:tcPr>
            <w:tcW w:w="1643" w:type="dxa"/>
            <w:vAlign w:val="center"/>
          </w:tcPr>
          <w:p>
            <w:pPr>
              <w:pStyle w:val="13"/>
            </w:pPr>
          </w:p>
        </w:tc>
        <w:tc>
          <w:tcPr>
            <w:tcW w:w="1643" w:type="dxa"/>
            <w:vAlign w:val="center"/>
          </w:tcPr>
          <w:p>
            <w:pPr>
              <w:pStyle w:val="13"/>
            </w:pPr>
            <w:r>
              <w:t>0.65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2.00</w:t>
            </w:r>
          </w:p>
        </w:tc>
        <w:tc>
          <w:tcPr>
            <w:tcW w:w="1643" w:type="dxa"/>
            <w:vAlign w:val="center"/>
          </w:tcPr>
          <w:p>
            <w:pPr>
              <w:pStyle w:val="17"/>
              <w:rPr>
                <w:rFonts w:hint="default" w:eastAsia="方正书宋_GBK"/>
                <w:lang w:val="en-US" w:eastAsia="zh-CN"/>
              </w:rPr>
            </w:pPr>
            <w:r>
              <w:rPr>
                <w:rFonts w:hint="eastAsia"/>
                <w:lang w:val="en-US" w:eastAsia="zh-CN"/>
              </w:rPr>
              <w:t>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050" w:firstLineChars="500"/>
        <w:jc w:val="both"/>
        <w:outlineLvl w:val="0"/>
        <w:sectPr>
          <w:pgSz w:w="16840" w:h="11900" w:orient="landscape"/>
          <w:pgMar w:top="1361" w:right="1020" w:bottom="1361" w:left="1020" w:header="720" w:footer="720" w:gutter="0"/>
        </w:sectPr>
      </w:pPr>
      <w:bookmarkStart w:id="18" w:name="_GoBack"/>
      <w:bookmarkEnd w:id="18"/>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经费</w:t>
      </w:r>
      <w:r>
        <w:rPr>
          <w:rFonts w:ascii="方正书宋_GBK" w:hAnsi="方正书宋_GBK" w:eastAsia="方正书宋_GBK" w:cs="方正书宋_GBK"/>
          <w:color w:val="000000"/>
          <w:sz w:val="21"/>
        </w:rPr>
        <w:t>财政拨款</w:t>
      </w:r>
      <w:r>
        <w:rPr>
          <w:rFonts w:hint="eastAsia" w:ascii="方正书宋_GBK" w:hAnsi="方正书宋_GBK" w:eastAsia="方正书宋_GBK" w:cs="方正书宋_GBK"/>
          <w:color w:val="000000"/>
          <w:sz w:val="21"/>
          <w:lang w:val="en-US" w:eastAsia="zh-CN"/>
        </w:rPr>
        <w:t>支出</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val="en-US" w:eastAsia="zh-CN"/>
        </w:rPr>
        <w:t xml:space="preserve"> 。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中共巨鹿县委机构编制委员会办公室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预算法》、《地方预决算公开操作规程》和《关于进一步推进预算公开工作的实施意见》规定，现将中共巨鹿县委机构编制委员会办公室2023年部门预算公开如下：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ind w:left="0" w:leftChars="0" w:firstLine="560" w:firstLineChars="200"/>
      </w:pPr>
      <w:r>
        <w:t>(一)部门主要职责</w:t>
      </w:r>
    </w:p>
    <w:p>
      <w:pPr>
        <w:pStyle w:val="19"/>
      </w:pPr>
      <w:r>
        <w:t>1.贯彻落实党中央和省委、市委关于行政管理体制和机构改革以及机构编制管理的政策法规，组织拟订相关政策措施并监督实施。管理和指导各级党委、人大、政府、政协、监委机关，各民主党派、人民团体机关以及全县事业单位的机构编制工作。</w:t>
      </w:r>
    </w:p>
    <w:p>
      <w:pPr>
        <w:pStyle w:val="19"/>
      </w:pPr>
      <w:r>
        <w:t>2.组织拟订全县行政管理体制改革和县委、县政府机构改革方案并组织实施。指导乡镇、开发区行政管理体制和机构改革以及机构编制管理工作；负责行政执法体制改革工作。</w:t>
      </w:r>
    </w:p>
    <w:p>
      <w:pPr>
        <w:pStyle w:val="19"/>
      </w:pPr>
      <w:r>
        <w:t>3.协调县委、县政府各部门的职能配置及其调整。协调县委、县政府部门之间以及县直部门与各乡镇、开发区之间的职责分工。</w:t>
      </w:r>
    </w:p>
    <w:p>
      <w:pPr>
        <w:pStyle w:val="19"/>
      </w:pPr>
      <w:r>
        <w:t>4.审核或审批县委、县政府各部门及各部门派出机构的职能配置、机构设置、人员编制和领导职数；审核县人大、县政协、县监委和县级各民主党派、人民团体机关的职能配置、机构设置、人员编制和领导职数；负责需要承办的中央和国家机关、省垂直管理部门或双重管理部门机构编制事宜。</w:t>
      </w:r>
    </w:p>
    <w:p>
      <w:pPr>
        <w:pStyle w:val="19"/>
      </w:pPr>
      <w:r>
        <w:t>5.组织拟订全县事业单位管理体制和机构改革方案。落实各类事业单位人员编制标准，组织拟订全县各类事业单位机构编制管理办法，负责推进事业单位机构编制标准体系建设；审核或审批县委、县政府直属事业单位和县直部门、乡镇、开发区所属事业单位的机构编制事宜；指导各乡镇、开发区事业单位管理体制改革和机构编制管理工作；负责全县机关统一社会信用代码赋码管理工作，负责全县事业单位法人登记的监督检查工作。</w:t>
      </w:r>
    </w:p>
    <w:p>
      <w:pPr>
        <w:pStyle w:val="19"/>
      </w:pPr>
      <w:r>
        <w:t>6.指导全县开发区（园区）行政管理体制改革工作，组织拟订开发区（园区）机构编制管理办法并组织实施，审核开发区（园区）职能配置、机构设置、人员编制和领导职数。</w:t>
      </w:r>
    </w:p>
    <w:p>
      <w:pPr>
        <w:pStyle w:val="19"/>
      </w:pPr>
      <w:r>
        <w:t>7.负责对全县机构编制的总量控制和动态管理。会同有关部门负责机构编制实名制工作；负责全县机关事业单位编制使用核准；建立健全机构编制部门与有关部门间的协调配合约束机制。</w:t>
      </w:r>
    </w:p>
    <w:p>
      <w:pPr>
        <w:pStyle w:val="19"/>
      </w:pPr>
      <w:r>
        <w:t>8.负责对各级行政、事业单位管理体制和机构改革及机构编制执行情况的跟踪评估和监督检查。负责受理违反机构编制法规、纪律的检举、控告和投诉，对违反机构编制法规、纪律问题进行调查处理。</w:t>
      </w:r>
    </w:p>
    <w:p>
      <w:pPr>
        <w:pStyle w:val="19"/>
      </w:pPr>
      <w:r>
        <w:t>9.负责全县机构编制电子政务和信息化工作。负责全县机构编制统计工作；负责机构编制网站的建设管理以及网络安全工作；指导全县党政群机关、事业单位和其他非营利性单位网上名称管理工作。</w:t>
      </w:r>
    </w:p>
    <w:p>
      <w:pPr>
        <w:pStyle w:val="19"/>
      </w:pPr>
      <w:r>
        <w:t>10.组织开展行政管理体制改革及机构编制管理创新基础性和前瞻性研究。</w:t>
      </w:r>
    </w:p>
    <w:p>
      <w:pPr>
        <w:pStyle w:val="19"/>
      </w:pPr>
      <w:r>
        <w:t>11.完成县委和县委机构编制委员会交办的其他任务。</w:t>
      </w:r>
    </w:p>
    <w:p>
      <w:pPr>
        <w:pStyle w:val="19"/>
      </w:pPr>
    </w:p>
    <w:p>
      <w:pPr>
        <w:pStyle w:val="19"/>
      </w:pPr>
    </w:p>
    <w:p>
      <w:pPr>
        <w:pStyle w:val="19"/>
      </w:pPr>
    </w:p>
    <w:p>
      <w:pPr>
        <w:pStyle w:val="19"/>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中共巨鹿县委机构编制委员会办公室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numPr>
          <w:ilvl w:val="0"/>
          <w:numId w:val="0"/>
        </w:numPr>
        <w:spacing w:before="10" w:after="10" w:line="360" w:lineRule="auto"/>
        <w:ind w:firstLine="643" w:firstLineChars="200"/>
        <w:jc w:val="left"/>
        <w:outlineLvl w:val="2"/>
        <w:rPr>
          <w:rFonts w:ascii="Times New Roman" w:hAnsi="Times New Roman" w:eastAsia="方正仿宋_GBK" w:cs="Times New Roman"/>
          <w:b/>
          <w:bCs/>
          <w:color w:val="000000"/>
          <w:sz w:val="28"/>
        </w:rPr>
      </w:pPr>
      <w:r>
        <w:rPr>
          <w:rFonts w:ascii="黑体" w:hAnsi="黑体" w:eastAsia="黑体" w:cs="黑体"/>
          <w:b/>
          <w:bCs/>
          <w:color w:val="000000"/>
          <w:sz w:val="32"/>
        </w:rPr>
        <w:t>部门预算安排的总体情况</w:t>
      </w:r>
      <w:bookmarkEnd w:id="10"/>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按照预算管理有关规定，目前我省部门预算的编制实行综合预算管理，即全部收入和支出都反映在预算中。中共巨鹿县委机构编制委员会办公室机关及所属事业单位的收支包含在部门预算中。</w:t>
      </w:r>
    </w:p>
    <w:p>
      <w:pPr>
        <w:pStyle w:val="20"/>
      </w:pPr>
      <w:r>
        <w:t>1、收入说明</w:t>
      </w:r>
    </w:p>
    <w:p>
      <w:pPr>
        <w:pStyle w:val="20"/>
      </w:pPr>
      <w:r>
        <w:t>2023年我部门预算安排总数为298.7万元</w:t>
      </w:r>
      <w:r>
        <w:rPr>
          <w:rFonts w:hint="eastAsia"/>
          <w:lang w:eastAsia="zh-CN"/>
        </w:rPr>
        <w:t>。</w:t>
      </w:r>
      <w:r>
        <w:t>其中：一般公共预算收入298.7万元，基金预算收入0万元，财政专户核拨收入0万元，其他来源收入0万元。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中共巨鹿县委机构编制委员会办公室年度部门预算中支出预算的总体情况。2023年部门支出预算为298.7万元，其中基本支出279.3万元，包括人员经费248.35万元和日常公用经费30.95万元；项目支出19.4万元，全部为本级支出，主要为党政机关、事业单位中文域名支出4.4万元，机构编制管理运行经费15万元，其他支出0万元。</w:t>
      </w:r>
    </w:p>
    <w:p>
      <w:pPr>
        <w:pStyle w:val="20"/>
      </w:pPr>
      <w:r>
        <w:t>3、比上年增减情况</w:t>
      </w:r>
    </w:p>
    <w:p>
      <w:pPr>
        <w:pStyle w:val="20"/>
      </w:pPr>
      <w:r>
        <w:t>2023年部门预算收支安排298.7万元，较2022年增加78.58万元，其中：基本支出增加73.58万元，主要为增加人员经费、工资和保险支出；项目支出增加5万元，主要是支出预算增加，其他支出无增减变化。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2023年我部门机关运行经费共计安排30.95万元，主要用于保证机关正常运转的办公费及水费、福利费、职工教育经费、党组织活动费其他交通费用（公务交通补贴）等日常运行支出。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厉行节约，提倡节俭，财政拨款“三公”经费预算安排0万元，较上年无增长。其中因公出国（境）费预算安排0万元，较上年无变化；公务用车购置及运维费预算安排0万元，较上年无变化，因为我单位无公车；公务接待费预算安排0万元，较上年无</w:t>
      </w:r>
      <w:r>
        <w:rPr>
          <w:rFonts w:hint="eastAsia"/>
          <w:lang w:val="en-US" w:eastAsia="zh-CN"/>
        </w:rPr>
        <w:t>变化；我单位无相关的支出预算安排</w:t>
      </w:r>
      <w:r>
        <w:t>。</w:t>
      </w:r>
    </w:p>
    <w:p>
      <w:pPr>
        <w:spacing w:before="10" w:after="10" w:line="360" w:lineRule="auto"/>
        <w:ind w:firstLine="640"/>
        <w:jc w:val="left"/>
        <w:outlineLvl w:val="2"/>
        <w:rPr>
          <w:rFonts w:ascii="黑体" w:hAnsi="黑体" w:eastAsia="黑体" w:cs="黑体"/>
          <w:b/>
          <w:bCs/>
          <w:color w:val="000000"/>
          <w:sz w:val="36"/>
          <w:szCs w:val="36"/>
        </w:rPr>
      </w:pPr>
      <w:bookmarkStart w:id="13" w:name="_Toc_3_3_0000000014"/>
    </w:p>
    <w:p>
      <w:pPr>
        <w:spacing w:before="10" w:after="10" w:line="360" w:lineRule="auto"/>
        <w:ind w:firstLine="640"/>
        <w:jc w:val="left"/>
        <w:outlineLvl w:val="2"/>
        <w:rPr>
          <w:b/>
          <w:bCs/>
          <w:sz w:val="36"/>
          <w:szCs w:val="36"/>
        </w:rPr>
      </w:pPr>
      <w:r>
        <w:rPr>
          <w:rFonts w:ascii="黑体" w:hAnsi="黑体" w:eastAsia="黑体" w:cs="黑体"/>
          <w:b/>
          <w:bCs/>
          <w:color w:val="000000"/>
          <w:sz w:val="36"/>
          <w:szCs w:val="36"/>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b/>
          <w:bCs/>
          <w:color w:val="000000"/>
          <w:sz w:val="28"/>
        </w:rPr>
        <w:t>（一）总体绩效目标</w:t>
      </w:r>
    </w:p>
    <w:p>
      <w:pPr>
        <w:pStyle w:val="23"/>
      </w:pPr>
      <w:r>
        <w:t>坚持以习近平新时代中国特色社会主义思想为指导，围绕县委、县政府部署，我办组织全体工作人员对省市的部署，积极创新编制管理，探索建立统筹使用各类编制资源的制度规定。加大机构编制资源挖潜创新和统筹调剂力度，重点保障义务教育、基层卫生等基本公共服务需要。</w:t>
      </w:r>
    </w:p>
    <w:p>
      <w:pPr>
        <w:pStyle w:val="23"/>
      </w:pPr>
      <w:r>
        <w:t>着力推进机构编制法定化。严格执行《中国共产党机构编制工作条例》动议、论证和审议决定等要求，全面落实机构编制审核审批、统筹调配、动态调整、实名制管理、报告备案和监督检查制度，推动机构、职能、权限、程序、责任法定化， 维护</w:t>
      </w:r>
      <w:r>
        <w:rPr>
          <w:rFonts w:hint="eastAsia"/>
          <w:lang w:eastAsia="zh-CN"/>
        </w:rPr>
        <w:t>“</w:t>
      </w:r>
      <w:r>
        <w:rPr>
          <w:rFonts w:hint="eastAsia"/>
          <w:lang w:val="en-US" w:eastAsia="zh-CN"/>
        </w:rPr>
        <w:t>三定</w:t>
      </w:r>
      <w:r>
        <w:rPr>
          <w:rFonts w:hint="eastAsia"/>
          <w:lang w:eastAsia="zh-CN"/>
        </w:rPr>
        <w:t>”</w:t>
      </w:r>
      <w:r>
        <w:t>规定和机构编制管理规定的权威性和严肃性。从严从紧，严格把握部门单位机构编制调整事宜，部门单位确需调整事宜按程序办理。</w:t>
      </w:r>
    </w:p>
    <w:p>
      <w:pPr>
        <w:spacing w:before="0" w:after="0" w:line="500" w:lineRule="exact"/>
        <w:ind w:firstLine="560" w:firstLineChars="200"/>
        <w:jc w:val="left"/>
        <w:outlineLvl w:val="9"/>
        <w:rPr>
          <w:b/>
          <w:bCs/>
        </w:rPr>
      </w:pPr>
      <w:r>
        <w:rPr>
          <w:rFonts w:ascii="Times New Roman" w:hAnsi="Times New Roman" w:eastAsia="方正仿宋_GBK" w:cs="Times New Roman"/>
          <w:b/>
          <w:bCs/>
          <w:color w:val="000000"/>
          <w:sz w:val="28"/>
        </w:rPr>
        <w:t>（二）分项绩效目标</w:t>
      </w:r>
    </w:p>
    <w:p>
      <w:pPr>
        <w:pStyle w:val="24"/>
      </w:pPr>
      <w:r>
        <w:t>（一）科学盘活机构编制资源</w:t>
      </w:r>
    </w:p>
    <w:p>
      <w:pPr>
        <w:pStyle w:val="24"/>
      </w:pPr>
      <w:r>
        <w:t>绩效目标：结合机构改革、行业体制改革，进一步精简收回各类编制。加大动态调整力度；推动编制资源向重点领域和基层倾斜。</w:t>
      </w:r>
    </w:p>
    <w:p>
      <w:pPr>
        <w:pStyle w:val="24"/>
      </w:pPr>
      <w:r>
        <w:t>绩效指标：按照省市部署，积极创新编制管理，探索建立统筹使用各类编制资源的制度规定。加大机构编制资源挖潜创新和统筹调剂力度，保障重点领域机构编制需求。</w:t>
      </w:r>
    </w:p>
    <w:p>
      <w:pPr>
        <w:pStyle w:val="24"/>
      </w:pPr>
      <w:r>
        <w:t>（二）搞好党政机构改革评估工作绩效目标：按照部门“三定”规定，对各部门职责运行情况，重点是新调整的职责和部门间职责调整衔接情况进行科学评估；积极主动与省市沟通，进一步做好部门领导职数核定工作，争取最大领导职数限额。</w:t>
      </w:r>
    </w:p>
    <w:p>
      <w:pPr>
        <w:pStyle w:val="24"/>
      </w:pPr>
      <w:r>
        <w:t>绩效指标：盘活机构编制资源，根据职责确定机构和编制，科学增减，确保重要领域机构编制需求。</w:t>
      </w:r>
    </w:p>
    <w:p>
      <w:pPr>
        <w:pStyle w:val="24"/>
      </w:pPr>
      <w:r>
        <w:t>（三）抓紧推进乡镇治理能力提升工作</w:t>
      </w:r>
    </w:p>
    <w:p>
      <w:pPr>
        <w:pStyle w:val="24"/>
      </w:pPr>
      <w:r>
        <w:t>绩效目标：明晰县乡职责，规范“属地管理”办法。</w:t>
      </w:r>
    </w:p>
    <w:p>
      <w:pPr>
        <w:pStyle w:val="24"/>
      </w:pPr>
      <w:r>
        <w:t>绩效指标：一是编制涉及自然资源、生态环境、城乡建设、应急管理、市场监管、综合执法等领域主体责任和配合责任事项清单。二是依托大数据平台或智慧党建平台等建立覆盖县直职能部门、延伸至乡镇的治理体系运转平台。三是制定清单事项动态管理、部门考核评价制度等相关配套制度。</w:t>
      </w:r>
    </w:p>
    <w:p>
      <w:pPr>
        <w:spacing w:before="0" w:after="0" w:line="500" w:lineRule="exact"/>
        <w:ind w:firstLine="560" w:firstLineChars="200"/>
        <w:jc w:val="left"/>
        <w:outlineLvl w:val="9"/>
      </w:pPr>
      <w:r>
        <w:rPr>
          <w:rFonts w:ascii="Times New Roman" w:hAnsi="Times New Roman" w:eastAsia="方正仿宋_GBK" w:cs="Times New Roman"/>
          <w:b/>
          <w:bCs/>
          <w:color w:val="000000"/>
          <w:sz w:val="28"/>
        </w:rPr>
        <w:t>（三）工作保障措施</w:t>
      </w:r>
    </w:p>
    <w:p>
      <w:pPr>
        <w:pStyle w:val="25"/>
      </w:pPr>
      <w:r>
        <w:t>（一）加强组织领导</w:t>
      </w:r>
    </w:p>
    <w:p>
      <w:pPr>
        <w:pStyle w:val="25"/>
      </w:pPr>
      <w:r>
        <w:t>将事前评估、目标管理、运行监控、绩效评价、结果应用等各项改革措施，有效融入预算管理的全过程，建立健全编制预算绩效管理统筹协调、分工协作、合力推进的工作机制。围绕年度总体绩效目标和分类绩效目标，细化工作方案，明确责任主体、实施进度要求，确保如期完成。</w:t>
      </w:r>
    </w:p>
    <w:p>
      <w:pPr>
        <w:pStyle w:val="25"/>
      </w:pPr>
      <w:r>
        <w:t xml:space="preserve">（二） 狠抓任务落实 </w:t>
      </w:r>
    </w:p>
    <w:p>
      <w:pPr>
        <w:pStyle w:val="25"/>
      </w:pPr>
      <w:r>
        <w:t>按照“谁负责，谁主责”的原则，明确业务科室预算绩效管理职责</w:t>
      </w:r>
      <w:r>
        <w:rPr>
          <w:rFonts w:hint="eastAsia"/>
          <w:lang w:eastAsia="zh-CN"/>
        </w:rPr>
        <w:t>，</w:t>
      </w:r>
      <w:r>
        <w:t>确保财务与业务工作紧密衔接。</w:t>
      </w:r>
    </w:p>
    <w:p>
      <w:pPr>
        <w:pStyle w:val="25"/>
      </w:pPr>
      <w:r>
        <w:t xml:space="preserve">（三）强化预算执行   </w:t>
      </w:r>
    </w:p>
    <w:p>
      <w:pPr>
        <w:pStyle w:val="25"/>
      </w:pPr>
      <w:r>
        <w:t xml:space="preserve">强化财政预算执行的刚性约束，及时启动项目和支付资金，优化部门预算支出结构，创新财政资金支出思路，合理改进支出方式，确保按照时间节点完成支出任务。规范财政资金使用和管理，更好地发挥财政资金的使用效益。 </w:t>
      </w:r>
    </w:p>
    <w:p>
      <w:pPr>
        <w:pStyle w:val="25"/>
      </w:pPr>
      <w:r>
        <w:t>（四）健全评价机制</w:t>
      </w:r>
    </w:p>
    <w:p>
      <w:pPr>
        <w:pStyle w:val="25"/>
      </w:pPr>
      <w:r>
        <w:t>成立专门的评价工作小组，由主任任组长，副主任为副组长，财务人员和各科室股长为成员，及时发现实施中存在的问题，并研究解决对策。评价过程最大程度信息公开，规范管理和保障预算绩效工作的有效推进，做到程序规范、方法合理、结果可信。</w:t>
      </w:r>
    </w:p>
    <w:p>
      <w:pPr>
        <w:pStyle w:val="25"/>
      </w:pPr>
      <w:r>
        <w:t>（五）强化宣传引导</w:t>
      </w:r>
    </w:p>
    <w:p>
      <w:pPr>
        <w:pStyle w:val="25"/>
      </w:pPr>
      <w:r>
        <w:t>组织开展业务培训，使全办工作人员树立绩效理念，熟悉管理流程，掌握工作方法，提升管理能力。各处室积极探索工作经验，及时总结预算绩效管理经验，营造良好的舆论氛围。积极学习先进单位经验，提升预算绩效管理科学水平。</w:t>
      </w:r>
    </w:p>
    <w:p>
      <w:pPr>
        <w:pStyle w:val="25"/>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center"/>
        <w:outlineLvl w:val="9"/>
        <w:rPr>
          <w:rFonts w:ascii="方正楷体_GBK" w:hAnsi="方正楷体_GBK" w:eastAsia="方正楷体_GBK" w:cs="方正楷体_GBK"/>
          <w:b/>
          <w:color w:val="000000"/>
          <w:sz w:val="44"/>
          <w:szCs w:val="44"/>
        </w:rPr>
      </w:pPr>
    </w:p>
    <w:p>
      <w:pPr>
        <w:spacing w:before="0" w:after="0" w:line="240" w:lineRule="auto"/>
        <w:jc w:val="center"/>
        <w:outlineLvl w:val="9"/>
        <w:rPr>
          <w:rFonts w:ascii="方正楷体_GBK" w:hAnsi="方正楷体_GBK" w:eastAsia="方正楷体_GBK" w:cs="方正楷体_GBK"/>
          <w:b/>
          <w:color w:val="000000"/>
          <w:sz w:val="44"/>
          <w:szCs w:val="44"/>
        </w:rPr>
      </w:pPr>
    </w:p>
    <w:p>
      <w:pPr>
        <w:spacing w:before="0" w:after="0" w:line="240" w:lineRule="auto"/>
        <w:jc w:val="center"/>
        <w:outlineLvl w:val="9"/>
        <w:rPr>
          <w:rFonts w:ascii="方正楷体_GBK" w:hAnsi="方正楷体_GBK" w:eastAsia="方正楷体_GBK" w:cs="方正楷体_GBK"/>
          <w:b/>
          <w:color w:val="000000"/>
          <w:sz w:val="44"/>
          <w:szCs w:val="44"/>
        </w:rPr>
      </w:pPr>
    </w:p>
    <w:p>
      <w:pPr>
        <w:spacing w:before="0" w:after="0" w:line="240" w:lineRule="auto"/>
        <w:jc w:val="center"/>
        <w:outlineLvl w:val="9"/>
        <w:rPr>
          <w:rFonts w:ascii="方正楷体_GBK" w:hAnsi="方正楷体_GBK" w:eastAsia="方正楷体_GBK" w:cs="方正楷体_GBK"/>
          <w:b/>
          <w:color w:val="000000"/>
          <w:sz w:val="44"/>
          <w:szCs w:val="44"/>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spacing w:before="0" w:after="0" w:line="240" w:lineRule="auto"/>
        <w:jc w:val="left"/>
        <w:outlineLvl w:val="9"/>
        <w:rPr>
          <w:rFonts w:hint="default"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第二部分预算项目绩效目标</w:t>
      </w:r>
    </w:p>
    <w:p>
      <w:pPr>
        <w:spacing w:before="0" w:after="0"/>
        <w:jc w:val="left"/>
        <w:outlineLvl w:val="9"/>
      </w:pPr>
      <w:r>
        <w:rPr>
          <w:rFonts w:ascii="方正仿宋_GBK" w:hAnsi="方正仿宋_GBK" w:eastAsia="方正仿宋_GBK" w:cs="方正仿宋_GBK"/>
          <w:b/>
          <w:color w:val="000000"/>
          <w:sz w:val="28"/>
        </w:rPr>
        <w:t>1、党政机关、事业单位中文域名专项经费绩效目标表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1.保证资金充</w:t>
            </w:r>
            <w:r>
              <w:rPr>
                <w:rFonts w:hint="eastAsia"/>
                <w:lang w:val="en-US" w:eastAsia="zh-CN"/>
              </w:rPr>
              <w:t>足</w:t>
            </w:r>
            <w:r>
              <w:t>，确保工作顺利开展。</w:t>
            </w:r>
            <w:r>
              <w:tab/>
            </w:r>
            <w:r>
              <w:tab/>
            </w:r>
            <w:r>
              <w:tab/>
            </w:r>
            <w:r>
              <w:tab/>
            </w:r>
            <w:r>
              <w:tab/>
            </w:r>
            <w:r>
              <w:tab/>
            </w:r>
          </w:p>
          <w:p>
            <w:pPr>
              <w:pStyle w:val="14"/>
            </w:pPr>
          </w:p>
          <w:p>
            <w:pPr>
              <w:pStyle w:val="14"/>
            </w:pPr>
            <w:r>
              <w:t>2.开展党政机关网站开办审核、资格复核和网站标识管理工作，进一步规范网上名称管理。</w:t>
            </w:r>
            <w:r>
              <w:tab/>
            </w:r>
            <w:r>
              <w:tab/>
            </w:r>
            <w:r>
              <w:tab/>
            </w:r>
            <w:r>
              <w:tab/>
            </w:r>
            <w:r>
              <w:tab/>
            </w:r>
            <w:r>
              <w:tab/>
            </w:r>
          </w:p>
          <w:p>
            <w:pPr>
              <w:pStyle w:val="14"/>
            </w:pPr>
            <w:r>
              <w:tab/>
            </w:r>
            <w:r>
              <w:tab/>
            </w:r>
            <w:r>
              <w:tab/>
            </w:r>
            <w:r>
              <w:tab/>
            </w:r>
            <w:r>
              <w:tab/>
            </w:r>
            <w:r>
              <w:tab/>
            </w:r>
          </w:p>
          <w:p>
            <w:pPr>
              <w:pStyle w:val="14"/>
            </w:pPr>
          </w:p>
          <w:p>
            <w:pPr>
              <w:pStyle w:val="14"/>
            </w:pPr>
            <w:r>
              <w:t>3.12月底前支出完毕。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党政机关、事业单位中文域名专项经费支出完毕时限</w:t>
            </w:r>
          </w:p>
        </w:tc>
        <w:tc>
          <w:tcPr>
            <w:tcW w:w="2466" w:type="dxa"/>
            <w:vAlign w:val="center"/>
          </w:tcPr>
          <w:p>
            <w:pPr>
              <w:pStyle w:val="14"/>
            </w:pPr>
            <w:r>
              <w:t>12月底前</w:t>
            </w:r>
          </w:p>
        </w:tc>
        <w:tc>
          <w:tcPr>
            <w:tcW w:w="2466" w:type="dxa"/>
            <w:vAlign w:val="center"/>
          </w:tcPr>
          <w:p>
            <w:pPr>
              <w:pStyle w:val="14"/>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覆盖率</w:t>
            </w:r>
          </w:p>
        </w:tc>
        <w:tc>
          <w:tcPr>
            <w:tcW w:w="2466" w:type="dxa"/>
            <w:vAlign w:val="center"/>
          </w:tcPr>
          <w:p>
            <w:pPr>
              <w:pStyle w:val="14"/>
            </w:pPr>
            <w:r>
              <w:t>登记成功率</w:t>
            </w:r>
          </w:p>
        </w:tc>
        <w:tc>
          <w:tcPr>
            <w:tcW w:w="2466" w:type="dxa"/>
            <w:vAlign w:val="center"/>
          </w:tcPr>
          <w:p>
            <w:pPr>
              <w:pStyle w:val="14"/>
            </w:pPr>
            <w:r>
              <w:t>≥98%</w:t>
            </w:r>
          </w:p>
        </w:tc>
        <w:tc>
          <w:tcPr>
            <w:tcW w:w="2466" w:type="dxa"/>
            <w:vAlign w:val="center"/>
          </w:tcPr>
          <w:p>
            <w:pPr>
              <w:pStyle w:val="14"/>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享受单位的数量</w:t>
            </w:r>
          </w:p>
        </w:tc>
        <w:tc>
          <w:tcPr>
            <w:tcW w:w="2466" w:type="dxa"/>
            <w:vAlign w:val="center"/>
          </w:tcPr>
          <w:p>
            <w:pPr>
              <w:pStyle w:val="14"/>
            </w:pPr>
            <w:r>
              <w:t>网上登记单位个数</w:t>
            </w:r>
          </w:p>
        </w:tc>
        <w:tc>
          <w:tcPr>
            <w:tcW w:w="2466" w:type="dxa"/>
            <w:vAlign w:val="center"/>
          </w:tcPr>
          <w:p>
            <w:pPr>
              <w:pStyle w:val="14"/>
            </w:pPr>
            <w:r>
              <w:t>440个</w:t>
            </w:r>
          </w:p>
        </w:tc>
        <w:tc>
          <w:tcPr>
            <w:tcW w:w="2466" w:type="dxa"/>
            <w:vAlign w:val="center"/>
          </w:tcPr>
          <w:p>
            <w:pPr>
              <w:pStyle w:val="14"/>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支出成本标准</w:t>
            </w:r>
          </w:p>
        </w:tc>
        <w:tc>
          <w:tcPr>
            <w:tcW w:w="2466" w:type="dxa"/>
            <w:vAlign w:val="center"/>
          </w:tcPr>
          <w:p>
            <w:pPr>
              <w:pStyle w:val="14"/>
            </w:pPr>
            <w:r>
              <w:t>每个单位涉及的党政机关、事业单位中文域名专项经费的费用</w:t>
            </w:r>
          </w:p>
        </w:tc>
        <w:tc>
          <w:tcPr>
            <w:tcW w:w="2466" w:type="dxa"/>
            <w:vAlign w:val="center"/>
          </w:tcPr>
          <w:p>
            <w:pPr>
              <w:pStyle w:val="14"/>
            </w:pPr>
            <w:r>
              <w:t>100元/个</w:t>
            </w:r>
          </w:p>
        </w:tc>
        <w:tc>
          <w:tcPr>
            <w:tcW w:w="2466" w:type="dxa"/>
            <w:vAlign w:val="center"/>
          </w:tcPr>
          <w:p>
            <w:pPr>
              <w:pStyle w:val="14"/>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高质量按时完成的工作占全部工作的比例</w:t>
            </w:r>
          </w:p>
        </w:tc>
        <w:tc>
          <w:tcPr>
            <w:tcW w:w="2466" w:type="dxa"/>
            <w:vAlign w:val="center"/>
          </w:tcPr>
          <w:p>
            <w:pPr>
              <w:pStyle w:val="14"/>
            </w:pPr>
            <w:r>
              <w:t>≥99%</w:t>
            </w:r>
          </w:p>
        </w:tc>
        <w:tc>
          <w:tcPr>
            <w:tcW w:w="2466" w:type="dxa"/>
            <w:vAlign w:val="center"/>
          </w:tcPr>
          <w:p>
            <w:pPr>
              <w:pStyle w:val="14"/>
            </w:pPr>
            <w:r>
              <w:t>《做好党政机关网站登记方案》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可持续性影响的效果</w:t>
            </w:r>
          </w:p>
        </w:tc>
        <w:tc>
          <w:tcPr>
            <w:tcW w:w="2466" w:type="dxa"/>
            <w:vAlign w:val="center"/>
          </w:tcPr>
          <w:p>
            <w:pPr>
              <w:pStyle w:val="14"/>
            </w:pPr>
            <w:r>
              <w:t>对党政机关、事业单位中文域名可持续性维护的效果</w:t>
            </w:r>
          </w:p>
        </w:tc>
        <w:tc>
          <w:tcPr>
            <w:tcW w:w="2466" w:type="dxa"/>
            <w:vAlign w:val="center"/>
          </w:tcPr>
          <w:p>
            <w:pPr>
              <w:pStyle w:val="14"/>
            </w:pPr>
            <w:r>
              <w:t>≥99%</w:t>
            </w:r>
          </w:p>
        </w:tc>
        <w:tc>
          <w:tcPr>
            <w:tcW w:w="2466"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登记单位的满意度</w:t>
            </w:r>
          </w:p>
        </w:tc>
        <w:tc>
          <w:tcPr>
            <w:tcW w:w="2466" w:type="dxa"/>
            <w:vAlign w:val="center"/>
          </w:tcPr>
          <w:p>
            <w:pPr>
              <w:pStyle w:val="14"/>
            </w:pPr>
            <w:r>
              <w:t>≥99%</w:t>
            </w:r>
          </w:p>
        </w:tc>
        <w:tc>
          <w:tcPr>
            <w:tcW w:w="2466" w:type="dxa"/>
            <w:vAlign w:val="center"/>
          </w:tcPr>
          <w:p>
            <w:pPr>
              <w:pStyle w:val="14"/>
            </w:pPr>
            <w:r>
              <w:t>统计调查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2、机构编制管理运行经费绩效目标表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1.确保资金充</w:t>
            </w:r>
            <w:r>
              <w:rPr>
                <w:rFonts w:hint="eastAsia"/>
                <w:lang w:val="en-US" w:eastAsia="zh-CN"/>
              </w:rPr>
              <w:t>足</w:t>
            </w:r>
            <w:r>
              <w:t>，保障我单位机构编制管理运行正常开展。</w:t>
            </w:r>
            <w:r>
              <w:tab/>
            </w:r>
            <w:r>
              <w:tab/>
            </w:r>
            <w:r>
              <w:tab/>
            </w:r>
            <w:r>
              <w:tab/>
            </w:r>
            <w:r>
              <w:tab/>
            </w:r>
            <w:r>
              <w:tab/>
            </w:r>
          </w:p>
          <w:p>
            <w:pPr>
              <w:pStyle w:val="14"/>
            </w:pPr>
            <w:r>
              <w:tab/>
            </w:r>
            <w:r>
              <w:tab/>
            </w:r>
            <w:r>
              <w:tab/>
            </w:r>
            <w:r>
              <w:tab/>
            </w:r>
            <w:r>
              <w:tab/>
            </w:r>
            <w:r>
              <w:tab/>
            </w:r>
          </w:p>
          <w:p>
            <w:pPr>
              <w:pStyle w:val="14"/>
            </w:pPr>
          </w:p>
          <w:p>
            <w:pPr>
              <w:pStyle w:val="14"/>
            </w:pPr>
            <w:r>
              <w:t>2.根据中央编办发《2010》102号、冀机编办【2010】195号、冀机编办【2008】108号文件精神完善机构编制管理运行。</w:t>
            </w:r>
            <w:r>
              <w:tab/>
            </w:r>
            <w:r>
              <w:tab/>
            </w:r>
            <w:r>
              <w:tab/>
            </w:r>
            <w:r>
              <w:tab/>
            </w:r>
            <w:r>
              <w:tab/>
            </w:r>
            <w:r>
              <w:tab/>
            </w:r>
          </w:p>
          <w:p>
            <w:pPr>
              <w:pStyle w:val="14"/>
            </w:pPr>
          </w:p>
          <w:p>
            <w:pPr>
              <w:pStyle w:val="14"/>
            </w:pPr>
            <w:r>
              <w:t>3.预计12月底前支出完毕。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机构编制管理运行经费使用完毕时限</w:t>
            </w:r>
          </w:p>
        </w:tc>
        <w:tc>
          <w:tcPr>
            <w:tcW w:w="2466" w:type="dxa"/>
            <w:vAlign w:val="center"/>
          </w:tcPr>
          <w:p>
            <w:pPr>
              <w:pStyle w:val="14"/>
            </w:pPr>
            <w:r>
              <w:t>12月底之前</w:t>
            </w:r>
          </w:p>
        </w:tc>
        <w:tc>
          <w:tcPr>
            <w:tcW w:w="2466" w:type="dxa"/>
            <w:vAlign w:val="center"/>
          </w:tcPr>
          <w:p>
            <w:pPr>
              <w:pStyle w:val="14"/>
            </w:pPr>
            <w:r>
              <w:t>《全国机构编制部门电子政务发展规划》</w:t>
            </w:r>
          </w:p>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运行覆盖率</w:t>
            </w:r>
          </w:p>
        </w:tc>
        <w:tc>
          <w:tcPr>
            <w:tcW w:w="2466" w:type="dxa"/>
            <w:vAlign w:val="center"/>
          </w:tcPr>
          <w:p>
            <w:pPr>
              <w:pStyle w:val="14"/>
            </w:pPr>
            <w:r>
              <w:t>机构编制运行成功率</w:t>
            </w:r>
          </w:p>
        </w:tc>
        <w:tc>
          <w:tcPr>
            <w:tcW w:w="2466" w:type="dxa"/>
            <w:vAlign w:val="center"/>
          </w:tcPr>
          <w:p>
            <w:pPr>
              <w:pStyle w:val="14"/>
            </w:pPr>
            <w:r>
              <w:t>≥98%</w:t>
            </w:r>
          </w:p>
        </w:tc>
        <w:tc>
          <w:tcPr>
            <w:tcW w:w="2466" w:type="dxa"/>
            <w:vAlign w:val="center"/>
          </w:tcPr>
          <w:p>
            <w:pPr>
              <w:pStyle w:val="14"/>
            </w:pPr>
            <w:r>
              <w:t>《全国机构编制部门电子政务发展规划》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资金使用年限</w:t>
            </w:r>
          </w:p>
        </w:tc>
        <w:tc>
          <w:tcPr>
            <w:tcW w:w="2466" w:type="dxa"/>
            <w:vAlign w:val="center"/>
          </w:tcPr>
          <w:p>
            <w:pPr>
              <w:pStyle w:val="14"/>
            </w:pPr>
            <w:r>
              <w:t>机构编制管理运行经费使用年限</w:t>
            </w:r>
          </w:p>
        </w:tc>
        <w:tc>
          <w:tcPr>
            <w:tcW w:w="2466" w:type="dxa"/>
            <w:vAlign w:val="center"/>
          </w:tcPr>
          <w:p>
            <w:pPr>
              <w:pStyle w:val="14"/>
            </w:pPr>
            <w:r>
              <w:t>1年</w:t>
            </w:r>
          </w:p>
        </w:tc>
        <w:tc>
          <w:tcPr>
            <w:tcW w:w="2466" w:type="dxa"/>
            <w:vAlign w:val="center"/>
          </w:tcPr>
          <w:p>
            <w:pPr>
              <w:pStyle w:val="14"/>
            </w:pPr>
            <w:r>
              <w:t>《全国机构编制部门电子政务发展规划》</w:t>
            </w:r>
          </w:p>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成本标准</w:t>
            </w:r>
          </w:p>
        </w:tc>
        <w:tc>
          <w:tcPr>
            <w:tcW w:w="2466" w:type="dxa"/>
            <w:vAlign w:val="center"/>
          </w:tcPr>
          <w:p>
            <w:pPr>
              <w:pStyle w:val="14"/>
            </w:pPr>
            <w:r>
              <w:t>机构编制管理运行经费花费成本</w:t>
            </w:r>
          </w:p>
        </w:tc>
        <w:tc>
          <w:tcPr>
            <w:tcW w:w="2466" w:type="dxa"/>
            <w:vAlign w:val="center"/>
          </w:tcPr>
          <w:p>
            <w:pPr>
              <w:pStyle w:val="14"/>
            </w:pPr>
            <w:r>
              <w:t>15万元/年</w:t>
            </w:r>
          </w:p>
        </w:tc>
        <w:tc>
          <w:tcPr>
            <w:tcW w:w="2466" w:type="dxa"/>
            <w:vAlign w:val="center"/>
          </w:tcPr>
          <w:p>
            <w:pPr>
              <w:pStyle w:val="14"/>
            </w:pPr>
            <w:r>
              <w:t>《全国机构编制部门电子政务发展规划》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完成率</w:t>
            </w:r>
          </w:p>
        </w:tc>
        <w:tc>
          <w:tcPr>
            <w:tcW w:w="2466" w:type="dxa"/>
            <w:vAlign w:val="center"/>
          </w:tcPr>
          <w:p>
            <w:pPr>
              <w:pStyle w:val="14"/>
            </w:pPr>
            <w:r>
              <w:t>机构编制管理运行单位完成率</w:t>
            </w:r>
          </w:p>
        </w:tc>
        <w:tc>
          <w:tcPr>
            <w:tcW w:w="2466" w:type="dxa"/>
            <w:vAlign w:val="center"/>
          </w:tcPr>
          <w:p>
            <w:pPr>
              <w:pStyle w:val="14"/>
            </w:pPr>
            <w:r>
              <w:t>≥98%</w:t>
            </w:r>
          </w:p>
        </w:tc>
        <w:tc>
          <w:tcPr>
            <w:tcW w:w="2466" w:type="dxa"/>
            <w:vAlign w:val="center"/>
          </w:tcPr>
          <w:p>
            <w:pPr>
              <w:pStyle w:val="14"/>
            </w:pPr>
            <w:r>
              <w:t>《全国机构编制部门电子政务发展规划》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经费对机构管理运行的可持续性影响</w:t>
            </w:r>
          </w:p>
        </w:tc>
        <w:tc>
          <w:tcPr>
            <w:tcW w:w="2466" w:type="dxa"/>
            <w:vAlign w:val="center"/>
          </w:tcPr>
          <w:p>
            <w:pPr>
              <w:pStyle w:val="14"/>
            </w:pPr>
            <w:r>
              <w:t>≥95%</w:t>
            </w:r>
          </w:p>
        </w:tc>
        <w:tc>
          <w:tcPr>
            <w:tcW w:w="2466" w:type="dxa"/>
            <w:vAlign w:val="center"/>
          </w:tcPr>
          <w:p>
            <w:pPr>
              <w:pStyle w:val="14"/>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机构编制管理运行单位的满意度</w:t>
            </w:r>
          </w:p>
        </w:tc>
        <w:tc>
          <w:tcPr>
            <w:tcW w:w="2466" w:type="dxa"/>
            <w:vAlign w:val="center"/>
          </w:tcPr>
          <w:p>
            <w:pPr>
              <w:pStyle w:val="14"/>
            </w:pPr>
            <w:r>
              <w:t>≥97%</w:t>
            </w:r>
          </w:p>
        </w:tc>
        <w:tc>
          <w:tcPr>
            <w:tcW w:w="2466" w:type="dxa"/>
            <w:vAlign w:val="center"/>
          </w:tcPr>
          <w:p>
            <w:pPr>
              <w:pStyle w:val="14"/>
            </w:pPr>
            <w:r>
              <w:t>统计调查</w:t>
            </w:r>
          </w:p>
        </w:tc>
      </w:tr>
    </w:tbl>
    <w:p>
      <w:pPr>
        <w:sectPr>
          <w:pgSz w:w="16840" w:h="11900" w:orient="landscape"/>
          <w:pgMar w:top="1361" w:right="1020" w:bottom="1134" w:left="1020" w:header="720" w:footer="720" w:gutter="0"/>
        </w:sectPr>
      </w:pPr>
    </w:p>
    <w:p>
      <w:pPr>
        <w:spacing w:before="10" w:after="10" w:line="360" w:lineRule="auto"/>
        <w:ind w:firstLine="640"/>
        <w:jc w:val="left"/>
        <w:outlineLvl w:val="2"/>
        <w:rPr>
          <w:rFonts w:ascii="黑体" w:hAnsi="黑体" w:eastAsia="黑体" w:cs="黑体"/>
          <w:b/>
          <w:bCs/>
          <w:color w:val="000000"/>
          <w:sz w:val="36"/>
          <w:szCs w:val="36"/>
        </w:rPr>
      </w:pPr>
      <w:bookmarkStart w:id="14" w:name="_Toc_3_3_0000000015"/>
      <w:r>
        <w:rPr>
          <w:rFonts w:ascii="黑体" w:hAnsi="黑体" w:eastAsia="黑体" w:cs="黑体"/>
          <w:b/>
          <w:bCs/>
          <w:color w:val="000000"/>
          <w:sz w:val="36"/>
          <w:szCs w:val="36"/>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2023年，中共巨鹿县委机构编制委员会办公室安排政府采购预算0.00万元。具体内容见下表。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11"/>
            </w:pPr>
            <w:r>
              <w:t>225中共巨鹿县委机构编制委员会办公室</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b/>
          <w:bCs/>
          <w:color w:val="000000"/>
          <w:sz w:val="36"/>
          <w:szCs w:val="36"/>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中共巨鹿县委机构编制委员会办公室（含所属单位）上年末固定资产金额为23.48万元（详见下表）。本年度拟购置固定资产总额为0.65万元。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225中共巨鹿县委机构编制委员会办公室</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138</w:t>
            </w:r>
          </w:p>
        </w:tc>
        <w:tc>
          <w:tcPr>
            <w:tcW w:w="4933" w:type="dxa"/>
            <w:vAlign w:val="center"/>
          </w:tcPr>
          <w:p>
            <w:pPr>
              <w:pStyle w:val="13"/>
            </w:pPr>
            <w:r>
              <w:t>23.48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b/>
          <w:bCs/>
          <w:color w:val="000000"/>
          <w:sz w:val="36"/>
          <w:szCs w:val="36"/>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b/>
          <w:bCs/>
          <w:color w:val="000000"/>
          <w:sz w:val="36"/>
          <w:szCs w:val="36"/>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41EC"/>
    <w:rsid w:val="0D6611DD"/>
    <w:rsid w:val="10D003FC"/>
    <w:rsid w:val="1645356F"/>
    <w:rsid w:val="20696E97"/>
    <w:rsid w:val="25CA0F77"/>
    <w:rsid w:val="32B62221"/>
    <w:rsid w:val="370A23F4"/>
    <w:rsid w:val="3D6D3B8A"/>
    <w:rsid w:val="42712E8F"/>
    <w:rsid w:val="4D1B1647"/>
    <w:rsid w:val="4E4B55E1"/>
    <w:rsid w:val="53401887"/>
    <w:rsid w:val="67075B66"/>
    <w:rsid w:val="6DF02536"/>
    <w:rsid w:val="7A052B2A"/>
    <w:rsid w:val="7B325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2023-02-27T14:35:38Z</dcterms:created>
  <dcterms:modified xsi:type="dcterms:W3CDTF">2023-02-27T06:35:38Z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2023-02-27T14:35:37Z</dcterms:created>
  <dcterms:modified xsi:type="dcterms:W3CDTF">2023-02-27T06:35:36Z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2023-02-27T14:35:34Z</dcterms:created>
  <dcterms:modified xsi:type="dcterms:W3CDTF">2023-02-27T06:35:34Z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2023-02-27T14:35:34Z</dcterms:created>
  <dcterms:modified xsi:type="dcterms:W3CDTF">2023-02-27T06:35:34Z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2023-02-27T14:35:33Z</dcterms:created>
  <dcterms:modified xsi:type="dcterms:W3CDTF">2023-02-27T06:35:33Z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7c4bde1-eca4-4b14-bc87-9a967db85f8a}">
  <ds:schemaRefs/>
</ds:datastoreItem>
</file>

<file path=customXml/itemProps11.xml><?xml version="1.0" encoding="utf-8"?>
<ds:datastoreItem xmlns:ds="http://schemas.openxmlformats.org/officeDocument/2006/customXml" ds:itemID="{1eb5db68-26a5-4f6a-94ac-0dcc04e6ff49}">
  <ds:schemaRefs/>
</ds:datastoreItem>
</file>

<file path=customXml/itemProps12.xml><?xml version="1.0" encoding="utf-8"?>
<ds:datastoreItem xmlns:ds="http://schemas.openxmlformats.org/officeDocument/2006/customXml" ds:itemID="{839f86bb-c2e2-4252-a2f2-1007297b26ce}">
  <ds:schemaRefs/>
</ds:datastoreItem>
</file>

<file path=customXml/itemProps13.xml><?xml version="1.0" encoding="utf-8"?>
<ds:datastoreItem xmlns:ds="http://schemas.openxmlformats.org/officeDocument/2006/customXml" ds:itemID="{581775ec-1228-4fb9-b842-dd0000fe238f}">
  <ds:schemaRefs/>
</ds:datastoreItem>
</file>

<file path=customXml/itemProps14.xml><?xml version="1.0" encoding="utf-8"?>
<ds:datastoreItem xmlns:ds="http://schemas.openxmlformats.org/officeDocument/2006/customXml" ds:itemID="{9860cd43-ed9a-4a96-8473-07be8311471f}">
  <ds:schemaRefs/>
</ds:datastoreItem>
</file>

<file path=customXml/itemProps15.xml><?xml version="1.0" encoding="utf-8"?>
<ds:datastoreItem xmlns:ds="http://schemas.openxmlformats.org/officeDocument/2006/customXml" ds:itemID="{9b37ac42-a6eb-4242-b6a5-dc3d7bd8cef6}">
  <ds:schemaRefs/>
</ds:datastoreItem>
</file>

<file path=customXml/itemProps16.xml><?xml version="1.0" encoding="utf-8"?>
<ds:datastoreItem xmlns:ds="http://schemas.openxmlformats.org/officeDocument/2006/customXml" ds:itemID="{5e4d0718-4bf8-4a97-b144-8a71828a3c4a}">
  <ds:schemaRefs/>
</ds:datastoreItem>
</file>

<file path=customXml/itemProps17.xml><?xml version="1.0" encoding="utf-8"?>
<ds:datastoreItem xmlns:ds="http://schemas.openxmlformats.org/officeDocument/2006/customXml" ds:itemID="{5fbfa853-a356-45f6-bd40-98c5c6091f67}">
  <ds:schemaRefs/>
</ds:datastoreItem>
</file>

<file path=customXml/itemProps18.xml><?xml version="1.0" encoding="utf-8"?>
<ds:datastoreItem xmlns:ds="http://schemas.openxmlformats.org/officeDocument/2006/customXml" ds:itemID="{ee8db8d8-a8db-4c08-9837-bbf768502ac0}">
  <ds:schemaRefs/>
</ds:datastoreItem>
</file>

<file path=customXml/itemProps19.xml><?xml version="1.0" encoding="utf-8"?>
<ds:datastoreItem xmlns:ds="http://schemas.openxmlformats.org/officeDocument/2006/customXml" ds:itemID="{de80c861-9167-4573-ad9e-e77e5f71c127}">
  <ds:schemaRefs/>
</ds:datastoreItem>
</file>

<file path=customXml/itemProps2.xml><?xml version="1.0" encoding="utf-8"?>
<ds:datastoreItem xmlns:ds="http://schemas.openxmlformats.org/officeDocument/2006/customXml" ds:itemID="{25a2250a-c1d8-40ad-91e3-08dd9bc59520}">
  <ds:schemaRefs/>
</ds:datastoreItem>
</file>

<file path=customXml/itemProps3.xml><?xml version="1.0" encoding="utf-8"?>
<ds:datastoreItem xmlns:ds="http://schemas.openxmlformats.org/officeDocument/2006/customXml" ds:itemID="{64857106-79d3-4082-b4d1-4aebf9fe4195}">
  <ds:schemaRefs/>
</ds:datastoreItem>
</file>

<file path=customXml/itemProps4.xml><?xml version="1.0" encoding="utf-8"?>
<ds:datastoreItem xmlns:ds="http://schemas.openxmlformats.org/officeDocument/2006/customXml" ds:itemID="{8760b123-daee-432b-827e-9c20505e9f00}">
  <ds:schemaRefs/>
</ds:datastoreItem>
</file>

<file path=customXml/itemProps5.xml><?xml version="1.0" encoding="utf-8"?>
<ds:datastoreItem xmlns:ds="http://schemas.openxmlformats.org/officeDocument/2006/customXml" ds:itemID="{91726ec7-09bf-46b9-ae0c-6f8d4b06302b}">
  <ds:schemaRefs/>
</ds:datastoreItem>
</file>

<file path=customXml/itemProps6.xml><?xml version="1.0" encoding="utf-8"?>
<ds:datastoreItem xmlns:ds="http://schemas.openxmlformats.org/officeDocument/2006/customXml" ds:itemID="{ca34b0c3-6630-4ea7-8432-5d8882b3ba8d}">
  <ds:schemaRefs/>
</ds:datastoreItem>
</file>

<file path=customXml/itemProps7.xml><?xml version="1.0" encoding="utf-8"?>
<ds:datastoreItem xmlns:ds="http://schemas.openxmlformats.org/officeDocument/2006/customXml" ds:itemID="{4463b0d1-ee0b-44bf-8732-b41d27a86dcf}">
  <ds:schemaRefs/>
</ds:datastoreItem>
</file>

<file path=customXml/itemProps8.xml><?xml version="1.0" encoding="utf-8"?>
<ds:datastoreItem xmlns:ds="http://schemas.openxmlformats.org/officeDocument/2006/customXml" ds:itemID="{f27e9ecc-7c87-4360-8bab-970c9aa0a19a}">
  <ds:schemaRefs/>
</ds:datastoreItem>
</file>

<file path=customXml/itemProps9.xml><?xml version="1.0" encoding="utf-8"?>
<ds:datastoreItem xmlns:ds="http://schemas.openxmlformats.org/officeDocument/2006/customXml" ds:itemID="{39400416-2c26-4689-9383-1e5481e0d223}">
  <ds:schemaRefs/>
</ds:datastoreItem>
</file>

<file path=docProps/app.xml><?xml version="1.0" encoding="utf-8"?>
<Properties xmlns="http://schemas.openxmlformats.org/officeDocument/2006/extended-properties" xmlns:vt="http://schemas.openxmlformats.org/officeDocument/2006/docPropsVTypes">
  <Pages>43</Pages>
  <Words>8120</Words>
  <Characters>9508</Characters>
  <Lines>0</Lines>
  <Paragraphs>0</Paragraphs>
  <TotalTime>54</TotalTime>
  <ScaleCrop>false</ScaleCrop>
  <LinksUpToDate>false</LinksUpToDate>
  <CharactersWithSpaces>10281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2023-02-27T14:35:00Z</dcterms:created>
  <dc:creator>Administrator</dc:creator>
  <cp:lastModifiedBy>欧神诺</cp:lastModifiedBy>
  <dcterms:modified xsi:type="dcterms:W3CDTF">2023-09-05T02:28:36Z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