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</w:p>
    <w:p>
      <w:pPr>
        <w:widowControl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巨鹿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巨鹿镇人民政府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（上年结转）一中项目占地补偿绩效评价</w:t>
      </w:r>
    </w:p>
    <w:p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自评报告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项目概况</w:t>
      </w:r>
    </w:p>
    <w:p>
      <w:pPr>
        <w:widowControl/>
        <w:numPr>
          <w:ilvl w:val="0"/>
          <w:numId w:val="2"/>
        </w:numPr>
        <w:ind w:left="320" w:leftChars="0" w:firstLine="0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政府战略规划或目标。</w:t>
      </w:r>
    </w:p>
    <w:p>
      <w:pPr>
        <w:widowControl/>
        <w:numPr>
          <w:ilvl w:val="0"/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县委县政府重点工作规划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支付（上年结转）一中项目占地补偿。</w:t>
      </w:r>
    </w:p>
    <w:p>
      <w:pPr>
        <w:widowControl/>
        <w:numPr>
          <w:ilvl w:val="0"/>
          <w:numId w:val="2"/>
        </w:numPr>
        <w:ind w:left="320" w:leftChars="0"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单位工作目标。</w:t>
      </w:r>
    </w:p>
    <w:p>
      <w:pPr>
        <w:widowControl/>
        <w:numPr>
          <w:ilvl w:val="0"/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拨付</w:t>
      </w:r>
      <w:r>
        <w:rPr>
          <w:rFonts w:hint="eastAsia" w:ascii="仿宋" w:hAnsi="仿宋" w:eastAsia="仿宋" w:cs="仿宋"/>
          <w:kern w:val="0"/>
          <w:sz w:val="32"/>
          <w:szCs w:val="32"/>
        </w:rPr>
        <w:t>421.91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亩土地占地租金，每亩标准8.15万元。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（三）工作活动(项目)基本情况。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1、工作活动(项目)背景资料。简要说明项目名称、主要内容、主要解决的问题、项目实施依据、资金分配及历年安排情况；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我镇涉及占地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面积421.91亩，每亩租金标准为8.15万元/亩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，完成支出492.595410万元。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工作活动(项目)的可行性、必要性、有效性及其论证过程。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根据县委、县政府安排，结合实际，科学确定年度目标任务。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二、工作活动(项目)绩效目标和指标设定情况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（一）工作活动(项目)总目标、年度目标设定情况。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1.维护社会稳定,保证各项工作顺利开展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2.保证失地群众基本生活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（二）工作活动(项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目)绩效指标设定情况。</w:t>
      </w:r>
    </w:p>
    <w:tbl>
      <w:tblPr>
        <w:tblStyle w:val="7"/>
        <w:tblpPr w:leftFromText="180" w:rightFromText="180" w:vertAnchor="text" w:horzAnchor="page" w:tblpXSpec="center" w:tblpY="602"/>
        <w:tblOverlap w:val="never"/>
        <w:tblW w:w="8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464"/>
        <w:gridCol w:w="545"/>
        <w:gridCol w:w="723"/>
        <w:gridCol w:w="1968"/>
        <w:gridCol w:w="571"/>
        <w:gridCol w:w="247"/>
        <w:gridCol w:w="680"/>
        <w:gridCol w:w="747"/>
        <w:gridCol w:w="696"/>
        <w:gridCol w:w="696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四、年度绩效        指标完成情况</w:t>
            </w:r>
          </w:p>
        </w:tc>
        <w:tc>
          <w:tcPr>
            <w:tcW w:w="46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57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指标分值</w:t>
            </w:r>
          </w:p>
        </w:tc>
        <w:tc>
          <w:tcPr>
            <w:tcW w:w="16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预期指标值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单项指标实际完成值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单项指标完成情况</w:t>
            </w:r>
          </w:p>
        </w:tc>
        <w:tc>
          <w:tcPr>
            <w:tcW w:w="5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符号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单位(文字描述)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补偿金发放及时率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按时发放的补偿金占应发放补偿金的比例（百分比）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2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项目占地亩数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一中项目占地亩数（亩）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2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421.91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421.91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占地补偿标准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一中项目征地标准（万元/亩）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2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8.15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地上附着物及青苗补偿标准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一中项目地上附着物及青苗补偿标准（元/亩）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2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元/亩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补偿资金到位率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已收到补偿金额群众人数占应享受补偿金人数的比例（百分比）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2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家庭条件改善水平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通过占地补偿金的及时发放，提高失地群众家庭生活条件的比例（百分比）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2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&gt;=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群众满意数量占总数的比例。</w:t>
            </w: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2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&gt;=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</w:t>
            </w:r>
          </w:p>
        </w:tc>
        <w:tc>
          <w:tcPr>
            <w:tcW w:w="7409" w:type="dxa"/>
            <w:gridSpan w:val="10"/>
            <w:tcBorders>
              <w:tl2br w:val="nil"/>
              <w:tr2bl w:val="nil"/>
            </w:tcBorders>
            <w:shd w:val="clear" w:color="auto" w:fill="E9EFF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numPr>
          <w:ilvl w:val="0"/>
          <w:numId w:val="1"/>
        </w:numPr>
        <w:ind w:left="1192" w:leftChars="0" w:hanging="72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工作活动(项目)实施绩效管理情况及取得成绩</w:t>
      </w: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（一）计划制定和落实情况。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按照项目总体目标和年度目标，制定详细可行的工作活动(项目)实施计划，并按节点推进落实，健全完善相关制度。</w:t>
      </w: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（二）绩效评价指标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预算批复后，我单位及时制定细化绩效目标，全力推进项目实施，配合县财政部门认真进行项目绩效监控，收集并分析绩效信息，强化绩效管理，确保绩效运行全程可控。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（三）资金管理情况。项目资金全部为县级资金，已全部到位。项目实施后，资金实际支出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（四）绩效管理制度建设及执行情况。认真落实上级绩效管理相关制度，细化内控制度，强化管理执行，确保严格落实到位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四、工作活动(项目)绩效自评情况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（一）工作活动(项目)自评组织情况。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成立了由单位主管领导任组长的工作项目自评小组，负责项目的绩效自评，确保自评工作的客观、真实、全面。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（二）工作活动(项目)评价结果。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根据相关要求，对照绩效目标和相关指标，经认真自评，该项目得分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分，属于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等次。</w:t>
      </w:r>
    </w:p>
    <w:p>
      <w:pPr>
        <w:widowControl/>
        <w:ind w:firstLine="312" w:firstLineChars="9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五、工作活动(项目)存在的问题、改进工作的意见及建议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（一）工作活动(项目)实现绩效目标过程中存在的问题。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工作人员知识匮乏，缺乏系统性、常态化的培训学习。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（二）工作活动(项目)实施中改进意见及措施。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加强对单位领导和工作人员法律法规和业务知识培训学习，提升镇区工作人员能力和素质。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widowControl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巨鹿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巨鹿镇人民政府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巨鹿镇道路及绿化带土地补偿绩效评价</w:t>
      </w:r>
    </w:p>
    <w:p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自评报告</w:t>
      </w:r>
    </w:p>
    <w:p>
      <w:pPr>
        <w:pStyle w:val="10"/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项目概况</w:t>
      </w:r>
    </w:p>
    <w:p>
      <w:pPr>
        <w:widowControl/>
        <w:numPr>
          <w:ilvl w:val="0"/>
          <w:numId w:val="0"/>
        </w:numPr>
        <w:ind w:left="320" w:left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(一）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政府战略规划或目标。</w:t>
      </w:r>
    </w:p>
    <w:p>
      <w:pPr>
        <w:widowControl/>
        <w:numPr>
          <w:ilvl w:val="0"/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县委县政府重点工作规划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支付巨鹿镇道路及绿化带土地补偿。</w:t>
      </w:r>
    </w:p>
    <w:p>
      <w:pPr>
        <w:widowControl/>
        <w:numPr>
          <w:ilvl w:val="0"/>
          <w:numId w:val="0"/>
        </w:numPr>
        <w:ind w:left="320" w:left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单位工作目标。</w:t>
      </w:r>
    </w:p>
    <w:p>
      <w:pPr>
        <w:widowControl/>
        <w:numPr>
          <w:ilvl w:val="0"/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拨付324.71亩土地占地租金，每亩标准1950元。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（三）工作活动(项目)基本情况。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1、工作活动(项目)背景资料。简要说明项目名称、主要内容、主要解决的问题、项目实施依据、资金分配及历年安排情况；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我镇涉及占地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面积324.71亩，每亩租金标准为1950斤小麦（时价1.5元）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，完成支出595.375052万元。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工作活动(项目)的可行性、必要性、有效性及其论证过程。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根据县委、县政府安排，结合实际，科学确定年度目标任务。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二、工作活动(项目)绩效目标和指标设定情况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（一）工作活动(项目)总目标、年度目标设定情况。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1.维护社会稳定,保证各项工作顺利开展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2.保证失地群众基本生活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（二）工作活动(项目)绩效指标设定情况。</w:t>
      </w:r>
    </w:p>
    <w:tbl>
      <w:tblPr>
        <w:tblStyle w:val="7"/>
        <w:tblW w:w="852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3"/>
        <w:gridCol w:w="1241"/>
        <w:gridCol w:w="2998"/>
        <w:gridCol w:w="1005"/>
        <w:gridCol w:w="13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补偿亩数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需补偿土地款的总亩数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324.71</w:t>
            </w:r>
            <w:r>
              <w:rPr>
                <w:rFonts w:hint="eastAsia" w:ascii="方正书宋_GBK" w:eastAsia="方正书宋_GBK"/>
              </w:rPr>
              <w:t>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县委县政府重点工作规划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补贴到位率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已收到补偿金额群众人数占应享受补偿金人数的比例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支付及时率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补贴发放及时率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补贴发放标准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每亩应补偿的金额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1950</w:t>
            </w:r>
            <w:r>
              <w:rPr>
                <w:rFonts w:hint="eastAsia" w:ascii="方正书宋_GBK" w:eastAsia="方正书宋_GBK"/>
              </w:rPr>
              <w:t>元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县委县政府重点工作规划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家庭条件改善水平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通过占地补偿金的及时发放，提高失地群众家庭生活条件的比例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能够较好地满足人民群众出行需求的时间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农户满意度（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调查中满意和较满意的农户数量占全部调查人数的比率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</w:tbl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工作活动(项目)实施绩效管理情况及取得成绩</w:t>
      </w: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（一）计划制定和落实情况。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按照项目总体目标和年度目标，制定详细可行的工作活动(项目)实施计划，并按节点推进落实，健全完善相关制度。</w:t>
      </w: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（二）绩效评价指标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预算批复后，我单位及时制定细化绩效目标，全力推进项目实施，配合县财政部门认真进行项目绩效监控，收集并分析绩效信息，强化绩效管理，确保绩效运行全程可控。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（三）资金管理情况。项目资金全部为县级资金，已全部到位。项目实施后，资金实际支出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99.3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（四）绩效管理制度建设及执行情况。认真落实上级绩效管理相关制度，细化内控制度，强化管理执行，确保严格落实到位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四、工作活动(项目)绩效自评情况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（一）工作活动(项目)自评组织情况。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成立了由单位主管领导任组长的工作项目自评小组，负责项目的绩效自评，确保自评工作的客观、真实、全面。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（二）工作活动(项目)评价结果。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根据相关要求，对照绩效目标和相关指标，经认真自评，该项目得分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分，属于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等次。</w:t>
      </w:r>
    </w:p>
    <w:p>
      <w:pPr>
        <w:widowControl/>
        <w:ind w:firstLine="312" w:firstLineChars="9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五、工作活动(项目)存在的问题、改进工作的意见及建议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（一）工作活动(项目)实现绩效目标过程中存在的问题。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工作人员知识匮乏，缺乏系统性、常态化的培训学习。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（二）工作活动(项目)实施中改进意见及措施。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加强对单位领导和工作人员法律法规和业务知识培训学习，提升镇区工作人员能力和素质。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EA3"/>
    <w:multiLevelType w:val="multilevel"/>
    <w:tmpl w:val="13874EA3"/>
    <w:lvl w:ilvl="0" w:tentative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7B09FDD2"/>
    <w:multiLevelType w:val="singleLevel"/>
    <w:tmpl w:val="7B09FDD2"/>
    <w:lvl w:ilvl="0" w:tentative="0">
      <w:start w:val="1"/>
      <w:numFmt w:val="chineseCounting"/>
      <w:suff w:val="nothing"/>
      <w:lvlText w:val="（%1）"/>
      <w:lvlJc w:val="left"/>
      <w:pPr>
        <w:ind w:left="32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47EA"/>
    <w:rsid w:val="000B6188"/>
    <w:rsid w:val="001D2EAA"/>
    <w:rsid w:val="002C71AF"/>
    <w:rsid w:val="0036746E"/>
    <w:rsid w:val="00476898"/>
    <w:rsid w:val="00584A12"/>
    <w:rsid w:val="00661BB7"/>
    <w:rsid w:val="006A012B"/>
    <w:rsid w:val="006C0284"/>
    <w:rsid w:val="00767F1C"/>
    <w:rsid w:val="007A1805"/>
    <w:rsid w:val="008E0144"/>
    <w:rsid w:val="00C047EA"/>
    <w:rsid w:val="00C569E2"/>
    <w:rsid w:val="00C91487"/>
    <w:rsid w:val="00CA444D"/>
    <w:rsid w:val="00FC3534"/>
    <w:rsid w:val="00FE09BC"/>
    <w:rsid w:val="031155FF"/>
    <w:rsid w:val="0B9E209C"/>
    <w:rsid w:val="452F673B"/>
    <w:rsid w:val="5CFD38CE"/>
    <w:rsid w:val="6F3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eastAsia="宋体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41"/>
    <w:basedOn w:val="6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8</TotalTime>
  <ScaleCrop>false</ScaleCrop>
  <LinksUpToDate>false</LinksUpToDate>
  <CharactersWithSpaces>637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2022-03-02T02:51:00Z</dcterms:created>
  <dc:creator>lenovo</dc:creator>
  <cp:lastModifiedBy>迈步千里看今朝</cp:lastModifiedBy>
  <cp:lastPrinted>2022-03-03T03:27:00Z</cp:lastPrinted>
  <dcterms:modified xsi:type="dcterms:W3CDTF">2023-03-27T06:41:31Z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