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auto"/>
        <w:rPr>
          <w:rFonts w:ascii="Times New Roman" w:hAnsi="Times New Roman" w:eastAsia="黑体" w:cs="Times New Roman"/>
          <w:color w:val="000000"/>
          <w:sz w:val="30"/>
          <w:szCs w:val="30"/>
        </w:rPr>
      </w:pPr>
      <w:r>
        <w:rPr>
          <w:rFonts w:ascii="Times New Roman" w:hAnsi="黑体" w:eastAsia="黑体" w:cs="Times New Roman"/>
          <w:color w:val="000000"/>
          <w:sz w:val="30"/>
          <w:szCs w:val="30"/>
        </w:rPr>
        <w:t>附件</w:t>
      </w:r>
      <w:r>
        <w:rPr>
          <w:rFonts w:hint="eastAsia" w:ascii="Times New Roman" w:hAnsi="Times New Roman" w:eastAsia="黑体" w:cs="Times New Roman"/>
          <w:color w:val="000000"/>
          <w:sz w:val="30"/>
          <w:szCs w:val="30"/>
        </w:rPr>
        <w:t>3</w:t>
      </w:r>
    </w:p>
    <w:p>
      <w:pPr>
        <w:spacing w:line="400" w:lineRule="exact"/>
        <w:jc w:val="center"/>
        <w:rPr>
          <w:rFonts w:ascii="宋体" w:hAnsi="宋体" w:eastAsia="宋体" w:cs="宋体"/>
          <w:b/>
          <w:spacing w:val="-20"/>
          <w:sz w:val="40"/>
        </w:rPr>
      </w:pPr>
    </w:p>
    <w:p>
      <w:pPr>
        <w:spacing w:line="580" w:lineRule="auto"/>
        <w:jc w:val="center"/>
        <w:rPr>
          <w:rFonts w:hint="eastAsia" w:ascii="宋体" w:hAnsi="宋体" w:eastAsia="宋体" w:cs="宋体"/>
          <w:b/>
          <w:spacing w:val="-20"/>
          <w:sz w:val="40"/>
        </w:rPr>
      </w:pPr>
      <w:r>
        <w:rPr>
          <w:rFonts w:ascii="宋体" w:hAnsi="宋体" w:eastAsia="宋体" w:cs="宋体"/>
          <w:b/>
          <w:spacing w:val="-20"/>
          <w:sz w:val="40"/>
        </w:rPr>
        <w:t>巨鹿县</w:t>
      </w:r>
      <w:r>
        <w:rPr>
          <w:rFonts w:hint="eastAsia" w:ascii="宋体" w:hAnsi="宋体" w:eastAsia="宋体" w:cs="宋体"/>
          <w:b/>
          <w:spacing w:val="-20"/>
          <w:sz w:val="40"/>
        </w:rPr>
        <w:t>县级以下英雄烈士纪念设施整修工程</w:t>
      </w:r>
    </w:p>
    <w:p>
      <w:pPr>
        <w:spacing w:line="580" w:lineRule="auto"/>
        <w:jc w:val="center"/>
        <w:rPr>
          <w:rFonts w:ascii="仿宋_GB2312" w:hAnsi="仿宋_GB2312" w:eastAsia="仿宋_GB2312" w:cs="仿宋_GB2312"/>
          <w:b/>
          <w:sz w:val="40"/>
        </w:rPr>
      </w:pPr>
      <w:r>
        <w:rPr>
          <w:rFonts w:ascii="宋体" w:hAnsi="宋体" w:eastAsia="宋体" w:cs="宋体"/>
          <w:b/>
          <w:sz w:val="40"/>
        </w:rPr>
        <w:t>项目重点自评绩效报告</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auto"/>
        <w:ind w:firstLine="655" w:firstLineChars="234"/>
        <w:rPr>
          <w:rFonts w:ascii="仿宋_GB2312" w:hAnsi="仿宋_GB2312" w:eastAsia="仿宋_GB2312" w:cs="仿宋_GB2312"/>
          <w:sz w:val="28"/>
          <w:u w:val="single"/>
        </w:rPr>
      </w:pPr>
      <w:r>
        <w:rPr>
          <w:rFonts w:ascii="宋体" w:hAnsi="宋体" w:eastAsia="宋体" w:cs="宋体"/>
          <w:sz w:val="28"/>
          <w:u w:val="single"/>
        </w:rPr>
        <w:t>项</w:t>
      </w:r>
      <w:r>
        <w:rPr>
          <w:rFonts w:ascii="仿宋_GB2312" w:hAnsi="仿宋_GB2312" w:eastAsia="仿宋_GB2312" w:cs="仿宋_GB2312"/>
          <w:sz w:val="28"/>
          <w:u w:val="single"/>
        </w:rPr>
        <w:t xml:space="preserve"> </w:t>
      </w:r>
      <w:r>
        <w:rPr>
          <w:rFonts w:ascii="宋体" w:hAnsi="宋体" w:eastAsia="宋体" w:cs="宋体"/>
          <w:sz w:val="28"/>
          <w:u w:val="single"/>
        </w:rPr>
        <w:t>目</w:t>
      </w:r>
      <w:r>
        <w:rPr>
          <w:rFonts w:ascii="仿宋_GB2312" w:hAnsi="仿宋_GB2312" w:eastAsia="仿宋_GB2312" w:cs="仿宋_GB2312"/>
          <w:sz w:val="28"/>
          <w:u w:val="single"/>
        </w:rPr>
        <w:t xml:space="preserve"> </w:t>
      </w:r>
      <w:r>
        <w:rPr>
          <w:rFonts w:ascii="宋体" w:hAnsi="宋体" w:eastAsia="宋体" w:cs="宋体"/>
          <w:sz w:val="28"/>
          <w:u w:val="single"/>
        </w:rPr>
        <w:t>名</w:t>
      </w:r>
      <w:r>
        <w:rPr>
          <w:rFonts w:ascii="仿宋_GB2312" w:hAnsi="仿宋_GB2312" w:eastAsia="仿宋_GB2312" w:cs="仿宋_GB2312"/>
          <w:sz w:val="28"/>
          <w:u w:val="single"/>
        </w:rPr>
        <w:t xml:space="preserve"> </w:t>
      </w:r>
      <w:r>
        <w:rPr>
          <w:rFonts w:ascii="宋体" w:hAnsi="宋体" w:eastAsia="宋体" w:cs="宋体"/>
          <w:sz w:val="28"/>
          <w:u w:val="single"/>
        </w:rPr>
        <w:t>称：</w:t>
      </w:r>
      <w:r>
        <w:rPr>
          <w:rFonts w:hint="eastAsia" w:ascii="仿宋_GB2312" w:hAnsi="仿宋_GB2312" w:eastAsia="仿宋_GB2312" w:cs="仿宋_GB2312"/>
          <w:sz w:val="28"/>
          <w:u w:val="single"/>
        </w:rPr>
        <w:t>县级以下英雄烈士纪念设施整修工程</w:t>
      </w:r>
      <w:r>
        <w:rPr>
          <w:rFonts w:ascii="宋体" w:hAnsi="宋体" w:eastAsia="宋体" w:cs="宋体"/>
          <w:sz w:val="28"/>
          <w:u w:val="single"/>
        </w:rPr>
        <w:t>项目</w:t>
      </w:r>
    </w:p>
    <w:p>
      <w:pPr>
        <w:spacing w:line="760" w:lineRule="auto"/>
        <w:ind w:firstLine="655" w:firstLineChars="234"/>
        <w:rPr>
          <w:rFonts w:hint="eastAsia" w:ascii="仿宋_GB2312" w:hAnsi="仿宋_GB2312" w:eastAsia="仿宋_GB2312" w:cs="仿宋_GB2312"/>
          <w:sz w:val="28"/>
          <w:u w:val="single"/>
        </w:rPr>
      </w:pPr>
      <w:r>
        <w:rPr>
          <w:rFonts w:ascii="宋体" w:hAnsi="宋体" w:eastAsia="宋体" w:cs="宋体"/>
          <w:sz w:val="28"/>
          <w:u w:val="single"/>
        </w:rPr>
        <w:t>项目实施单位：：</w:t>
      </w:r>
      <w:r>
        <w:rPr>
          <w:rFonts w:hint="eastAsia" w:ascii="宋体" w:hAnsi="宋体" w:eastAsia="宋体" w:cs="宋体"/>
          <w:sz w:val="28"/>
          <w:u w:val="single"/>
        </w:rPr>
        <w:t xml:space="preserve">     </w:t>
      </w:r>
      <w:r>
        <w:rPr>
          <w:rFonts w:hint="eastAsia" w:ascii="仿宋_GB2312" w:hAnsi="仿宋_GB2312" w:eastAsia="仿宋_GB2312" w:cs="仿宋_GB2312"/>
          <w:sz w:val="28"/>
          <w:u w:val="single"/>
        </w:rPr>
        <w:t xml:space="preserve">巨鹿县退役军人事务局         </w:t>
      </w:r>
    </w:p>
    <w:p>
      <w:pPr>
        <w:spacing w:line="760" w:lineRule="auto"/>
        <w:ind w:firstLine="655" w:firstLineChars="234"/>
        <w:rPr>
          <w:rFonts w:ascii="仿宋_GB2312" w:hAnsi="仿宋_GB2312" w:eastAsia="仿宋_GB2312" w:cs="仿宋_GB2312"/>
          <w:sz w:val="28"/>
          <w:u w:val="single"/>
        </w:rPr>
      </w:pPr>
      <w:r>
        <w:rPr>
          <w:rFonts w:ascii="宋体" w:hAnsi="宋体" w:eastAsia="宋体" w:cs="宋体"/>
          <w:sz w:val="28"/>
          <w:u w:val="single"/>
        </w:rPr>
        <w:t>项目总金额：</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105.4</w:t>
      </w:r>
      <w:r>
        <w:rPr>
          <w:rFonts w:ascii="宋体" w:hAnsi="宋体" w:eastAsia="宋体" w:cs="宋体"/>
          <w:sz w:val="28"/>
          <w:u w:val="single"/>
        </w:rPr>
        <w:t>万元</w:t>
      </w:r>
    </w:p>
    <w:p>
      <w:pPr>
        <w:spacing w:line="760" w:lineRule="auto"/>
        <w:ind w:firstLine="655" w:firstLineChars="234"/>
        <w:rPr>
          <w:rFonts w:ascii="仿宋_GB2312" w:hAnsi="仿宋_GB2312" w:eastAsia="仿宋_GB2312" w:cs="仿宋_GB2312"/>
          <w:sz w:val="28"/>
          <w:u w:val="single"/>
        </w:rPr>
      </w:pPr>
      <w:r>
        <w:rPr>
          <w:rFonts w:ascii="宋体" w:hAnsi="宋体" w:eastAsia="宋体" w:cs="宋体"/>
          <w:sz w:val="28"/>
          <w:u w:val="single"/>
        </w:rPr>
        <w:t>评</w:t>
      </w:r>
      <w:r>
        <w:rPr>
          <w:rFonts w:ascii="仿宋_GB2312" w:hAnsi="仿宋_GB2312" w:eastAsia="仿宋_GB2312" w:cs="仿宋_GB2312"/>
          <w:sz w:val="28"/>
          <w:u w:val="single"/>
        </w:rPr>
        <w:t xml:space="preserve"> </w:t>
      </w:r>
      <w:r>
        <w:rPr>
          <w:rFonts w:ascii="宋体" w:hAnsi="宋体" w:eastAsia="宋体" w:cs="宋体"/>
          <w:sz w:val="28"/>
          <w:u w:val="single"/>
        </w:rPr>
        <w:t>价</w:t>
      </w:r>
      <w:r>
        <w:rPr>
          <w:rFonts w:ascii="仿宋_GB2312" w:hAnsi="仿宋_GB2312" w:eastAsia="仿宋_GB2312" w:cs="仿宋_GB2312"/>
          <w:sz w:val="28"/>
          <w:u w:val="single"/>
        </w:rPr>
        <w:t xml:space="preserve"> </w:t>
      </w:r>
      <w:r>
        <w:rPr>
          <w:rFonts w:ascii="宋体" w:hAnsi="宋体" w:eastAsia="宋体" w:cs="宋体"/>
          <w:sz w:val="28"/>
          <w:u w:val="single"/>
        </w:rPr>
        <w:t>年</w:t>
      </w:r>
      <w:r>
        <w:rPr>
          <w:rFonts w:ascii="仿宋_GB2312" w:hAnsi="仿宋_GB2312" w:eastAsia="仿宋_GB2312" w:cs="仿宋_GB2312"/>
          <w:sz w:val="28"/>
          <w:u w:val="single"/>
        </w:rPr>
        <w:t xml:space="preserve"> </w:t>
      </w:r>
      <w:r>
        <w:rPr>
          <w:rFonts w:ascii="宋体" w:hAnsi="宋体" w:eastAsia="宋体" w:cs="宋体"/>
          <w:sz w:val="28"/>
          <w:u w:val="single"/>
        </w:rPr>
        <w:t>度：</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ascii="仿宋_GB2312" w:hAnsi="仿宋_GB2312" w:eastAsia="仿宋_GB2312" w:cs="仿宋_GB2312"/>
          <w:sz w:val="28"/>
          <w:u w:val="single"/>
        </w:rPr>
        <w:t xml:space="preserve">  2022</w:t>
      </w:r>
      <w:r>
        <w:rPr>
          <w:rFonts w:ascii="宋体" w:hAnsi="宋体" w:eastAsia="宋体" w:cs="宋体"/>
          <w:sz w:val="28"/>
          <w:u w:val="single"/>
        </w:rPr>
        <w:t>年度</w:t>
      </w:r>
    </w:p>
    <w:p>
      <w:pPr>
        <w:spacing w:line="760" w:lineRule="auto"/>
        <w:ind w:firstLine="655" w:firstLineChars="234"/>
        <w:rPr>
          <w:rFonts w:hint="eastAsia" w:ascii="仿宋_GB2312" w:hAnsi="仿宋_GB2312" w:eastAsia="仿宋_GB2312" w:cs="仿宋_GB2312"/>
          <w:sz w:val="28"/>
          <w:u w:val="single"/>
          <w:lang w:val="en-US" w:eastAsia="zh-CN"/>
        </w:rPr>
      </w:pPr>
      <w:r>
        <w:rPr>
          <w:rFonts w:ascii="宋体" w:hAnsi="宋体" w:eastAsia="宋体" w:cs="宋体"/>
          <w:sz w:val="28"/>
          <w:u w:val="single"/>
        </w:rPr>
        <w:t>评价组组长：</w:t>
      </w:r>
      <w:r>
        <w:rPr>
          <w:rFonts w:hint="eastAsia" w:ascii="宋体" w:hAnsi="宋体" w:eastAsia="宋体" w:cs="宋体"/>
          <w:sz w:val="28"/>
          <w:u w:val="single"/>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刘献慧</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rPr>
        <w:t xml:space="preserve">     </w:t>
      </w:r>
      <w:r>
        <w:rPr>
          <w:rFonts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p>
    <w:p>
      <w:pPr>
        <w:spacing w:line="760" w:lineRule="auto"/>
        <w:ind w:firstLine="655" w:firstLineChars="234"/>
      </w:pPr>
      <w:r>
        <w:rPr>
          <w:rFonts w:ascii="宋体" w:hAnsi="宋体" w:eastAsia="宋体" w:cs="宋体"/>
          <w:sz w:val="28"/>
          <w:u w:val="single"/>
        </w:rPr>
        <w:t>评价组成员：</w:t>
      </w:r>
      <w:r>
        <w:rPr>
          <w:rFonts w:hint="eastAsia" w:ascii="宋体" w:hAnsi="宋体" w:eastAsia="宋体" w:cs="宋体"/>
          <w:sz w:val="28"/>
          <w:u w:val="single"/>
        </w:rPr>
        <w:t xml:space="preserve">     </w:t>
      </w:r>
      <w:r>
        <w:rPr>
          <w:rFonts w:hint="eastAsia" w:ascii="仿宋_GB2312" w:hAnsi="仿宋_GB2312" w:eastAsia="仿宋_GB2312" w:cs="仿宋_GB2312"/>
          <w:sz w:val="28"/>
          <w:u w:val="single"/>
          <w:lang w:eastAsia="zh-CN"/>
        </w:rPr>
        <w:t>张少辉</w:t>
      </w:r>
      <w:r>
        <w:rPr>
          <w:rFonts w:hint="eastAsia" w:ascii="宋体" w:hAnsi="宋体" w:eastAsia="宋体" w:cs="宋体"/>
          <w:sz w:val="28"/>
          <w:u w:val="single"/>
        </w:rPr>
        <w:t xml:space="preserve"> </w:t>
      </w:r>
      <w:r>
        <w:rPr>
          <w:rFonts w:hint="eastAsia" w:ascii="仿宋_GB2312" w:hAnsi="仿宋_GB2312" w:eastAsia="仿宋_GB2312" w:cs="仿宋_GB2312"/>
          <w:sz w:val="28"/>
          <w:u w:val="single"/>
        </w:rPr>
        <w:t xml:space="preserve">    潘雷      </w:t>
      </w:r>
      <w:r>
        <w:rPr>
          <w:rFonts w:hint="eastAsia" w:ascii="仿宋_GB2312" w:hAnsi="仿宋_GB2312" w:eastAsia="仿宋_GB2312" w:cs="仿宋_GB2312"/>
          <w:sz w:val="28"/>
          <w:u w:val="single"/>
          <w:lang w:eastAsia="zh-CN"/>
        </w:rPr>
        <w:t>卢晓娟</w:t>
      </w:r>
      <w:bookmarkStart w:id="0" w:name="_GoBack"/>
      <w:bookmarkEnd w:id="0"/>
      <w:r>
        <w:rPr>
          <w:rFonts w:hint="eastAsia" w:ascii="仿宋_GB2312" w:hAnsi="仿宋_GB2312" w:eastAsia="仿宋_GB2312" w:cs="仿宋_GB2312"/>
          <w:sz w:val="28"/>
          <w:u w:val="single"/>
        </w:rPr>
        <w:t xml:space="preserve"> </w:t>
      </w:r>
      <w:r>
        <w:rPr>
          <w:rFonts w:hint="eastAsia" w:ascii="仿宋_GB2312" w:hAnsi="仿宋_GB2312" w:eastAsia="仿宋_GB2312" w:cs="仿宋_GB2312"/>
          <w:sz w:val="28"/>
          <w:u w:val="single"/>
          <w:lang w:val="en-US" w:eastAsia="zh-CN"/>
        </w:rPr>
        <w:t xml:space="preserve">    </w:t>
      </w:r>
    </w:p>
    <w:p/>
    <w:p>
      <w:pPr>
        <w:spacing w:line="580" w:lineRule="auto"/>
        <w:ind w:firstLine="643"/>
        <w:rPr>
          <w:rFonts w:ascii="仿宋_GB2312" w:hAnsi="仿宋_GB2312" w:eastAsia="仿宋_GB2312" w:cs="仿宋_GB2312"/>
          <w:b/>
          <w:sz w:val="32"/>
        </w:rPr>
      </w:pPr>
      <w:r>
        <w:rPr>
          <w:rFonts w:ascii="宋体" w:hAnsi="宋体" w:eastAsia="宋体" w:cs="宋体"/>
          <w:b/>
          <w:sz w:val="32"/>
        </w:rPr>
        <w:t>一、项目概况</w:t>
      </w:r>
    </w:p>
    <w:p>
      <w:pPr>
        <w:spacing w:line="580" w:lineRule="auto"/>
        <w:ind w:firstLine="640"/>
        <w:rPr>
          <w:rFonts w:ascii="仿宋_GB2312" w:hAnsi="仿宋_GB2312" w:eastAsia="仿宋_GB2312" w:cs="仿宋_GB2312"/>
          <w:sz w:val="32"/>
        </w:rPr>
      </w:pPr>
      <w:r>
        <w:rPr>
          <w:rFonts w:ascii="宋体" w:hAnsi="宋体" w:eastAsia="宋体" w:cs="宋体"/>
          <w:sz w:val="32"/>
        </w:rPr>
        <w:t>（一）项目单位基本情况</w:t>
      </w:r>
    </w:p>
    <w:p>
      <w:pPr>
        <w:spacing w:line="580" w:lineRule="auto"/>
        <w:ind w:firstLine="640"/>
        <w:rPr>
          <w:rFonts w:ascii="仿宋_GB2312" w:hAnsi="仿宋_GB2312" w:eastAsia="仿宋_GB2312" w:cs="仿宋_GB2312"/>
          <w:sz w:val="32"/>
        </w:rPr>
      </w:pPr>
      <w:r>
        <w:rPr>
          <w:rFonts w:hint="eastAsia" w:ascii="宋体" w:hAnsi="宋体" w:eastAsia="宋体" w:cs="宋体"/>
          <w:sz w:val="32"/>
        </w:rPr>
        <w:t>巨鹿县县级以下英雄烈士纪念设施整修工程项目的项目实施单位为巨鹿县退役军人事务局，施工单位为曲阳县中蓝建筑工程有限公司，该单位位于河北省保定市曲阳县路庄子乡安羊村村西</w:t>
      </w:r>
      <w:r>
        <w:rPr>
          <w:rFonts w:ascii="宋体" w:hAnsi="宋体" w:eastAsia="宋体" w:cs="宋体"/>
          <w:sz w:val="32"/>
        </w:rPr>
        <w:t>。</w:t>
      </w:r>
    </w:p>
    <w:p>
      <w:pPr>
        <w:spacing w:line="580" w:lineRule="auto"/>
        <w:ind w:firstLine="640"/>
        <w:rPr>
          <w:rFonts w:ascii="仿宋_GB2312" w:hAnsi="仿宋_GB2312" w:eastAsia="仿宋_GB2312" w:cs="仿宋_GB2312"/>
          <w:sz w:val="32"/>
        </w:rPr>
      </w:pPr>
      <w:r>
        <w:rPr>
          <w:rFonts w:ascii="宋体" w:hAnsi="宋体" w:eastAsia="宋体" w:cs="宋体"/>
          <w:sz w:val="32"/>
        </w:rPr>
        <w:t>（二）项目基本情况</w:t>
      </w:r>
    </w:p>
    <w:p>
      <w:pPr>
        <w:spacing w:line="580" w:lineRule="auto"/>
        <w:ind w:firstLine="640"/>
        <w:rPr>
          <w:rFonts w:ascii="仿宋_GB2312" w:hAnsi="仿宋_GB2312" w:eastAsia="仿宋_GB2312" w:cs="仿宋_GB2312"/>
          <w:sz w:val="32"/>
        </w:rPr>
      </w:pPr>
      <w:r>
        <w:rPr>
          <w:rFonts w:hint="eastAsia" w:ascii="宋体" w:hAnsi="宋体" w:eastAsia="宋体" w:cs="宋体"/>
          <w:sz w:val="32"/>
        </w:rPr>
        <w:t>该项目地点位于定魏县南侧，巨鹿县看守所西邻。整修项目：陵园内新迁建烈士墓96座并配花岗岩卧碑（撰刻烈士资料）、新建蓄水池1座并配水泵1台、修缮仿古亭3座、新铺设花岗岩地面265.3平米、7厘米厚花岗岩路缘石213.39米，翻新王虎寨镇寻虎村烈士纪念碑1座，在各村原址新立黑色花岗岩烈士墓碑68座，栽植塔桧24棵，在纪念馆安装立式空调2台。工程完工后将全面提升我县烈士纪念设施管护水平。该项资金105.4万。</w:t>
      </w:r>
    </w:p>
    <w:p>
      <w:pPr>
        <w:spacing w:line="580" w:lineRule="auto"/>
        <w:ind w:firstLine="643"/>
        <w:rPr>
          <w:rFonts w:ascii="仿宋_GB2312" w:hAnsi="仿宋_GB2312" w:eastAsia="仿宋_GB2312" w:cs="仿宋_GB2312"/>
          <w:b/>
          <w:sz w:val="32"/>
        </w:rPr>
      </w:pPr>
      <w:r>
        <w:rPr>
          <w:rFonts w:ascii="宋体" w:hAnsi="宋体" w:eastAsia="宋体" w:cs="宋体"/>
          <w:b/>
          <w:sz w:val="32"/>
        </w:rPr>
        <w:t>二、项目实施情况</w:t>
      </w:r>
    </w:p>
    <w:p>
      <w:pPr>
        <w:spacing w:line="580" w:lineRule="auto"/>
        <w:ind w:firstLine="640"/>
        <w:rPr>
          <w:rFonts w:ascii="仿宋_GB2312" w:hAnsi="仿宋_GB2312" w:eastAsia="仿宋_GB2312" w:cs="仿宋_GB2312"/>
          <w:sz w:val="32"/>
        </w:rPr>
      </w:pPr>
      <w:r>
        <w:rPr>
          <w:rFonts w:hint="eastAsia" w:ascii="宋体" w:hAnsi="宋体" w:eastAsia="宋体" w:cs="宋体"/>
          <w:sz w:val="32"/>
        </w:rPr>
        <w:t>目前专项资金到达105.4万，2022年支出</w:t>
      </w:r>
      <w:r>
        <w:rPr>
          <w:rFonts w:ascii="宋体" w:hAnsi="宋体" w:eastAsia="宋体" w:cs="宋体"/>
          <w:sz w:val="32"/>
        </w:rPr>
        <w:t>91.945845</w:t>
      </w:r>
      <w:r>
        <w:rPr>
          <w:rFonts w:hint="eastAsia" w:ascii="宋体" w:hAnsi="宋体" w:eastAsia="宋体" w:cs="宋体"/>
          <w:sz w:val="32"/>
        </w:rPr>
        <w:t>万元。工程总额为96.7851万元，目前项目已完工，根据合同约定，支付95%的工程款91.945845万元。另外按照合同约定，扣留工程全款的5%（4.839255万元）作为工程质量保证金。</w:t>
      </w:r>
    </w:p>
    <w:p>
      <w:pPr>
        <w:spacing w:line="580" w:lineRule="auto"/>
        <w:ind w:firstLine="643"/>
        <w:rPr>
          <w:rFonts w:ascii="仿宋_GB2312" w:hAnsi="仿宋_GB2312" w:eastAsia="仿宋_GB2312" w:cs="仿宋_GB2312"/>
          <w:b/>
          <w:sz w:val="32"/>
        </w:rPr>
      </w:pPr>
      <w:r>
        <w:rPr>
          <w:rFonts w:ascii="宋体" w:hAnsi="宋体" w:eastAsia="宋体" w:cs="宋体"/>
          <w:b/>
          <w:sz w:val="32"/>
        </w:rPr>
        <w:t>三、绩效评价工作情况</w:t>
      </w:r>
    </w:p>
    <w:p>
      <w:pPr>
        <w:spacing w:line="580" w:lineRule="auto"/>
        <w:ind w:firstLine="640"/>
        <w:rPr>
          <w:rFonts w:ascii="仿宋_GB2312" w:hAnsi="仿宋_GB2312" w:eastAsia="宋体" w:cs="仿宋_GB2312"/>
          <w:sz w:val="32"/>
        </w:rPr>
      </w:pPr>
      <w:r>
        <w:rPr>
          <w:rFonts w:ascii="宋体" w:hAnsi="宋体" w:eastAsia="宋体" w:cs="宋体"/>
          <w:sz w:val="32"/>
        </w:rPr>
        <w:t>（一）评价目的</w:t>
      </w:r>
      <w:r>
        <w:rPr>
          <w:rFonts w:hint="eastAsia" w:ascii="宋体" w:hAnsi="宋体" w:eastAsia="宋体" w:cs="宋体"/>
          <w:sz w:val="32"/>
        </w:rPr>
        <w:t xml:space="preserve"> 为积极响应烈士褒扬纪念条例，完善烈士纪念设施管护保障制度，推动烈士纪念设施管护水平提高。</w:t>
      </w:r>
    </w:p>
    <w:p>
      <w:pPr>
        <w:spacing w:line="580" w:lineRule="auto"/>
        <w:ind w:firstLine="640"/>
        <w:rPr>
          <w:rFonts w:ascii="宋体" w:hAnsi="宋体" w:eastAsia="宋体" w:cs="宋体"/>
          <w:sz w:val="32"/>
        </w:rPr>
      </w:pPr>
      <w:r>
        <w:rPr>
          <w:rFonts w:hint="eastAsia" w:ascii="宋体" w:hAnsi="宋体" w:eastAsia="宋体" w:cs="宋体"/>
          <w:sz w:val="32"/>
        </w:rPr>
        <w:t>（二）评价指标 数量指标：新建烈士墓碑数（个）=164个；质量指标：建设质量达标率（%）≥95%；时效指标：建设资金支出时间，12月底之前支出；成本指标：建设投入成本(万元)≥96.7851万元；服务对象满意度≥95%。</w:t>
      </w:r>
    </w:p>
    <w:p>
      <w:pPr>
        <w:spacing w:line="580" w:lineRule="auto"/>
        <w:ind w:firstLine="640"/>
        <w:rPr>
          <w:rFonts w:ascii="宋体" w:hAnsi="宋体" w:eastAsia="宋体" w:cs="宋体"/>
          <w:sz w:val="32"/>
        </w:rPr>
      </w:pPr>
      <w:r>
        <w:rPr>
          <w:rFonts w:ascii="宋体" w:hAnsi="宋体" w:eastAsia="宋体" w:cs="宋体"/>
          <w:sz w:val="32"/>
        </w:rPr>
        <w:t>（三）评价依据</w:t>
      </w:r>
      <w:r>
        <w:rPr>
          <w:rFonts w:hint="eastAsia" w:ascii="宋体" w:hAnsi="宋体" w:eastAsia="宋体" w:cs="宋体"/>
          <w:sz w:val="32"/>
        </w:rPr>
        <w:t xml:space="preserve"> 设定的指标是否实现，与年初预定目标的偏离情况。</w:t>
      </w:r>
    </w:p>
    <w:p>
      <w:pPr>
        <w:spacing w:line="580" w:lineRule="auto"/>
        <w:ind w:firstLine="640"/>
        <w:rPr>
          <w:rFonts w:ascii="宋体" w:hAnsi="宋体" w:eastAsia="宋体" w:cs="宋体"/>
          <w:sz w:val="32"/>
        </w:rPr>
      </w:pPr>
      <w:r>
        <w:rPr>
          <w:rFonts w:ascii="宋体" w:hAnsi="宋体" w:eastAsia="宋体" w:cs="宋体"/>
          <w:sz w:val="32"/>
        </w:rPr>
        <w:t>（四）评价的主要方法及等级设定</w:t>
      </w:r>
      <w:r>
        <w:rPr>
          <w:rFonts w:hint="eastAsia" w:ascii="宋体" w:hAnsi="宋体" w:eastAsia="宋体" w:cs="宋体"/>
          <w:sz w:val="32"/>
        </w:rPr>
        <w:t xml:space="preserve"> 实地考察项目进度情况。</w:t>
      </w:r>
    </w:p>
    <w:p>
      <w:pPr>
        <w:spacing w:line="580" w:lineRule="auto"/>
        <w:ind w:firstLine="640"/>
        <w:rPr>
          <w:rFonts w:ascii="宋体" w:hAnsi="宋体" w:eastAsia="宋体" w:cs="宋体"/>
          <w:b/>
          <w:sz w:val="32"/>
        </w:rPr>
      </w:pPr>
      <w:r>
        <w:rPr>
          <w:rFonts w:ascii="宋体" w:hAnsi="宋体" w:eastAsia="宋体" w:cs="宋体"/>
          <w:b/>
          <w:sz w:val="32"/>
        </w:rPr>
        <w:t>四、绩效评价指标体系及得分情况</w:t>
      </w:r>
    </w:p>
    <w:p>
      <w:pPr>
        <w:spacing w:line="580" w:lineRule="auto"/>
        <w:ind w:firstLine="640"/>
        <w:rPr>
          <w:rFonts w:ascii="宋体" w:hAnsi="宋体" w:eastAsia="宋体" w:cs="宋体"/>
          <w:b w:val="0"/>
          <w:bCs/>
          <w:sz w:val="32"/>
        </w:rPr>
      </w:pPr>
      <w:r>
        <w:rPr>
          <w:rFonts w:hint="eastAsia" w:ascii="宋体" w:hAnsi="宋体" w:eastAsia="宋体" w:cs="宋体"/>
          <w:b w:val="0"/>
          <w:bCs/>
          <w:sz w:val="32"/>
        </w:rPr>
        <w:t>97分。</w:t>
      </w:r>
    </w:p>
    <w:p>
      <w:pPr>
        <w:spacing w:line="580" w:lineRule="auto"/>
        <w:ind w:firstLine="640"/>
        <w:rPr>
          <w:rFonts w:ascii="宋体" w:hAnsi="宋体" w:eastAsia="宋体" w:cs="宋体"/>
          <w:b/>
          <w:sz w:val="32"/>
        </w:rPr>
      </w:pPr>
    </w:p>
    <w:p>
      <w:pPr>
        <w:spacing w:line="580" w:lineRule="auto"/>
        <w:ind w:firstLine="640"/>
        <w:rPr>
          <w:rFonts w:ascii="宋体" w:hAnsi="宋体" w:eastAsia="宋体" w:cs="宋体"/>
          <w:b/>
          <w:sz w:val="32"/>
        </w:rPr>
      </w:pPr>
    </w:p>
    <w:p>
      <w:pPr>
        <w:spacing w:line="580" w:lineRule="auto"/>
        <w:ind w:firstLine="640"/>
        <w:rPr>
          <w:rFonts w:ascii="宋体" w:hAnsi="宋体" w:eastAsia="宋体" w:cs="宋体"/>
          <w:b/>
          <w:sz w:val="32"/>
        </w:rPr>
      </w:pPr>
    </w:p>
    <w:p>
      <w:pPr>
        <w:spacing w:line="580" w:lineRule="auto"/>
        <w:ind w:firstLine="640"/>
        <w:rPr>
          <w:rFonts w:ascii="宋体" w:hAnsi="宋体" w:eastAsia="宋体" w:cs="宋体"/>
          <w:b/>
          <w:sz w:val="32"/>
        </w:rPr>
      </w:pPr>
    </w:p>
    <w:p>
      <w:pPr>
        <w:spacing w:line="580" w:lineRule="auto"/>
        <w:jc w:val="center"/>
        <w:rPr>
          <w:rFonts w:hint="eastAsia" w:ascii="宋体" w:hAnsi="宋体" w:eastAsia="宋体" w:cs="宋体"/>
          <w:b/>
          <w:color w:val="000000"/>
          <w:sz w:val="36"/>
          <w:szCs w:val="36"/>
          <w:u w:val="single"/>
        </w:rPr>
      </w:pPr>
      <w:r>
        <w:rPr>
          <w:rFonts w:hint="eastAsia" w:ascii="宋体" w:hAnsi="宋体" w:eastAsia="宋体" w:cs="宋体"/>
          <w:b/>
          <w:color w:val="000000"/>
          <w:sz w:val="36"/>
          <w:szCs w:val="36"/>
          <w:u w:val="single"/>
        </w:rPr>
        <w:t>巨鹿县县级以下英雄烈士纪念设施整修工程</w:t>
      </w:r>
    </w:p>
    <w:p>
      <w:pPr>
        <w:spacing w:line="580" w:lineRule="auto"/>
        <w:jc w:val="center"/>
        <w:rPr>
          <w:rFonts w:ascii="宋体" w:hAnsi="宋体" w:eastAsia="宋体" w:cs="宋体"/>
          <w:b/>
          <w:color w:val="000000"/>
          <w:sz w:val="36"/>
          <w:szCs w:val="36"/>
          <w:u w:val="single"/>
        </w:rPr>
      </w:pPr>
      <w:r>
        <w:rPr>
          <w:rFonts w:ascii="宋体" w:hAnsi="宋体" w:eastAsia="宋体" w:cs="宋体"/>
          <w:b/>
          <w:color w:val="000000"/>
          <w:sz w:val="36"/>
          <w:szCs w:val="36"/>
          <w:u w:val="single"/>
        </w:rPr>
        <w:t>项目财政重点绩效评价指标表</w:t>
      </w:r>
    </w:p>
    <w:p>
      <w:pPr>
        <w:spacing w:line="400" w:lineRule="exact"/>
        <w:jc w:val="center"/>
        <w:rPr>
          <w:rFonts w:ascii="宋体" w:hAnsi="宋体" w:eastAsia="宋体" w:cs="宋体"/>
          <w:b/>
          <w:sz w:val="40"/>
          <w:szCs w:val="40"/>
        </w:rPr>
      </w:pPr>
    </w:p>
    <w:tbl>
      <w:tblPr>
        <w:tblStyle w:val="4"/>
        <w:tblW w:w="8930" w:type="dxa"/>
        <w:tblInd w:w="2" w:type="dxa"/>
        <w:tblLayout w:type="autofit"/>
        <w:tblCellMar>
          <w:top w:w="0" w:type="dxa"/>
          <w:left w:w="10" w:type="dxa"/>
          <w:bottom w:w="0" w:type="dxa"/>
          <w:right w:w="10" w:type="dxa"/>
        </w:tblCellMar>
      </w:tblPr>
      <w:tblGrid>
        <w:gridCol w:w="958"/>
        <w:gridCol w:w="674"/>
        <w:gridCol w:w="2083"/>
        <w:gridCol w:w="545"/>
        <w:gridCol w:w="3972"/>
        <w:gridCol w:w="698"/>
      </w:tblGrid>
      <w:tr>
        <w:tblPrEx>
          <w:tblCellMar>
            <w:top w:w="0" w:type="dxa"/>
            <w:left w:w="10" w:type="dxa"/>
            <w:bottom w:w="0" w:type="dxa"/>
            <w:right w:w="10" w:type="dxa"/>
          </w:tblCellMar>
        </w:tblPrEx>
        <w:trPr>
          <w:trHeight w:val="585" w:hRule="atLeast"/>
        </w:trPr>
        <w:tc>
          <w:tcPr>
            <w:tcW w:w="958" w:type="dxa"/>
            <w:tcBorders>
              <w:top w:val="single" w:color="auto" w:sz="4" w:space="0"/>
              <w:left w:val="single" w:color="000000" w:sz="4" w:space="0"/>
              <w:bottom w:val="single" w:color="000000" w:sz="4" w:space="0"/>
              <w:right w:val="single" w:color="000000" w:sz="0" w:space="0"/>
            </w:tcBorders>
            <w:shd w:val="clear" w:color="000000" w:fill="FFFFFF"/>
            <w:tcMar>
              <w:left w:w="12" w:type="dxa"/>
              <w:right w:w="12" w:type="dxa"/>
            </w:tcMar>
            <w:vAlign w:val="center"/>
          </w:tcPr>
          <w:p>
            <w:pPr>
              <w:spacing w:line="400" w:lineRule="exact"/>
              <w:jc w:val="center"/>
              <w:rPr>
                <w:rFonts w:ascii="宋体" w:hAnsi="宋体" w:eastAsia="宋体" w:cs="宋体"/>
                <w:b/>
                <w:color w:val="000000"/>
                <w:sz w:val="24"/>
                <w:u w:val="single"/>
              </w:rPr>
            </w:pPr>
            <w:r>
              <w:rPr>
                <w:rFonts w:ascii="宋体" w:hAnsi="宋体" w:eastAsia="宋体" w:cs="宋体"/>
                <w:b/>
                <w:color w:val="000000"/>
                <w:sz w:val="24"/>
                <w:u w:val="single"/>
              </w:rPr>
              <w:t>一级</w:t>
            </w:r>
          </w:p>
          <w:p>
            <w:pPr>
              <w:spacing w:line="400" w:lineRule="exact"/>
              <w:jc w:val="center"/>
            </w:pPr>
            <w:r>
              <w:rPr>
                <w:rFonts w:ascii="宋体" w:hAnsi="宋体" w:eastAsia="宋体" w:cs="宋体"/>
                <w:b/>
                <w:color w:val="000000"/>
                <w:sz w:val="24"/>
                <w:u w:val="single"/>
              </w:rPr>
              <w:t>指标</w:t>
            </w:r>
          </w:p>
        </w:tc>
        <w:tc>
          <w:tcPr>
            <w:tcW w:w="674" w:type="dxa"/>
            <w:tcBorders>
              <w:top w:val="single" w:color="auto"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二级指标</w:t>
            </w:r>
          </w:p>
        </w:tc>
        <w:tc>
          <w:tcPr>
            <w:tcW w:w="2083" w:type="dxa"/>
            <w:tcBorders>
              <w:top w:val="single" w:color="auto"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pPr>
            <w:r>
              <w:rPr>
                <w:rFonts w:ascii="宋体" w:hAnsi="宋体" w:eastAsia="宋体" w:cs="宋体"/>
                <w:b/>
                <w:color w:val="000000"/>
                <w:sz w:val="24"/>
                <w:u w:val="single"/>
              </w:rPr>
              <w:t>三级指标</w:t>
            </w:r>
          </w:p>
        </w:tc>
        <w:tc>
          <w:tcPr>
            <w:tcW w:w="545" w:type="dxa"/>
            <w:vMerge w:val="restart"/>
            <w:tcBorders>
              <w:top w:val="single" w:color="auto" w:sz="4" w:space="0"/>
              <w:left w:val="single" w:color="000000" w:sz="0"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分值</w:t>
            </w:r>
          </w:p>
        </w:tc>
        <w:tc>
          <w:tcPr>
            <w:tcW w:w="3972" w:type="dxa"/>
            <w:vMerge w:val="restart"/>
            <w:tcBorders>
              <w:top w:val="single" w:color="auto"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指标说明</w:t>
            </w:r>
          </w:p>
        </w:tc>
        <w:tc>
          <w:tcPr>
            <w:tcW w:w="698" w:type="dxa"/>
            <w:vMerge w:val="restart"/>
            <w:tcBorders>
              <w:top w:val="single" w:color="auto"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得分</w:t>
            </w:r>
          </w:p>
        </w:tc>
      </w:tr>
      <w:tr>
        <w:tblPrEx>
          <w:tblCellMar>
            <w:top w:w="0" w:type="dxa"/>
            <w:left w:w="10" w:type="dxa"/>
            <w:bottom w:w="0" w:type="dxa"/>
            <w:right w:w="1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名称</w:t>
            </w:r>
          </w:p>
        </w:tc>
        <w:tc>
          <w:tcPr>
            <w:tcW w:w="674"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名称</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b/>
                <w:color w:val="000000"/>
                <w:sz w:val="24"/>
                <w:u w:val="single"/>
              </w:rPr>
              <w:t>名称</w:t>
            </w:r>
          </w:p>
        </w:tc>
        <w:tc>
          <w:tcPr>
            <w:tcW w:w="545" w:type="dxa"/>
            <w:vMerge w:val="continue"/>
            <w:tcBorders>
              <w:top w:val="single" w:color="000000" w:sz="4" w:space="0"/>
              <w:left w:val="single" w:color="000000" w:sz="0"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397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r>
      <w:tr>
        <w:tblPrEx>
          <w:tblCellMar>
            <w:top w:w="0" w:type="dxa"/>
            <w:left w:w="10" w:type="dxa"/>
            <w:bottom w:w="0" w:type="dxa"/>
            <w:right w:w="1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ascii="宋体" w:hAnsi="宋体" w:eastAsia="宋体" w:cs="宋体"/>
                <w:color w:val="000000"/>
                <w:sz w:val="22"/>
                <w:u w:val="single"/>
              </w:rPr>
              <w:t>“工作活动”设置（</w:t>
            </w:r>
            <w:r>
              <w:rPr>
                <w:rFonts w:hint="eastAsia" w:ascii="仿宋_GB2312" w:hAnsi="仿宋_GB2312" w:eastAsia="仿宋_GB2312" w:cs="仿宋_GB2312"/>
                <w:color w:val="000000"/>
                <w:sz w:val="22"/>
                <w:u w:val="single"/>
              </w:rPr>
              <w:t>30</w:t>
            </w:r>
            <w:r>
              <w:rPr>
                <w:rFonts w:ascii="宋体" w:hAnsi="宋体" w:eastAsia="宋体" w:cs="宋体"/>
                <w:color w:val="000000"/>
                <w:sz w:val="22"/>
                <w:u w:val="single"/>
              </w:rPr>
              <w:t>分）</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项目立项情况</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是否符合市政府经济和社会总体发展规划</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8</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有市政府相关政策、规划、任务等文件得</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分；无不得分。</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8</w:t>
            </w:r>
          </w:p>
        </w:tc>
      </w:tr>
      <w:tr>
        <w:tblPrEx>
          <w:tblCellMar>
            <w:top w:w="0" w:type="dxa"/>
            <w:left w:w="10" w:type="dxa"/>
            <w:bottom w:w="0" w:type="dxa"/>
            <w:right w:w="1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color w:val="000000"/>
                <w:sz w:val="22"/>
                <w:u w:val="single"/>
              </w:rPr>
            </w:pPr>
            <w:r>
              <w:rPr>
                <w:rFonts w:ascii="宋体" w:hAnsi="宋体" w:eastAsia="宋体" w:cs="宋体"/>
                <w:color w:val="000000"/>
                <w:sz w:val="22"/>
                <w:u w:val="single"/>
              </w:rPr>
              <w:t>项目活动与职责</w:t>
            </w:r>
          </w:p>
          <w:p>
            <w:pPr>
              <w:spacing w:line="400" w:lineRule="exact"/>
              <w:jc w:val="center"/>
              <w:rPr>
                <w:rFonts w:ascii="宋体" w:hAnsi="宋体" w:eastAsia="宋体" w:cs="宋体"/>
                <w:sz w:val="22"/>
              </w:rPr>
            </w:pPr>
            <w:r>
              <w:rPr>
                <w:rFonts w:ascii="宋体" w:hAnsi="宋体" w:eastAsia="宋体" w:cs="宋体"/>
                <w:color w:val="000000"/>
                <w:sz w:val="22"/>
                <w:u w:val="single"/>
              </w:rPr>
              <w:t>相关性</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8</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工作活动与部门职责、工作规划和重点工作相关，工作活动项下确定的预算项目合理，与工作活动密切相关，工作活动和项目预算安排合理，得</w:t>
            </w:r>
            <w:r>
              <w:rPr>
                <w:rFonts w:ascii="仿宋_GB2312" w:hAnsi="仿宋_GB2312" w:eastAsia="仿宋_GB2312" w:cs="仿宋_GB2312"/>
                <w:color w:val="000000"/>
                <w:sz w:val="22"/>
                <w:u w:val="single"/>
              </w:rPr>
              <w:t>*</w:t>
            </w:r>
            <w:r>
              <w:rPr>
                <w:rFonts w:ascii="宋体" w:hAnsi="宋体" w:eastAsia="宋体" w:cs="宋体"/>
                <w:color w:val="000000"/>
                <w:sz w:val="22"/>
                <w:u w:val="single"/>
              </w:rPr>
              <w:t>分；否则不得分。</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8</w:t>
            </w:r>
          </w:p>
        </w:tc>
      </w:tr>
      <w:tr>
        <w:tblPrEx>
          <w:tblCellMar>
            <w:top w:w="0" w:type="dxa"/>
            <w:left w:w="10" w:type="dxa"/>
            <w:bottom w:w="0" w:type="dxa"/>
            <w:right w:w="10" w:type="dxa"/>
          </w:tblCellMar>
        </w:tblPrEx>
        <w:trPr>
          <w:trHeight w:val="370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绩效自评情况</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color w:val="000000"/>
                <w:sz w:val="22"/>
                <w:u w:val="single"/>
              </w:rPr>
            </w:pPr>
            <w:r>
              <w:rPr>
                <w:rFonts w:ascii="宋体" w:hAnsi="宋体" w:eastAsia="宋体" w:cs="宋体"/>
                <w:color w:val="000000"/>
                <w:sz w:val="22"/>
                <w:u w:val="single"/>
              </w:rPr>
              <w:t>项目设立绩效目标</w:t>
            </w:r>
          </w:p>
          <w:p>
            <w:pPr>
              <w:spacing w:line="400" w:lineRule="exact"/>
              <w:jc w:val="center"/>
              <w:rPr>
                <w:rFonts w:ascii="宋体" w:hAnsi="宋体" w:eastAsia="宋体" w:cs="宋体"/>
                <w:sz w:val="22"/>
              </w:rPr>
            </w:pPr>
            <w:r>
              <w:rPr>
                <w:rFonts w:ascii="宋体" w:hAnsi="宋体" w:eastAsia="宋体" w:cs="宋体"/>
                <w:color w:val="000000"/>
                <w:sz w:val="22"/>
                <w:u w:val="single"/>
              </w:rPr>
              <w:t>合理性</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8</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①是否将项目绩效目标细化分解为具体的绩效指标；</w:t>
            </w:r>
            <w:r>
              <w:rPr>
                <w:rFonts w:ascii="仿宋_GB2312" w:hAnsi="仿宋_GB2312" w:eastAsia="仿宋_GB2312" w:cs="仿宋_GB2312"/>
                <w:color w:val="000000"/>
                <w:sz w:val="22"/>
                <w:u w:val="single"/>
              </w:rPr>
              <w:br w:type="textWrapping"/>
            </w:r>
            <w:r>
              <w:rPr>
                <w:rFonts w:ascii="宋体" w:hAnsi="宋体" w:eastAsia="宋体" w:cs="宋体"/>
                <w:color w:val="000000"/>
                <w:sz w:val="22"/>
                <w:u w:val="single"/>
              </w:rPr>
              <w:t>②是否通过清晰、可衡量的指标值予以体现；</w:t>
            </w:r>
            <w:r>
              <w:rPr>
                <w:rFonts w:ascii="仿宋_GB2312" w:hAnsi="仿宋_GB2312" w:eastAsia="仿宋_GB2312" w:cs="仿宋_GB2312"/>
                <w:color w:val="000000"/>
                <w:sz w:val="22"/>
                <w:u w:val="single"/>
              </w:rPr>
              <w:br w:type="textWrapping"/>
            </w:r>
            <w:r>
              <w:rPr>
                <w:rFonts w:ascii="宋体" w:hAnsi="宋体" w:eastAsia="宋体" w:cs="宋体"/>
                <w:color w:val="000000"/>
                <w:sz w:val="22"/>
                <w:u w:val="single"/>
              </w:rPr>
              <w:t>③是否与项目年度任务数或计划数相对应；</w:t>
            </w:r>
            <w:r>
              <w:rPr>
                <w:rFonts w:ascii="仿宋_GB2312" w:hAnsi="仿宋_GB2312" w:eastAsia="仿宋_GB2312" w:cs="仿宋_GB2312"/>
                <w:color w:val="000000"/>
                <w:sz w:val="22"/>
                <w:u w:val="single"/>
              </w:rPr>
              <w:br w:type="textWrapping"/>
            </w:r>
            <w:r>
              <w:rPr>
                <w:rFonts w:ascii="宋体" w:hAnsi="宋体" w:eastAsia="宋体" w:cs="宋体"/>
                <w:color w:val="000000"/>
                <w:sz w:val="22"/>
                <w:u w:val="single"/>
              </w:rPr>
              <w:t>④是否与预算确定的项目投资额或资金量相匹配。</w:t>
            </w:r>
            <w:r>
              <w:rPr>
                <w:rFonts w:ascii="仿宋_GB2312" w:hAnsi="仿宋_GB2312" w:eastAsia="仿宋_GB2312" w:cs="仿宋_GB2312"/>
                <w:color w:val="000000"/>
                <w:sz w:val="22"/>
                <w:u w:val="single"/>
              </w:rPr>
              <w:br w:type="textWrapping"/>
            </w:r>
            <w:r>
              <w:rPr>
                <w:rFonts w:ascii="宋体" w:hAnsi="宋体" w:eastAsia="宋体" w:cs="宋体"/>
                <w:color w:val="000000"/>
                <w:sz w:val="22"/>
                <w:u w:val="single"/>
              </w:rPr>
              <w:t>缺少一项扣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w:t>
            </w:r>
            <w:r>
              <w:rPr>
                <w:rFonts w:ascii="仿宋_GB2312" w:hAnsi="仿宋_GB2312" w:eastAsia="仿宋_GB2312" w:cs="仿宋_GB2312"/>
                <w:color w:val="000000"/>
                <w:sz w:val="22"/>
                <w:u w:val="single"/>
              </w:rPr>
              <w:t>,</w:t>
            </w:r>
            <w:r>
              <w:rPr>
                <w:rFonts w:ascii="宋体" w:hAnsi="宋体" w:eastAsia="宋体" w:cs="宋体"/>
                <w:color w:val="000000"/>
                <w:sz w:val="22"/>
                <w:u w:val="single"/>
              </w:rPr>
              <w:t>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6</w:t>
            </w:r>
          </w:p>
        </w:tc>
      </w:tr>
      <w:tr>
        <w:tblPrEx>
          <w:tblCellMar>
            <w:top w:w="0" w:type="dxa"/>
            <w:left w:w="10" w:type="dxa"/>
            <w:bottom w:w="0" w:type="dxa"/>
            <w:right w:w="10" w:type="dxa"/>
          </w:tblCellMar>
        </w:tblPrEx>
        <w:trPr>
          <w:trHeight w:val="146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自评报告情况</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rPr>
                <w:sz w:val="22"/>
              </w:rPr>
            </w:pPr>
            <w:r>
              <w:rPr>
                <w:rFonts w:ascii="宋体" w:hAnsi="宋体" w:eastAsia="宋体" w:cs="宋体"/>
                <w:color w:val="000000"/>
                <w:sz w:val="22"/>
                <w:u w:val="single"/>
              </w:rPr>
              <w:t>是否有绩效评价报告，报告是否依据充分、内容真实完整；数据准确、分析透彻。每存在一项问题扣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6</w:t>
            </w:r>
          </w:p>
        </w:tc>
      </w:tr>
      <w:tr>
        <w:tblPrEx>
          <w:tblCellMar>
            <w:top w:w="0" w:type="dxa"/>
            <w:left w:w="10" w:type="dxa"/>
            <w:bottom w:w="0" w:type="dxa"/>
            <w:right w:w="10" w:type="dxa"/>
          </w:tblCellMar>
        </w:tblPrEx>
        <w:trPr>
          <w:trHeight w:val="1358"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ascii="宋体" w:hAnsi="宋体" w:eastAsia="宋体" w:cs="宋体"/>
                <w:color w:val="000000"/>
                <w:sz w:val="22"/>
                <w:u w:val="single"/>
              </w:rPr>
              <w:t>“工作活动”管理（</w:t>
            </w:r>
            <w:r>
              <w:rPr>
                <w:rFonts w:hint="eastAsia" w:ascii="仿宋_GB2312" w:hAnsi="仿宋_GB2312" w:eastAsia="仿宋_GB2312" w:cs="仿宋_GB2312"/>
                <w:color w:val="000000"/>
                <w:sz w:val="22"/>
                <w:u w:val="single"/>
              </w:rPr>
              <w:t>30</w:t>
            </w:r>
            <w:r>
              <w:rPr>
                <w:rFonts w:ascii="宋体" w:hAnsi="宋体" w:eastAsia="宋体" w:cs="宋体"/>
                <w:color w:val="000000"/>
                <w:sz w:val="22"/>
                <w:u w:val="single"/>
              </w:rPr>
              <w:t>分）</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资金管理</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预算调整率</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预算调整率</w:t>
            </w:r>
            <w:r>
              <w:rPr>
                <w:rFonts w:ascii="仿宋_GB2312" w:hAnsi="仿宋_GB2312" w:eastAsia="仿宋_GB2312" w:cs="仿宋_GB2312"/>
                <w:color w:val="000000"/>
                <w:sz w:val="22"/>
                <w:u w:val="single"/>
              </w:rPr>
              <w:t>=</w:t>
            </w:r>
            <w:r>
              <w:rPr>
                <w:rFonts w:ascii="宋体" w:hAnsi="宋体" w:eastAsia="宋体" w:cs="宋体"/>
                <w:color w:val="000000"/>
                <w:sz w:val="22"/>
                <w:u w:val="single"/>
              </w:rPr>
              <w:t>（预算调整数</w:t>
            </w:r>
            <w:r>
              <w:rPr>
                <w:rFonts w:ascii="仿宋_GB2312" w:hAnsi="仿宋_GB2312" w:eastAsia="仿宋_GB2312" w:cs="仿宋_GB2312"/>
                <w:color w:val="000000"/>
                <w:sz w:val="22"/>
                <w:u w:val="single"/>
              </w:rPr>
              <w:t>/</w:t>
            </w:r>
            <w:r>
              <w:rPr>
                <w:rFonts w:ascii="宋体" w:hAnsi="宋体" w:eastAsia="宋体" w:cs="宋体"/>
                <w:color w:val="000000"/>
                <w:sz w:val="22"/>
                <w:u w:val="single"/>
              </w:rPr>
              <w:t>预算数）×</w:t>
            </w:r>
            <w:r>
              <w:rPr>
                <w:rFonts w:ascii="仿宋_GB2312" w:hAnsi="仿宋_GB2312" w:eastAsia="仿宋_GB2312" w:cs="仿宋_GB2312"/>
                <w:color w:val="000000"/>
                <w:sz w:val="22"/>
                <w:u w:val="single"/>
              </w:rPr>
              <w:t>100%</w:t>
            </w:r>
            <w:r>
              <w:rPr>
                <w:rFonts w:ascii="宋体" w:hAnsi="宋体" w:eastAsia="宋体" w:cs="宋体"/>
                <w:color w:val="000000"/>
                <w:sz w:val="22"/>
                <w:u w:val="single"/>
              </w:rPr>
              <w:t>。预算调整率每大于</w:t>
            </w:r>
            <w:r>
              <w:rPr>
                <w:rFonts w:ascii="仿宋_GB2312" w:hAnsi="仿宋_GB2312" w:eastAsia="仿宋_GB2312" w:cs="仿宋_GB2312"/>
                <w:color w:val="000000"/>
                <w:sz w:val="22"/>
                <w:u w:val="single"/>
              </w:rPr>
              <w:t>1%</w:t>
            </w:r>
            <w:r>
              <w:rPr>
                <w:rFonts w:ascii="宋体" w:hAnsi="宋体" w:eastAsia="宋体" w:cs="宋体"/>
                <w:color w:val="000000"/>
                <w:sz w:val="22"/>
                <w:u w:val="single"/>
              </w:rPr>
              <w:t>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r>
      <w:tr>
        <w:tblPrEx>
          <w:tblCellMar>
            <w:top w:w="0" w:type="dxa"/>
            <w:left w:w="10" w:type="dxa"/>
            <w:bottom w:w="0" w:type="dxa"/>
            <w:right w:w="10" w:type="dxa"/>
          </w:tblCellMar>
        </w:tblPrEx>
        <w:trPr>
          <w:trHeight w:val="1799" w:hRule="atLeast"/>
        </w:trPr>
        <w:tc>
          <w:tcPr>
            <w:tcW w:w="958" w:type="dxa"/>
            <w:vMerge w:val="continue"/>
            <w:tcBorders>
              <w:top w:val="single" w:color="000000" w:sz="4" w:space="0"/>
              <w:left w:val="single" w:color="000000" w:sz="4" w:space="0"/>
              <w:bottom w:val="single" w:color="000000" w:sz="0" w:space="0"/>
              <w:right w:val="single" w:color="000000" w:sz="4" w:space="0"/>
            </w:tcBorders>
            <w:shd w:val="clear" w:color="auto" w:fill="auto"/>
            <w:tcMar>
              <w:left w:w="12" w:type="dxa"/>
              <w:right w:w="12" w:type="dxa"/>
            </w:tcMar>
            <w:vAlign w:val="center"/>
          </w:tcPr>
          <w:p>
            <w:pPr>
              <w:spacing w:line="400" w:lineRule="exact"/>
              <w:jc w:val="left"/>
              <w:rPr>
                <w:rFonts w:ascii="宋体" w:hAnsi="宋体" w:eastAsia="宋体" w:cs="宋体"/>
                <w:sz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left w:w="12" w:type="dxa"/>
              <w:right w:w="12" w:type="dxa"/>
            </w:tcMar>
            <w:vAlign w:val="center"/>
          </w:tcPr>
          <w:p>
            <w:pPr>
              <w:spacing w:line="400" w:lineRule="exact"/>
              <w:jc w:val="left"/>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auto"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项目资金使用是否符合国家财经法规及相关的财务管理制度规定，资金支出程序是否规范</w:t>
            </w:r>
            <w:r>
              <w:rPr>
                <w:rFonts w:ascii="仿宋_GB2312" w:hAnsi="仿宋_GB2312" w:eastAsia="仿宋_GB2312" w:cs="仿宋_GB2312"/>
                <w:color w:val="000000"/>
                <w:sz w:val="22"/>
                <w:u w:val="single"/>
              </w:rPr>
              <w:t>,</w:t>
            </w:r>
            <w:r>
              <w:rPr>
                <w:rFonts w:ascii="宋体" w:hAnsi="宋体" w:eastAsia="宋体" w:cs="宋体"/>
                <w:color w:val="000000"/>
                <w:sz w:val="22"/>
                <w:u w:val="single"/>
              </w:rPr>
              <w:t>报账手续是否齐全。每存在一项不合规问题扣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r>
      <w:tr>
        <w:tblPrEx>
          <w:tblCellMar>
            <w:top w:w="0" w:type="dxa"/>
            <w:left w:w="10" w:type="dxa"/>
            <w:bottom w:w="0" w:type="dxa"/>
            <w:right w:w="10" w:type="dxa"/>
          </w:tblCellMar>
        </w:tblPrEx>
        <w:trPr>
          <w:trHeight w:val="1825" w:hRule="atLeast"/>
        </w:trPr>
        <w:tc>
          <w:tcPr>
            <w:tcW w:w="958" w:type="dxa"/>
            <w:vMerge w:val="continue"/>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会计核算规范性</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会计核算是否符合《会计法》、《政府会计制度》、《会计基础工作规范》等法律法规和相关制度规定。每存在一项不合规问题扣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6</w:t>
            </w:r>
          </w:p>
        </w:tc>
      </w:tr>
      <w:tr>
        <w:tblPrEx>
          <w:tblCellMar>
            <w:top w:w="0" w:type="dxa"/>
            <w:left w:w="10" w:type="dxa"/>
            <w:bottom w:w="0" w:type="dxa"/>
            <w:right w:w="10" w:type="dxa"/>
          </w:tblCellMar>
        </w:tblPrEx>
        <w:trPr>
          <w:trHeight w:val="1740" w:hRule="atLeast"/>
        </w:trPr>
        <w:tc>
          <w:tcPr>
            <w:tcW w:w="958" w:type="dxa"/>
            <w:vMerge w:val="continue"/>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项目管理</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项目责任机制是否健全</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是否建立责任机制，项目管理和责任落实到有关人。每存在一项问题扣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6</w:t>
            </w:r>
          </w:p>
        </w:tc>
      </w:tr>
      <w:tr>
        <w:tblPrEx>
          <w:tblCellMar>
            <w:top w:w="0" w:type="dxa"/>
            <w:left w:w="10" w:type="dxa"/>
            <w:bottom w:w="0" w:type="dxa"/>
            <w:right w:w="10" w:type="dxa"/>
          </w:tblCellMar>
        </w:tblPrEx>
        <w:trPr>
          <w:trHeight w:val="1791" w:hRule="atLeast"/>
        </w:trPr>
        <w:tc>
          <w:tcPr>
            <w:tcW w:w="958" w:type="dxa"/>
            <w:vMerge w:val="continue"/>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管理制度健全性</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6</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sz w:val="22"/>
              </w:rPr>
            </w:pPr>
            <w:r>
              <w:rPr>
                <w:rFonts w:ascii="宋体" w:hAnsi="宋体" w:eastAsia="宋体" w:cs="宋体"/>
                <w:color w:val="000000"/>
                <w:sz w:val="22"/>
                <w:u w:val="single"/>
              </w:rPr>
              <w:t>制定管理制度和措施（包括财务制度）是否明确、清晰、具有可操作性，能否保障工作活动顺利实施。每缺少一项制度扣</w:t>
            </w:r>
            <w:r>
              <w:rPr>
                <w:rFonts w:ascii="仿宋_GB2312" w:hAnsi="仿宋_GB2312" w:eastAsia="仿宋_GB2312" w:cs="仿宋_GB2312"/>
                <w:color w:val="000000"/>
                <w:sz w:val="22"/>
                <w:u w:val="single"/>
              </w:rPr>
              <w:t>*</w:t>
            </w:r>
            <w:r>
              <w:rPr>
                <w:rFonts w:ascii="宋体" w:hAnsi="宋体" w:eastAsia="宋体" w:cs="宋体"/>
                <w:color w:val="000000"/>
                <w:sz w:val="22"/>
                <w:u w:val="single"/>
              </w:rPr>
              <w:t>分，扣完为止。</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6</w:t>
            </w:r>
          </w:p>
        </w:tc>
      </w:tr>
      <w:tr>
        <w:tblPrEx>
          <w:tblCellMar>
            <w:top w:w="0" w:type="dxa"/>
            <w:left w:w="10" w:type="dxa"/>
            <w:bottom w:w="0" w:type="dxa"/>
            <w:right w:w="10" w:type="dxa"/>
          </w:tblCellMar>
        </w:tblPrEx>
        <w:trPr>
          <w:trHeight w:val="90" w:hRule="atLeast"/>
        </w:trPr>
        <w:tc>
          <w:tcPr>
            <w:tcW w:w="958" w:type="dxa"/>
            <w:vMerge w:val="restart"/>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ascii="宋体" w:hAnsi="宋体" w:eastAsia="宋体" w:cs="宋体"/>
                <w:color w:val="000000"/>
                <w:sz w:val="22"/>
                <w:u w:val="single"/>
              </w:rPr>
              <w:t>“工作活动”产出（</w:t>
            </w:r>
            <w:r>
              <w:rPr>
                <w:rFonts w:hint="eastAsia" w:ascii="仿宋_GB2312" w:hAnsi="仿宋_GB2312" w:eastAsia="仿宋_GB2312" w:cs="仿宋_GB2312"/>
                <w:color w:val="000000"/>
                <w:sz w:val="22"/>
                <w:u w:val="single"/>
              </w:rPr>
              <w:t>30</w:t>
            </w:r>
            <w:r>
              <w:rPr>
                <w:rFonts w:ascii="宋体" w:hAnsi="宋体" w:eastAsia="宋体" w:cs="宋体"/>
                <w:color w:val="000000"/>
                <w:sz w:val="22"/>
                <w:u w:val="single"/>
              </w:rPr>
              <w:t>分）</w:t>
            </w:r>
          </w:p>
        </w:tc>
        <w:tc>
          <w:tcPr>
            <w:tcW w:w="674"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数量指标</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ascii="宋体" w:hAnsi="宋体" w:eastAsia="宋体" w:cs="宋体"/>
                <w:color w:val="000000"/>
                <w:sz w:val="22"/>
                <w:u w:val="single"/>
              </w:rPr>
              <w:t>新建烈士墓碑数（个）</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10</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r>
              <w:rPr>
                <w:rFonts w:hint="eastAsia" w:ascii="宋体" w:hAnsi="宋体" w:eastAsia="宋体" w:cs="宋体"/>
                <w:sz w:val="22"/>
              </w:rPr>
              <w:t>164个</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9</w:t>
            </w:r>
          </w:p>
        </w:tc>
      </w:tr>
      <w:tr>
        <w:tblPrEx>
          <w:tblCellMar>
            <w:top w:w="0" w:type="dxa"/>
            <w:left w:w="10" w:type="dxa"/>
            <w:bottom w:w="0" w:type="dxa"/>
            <w:right w:w="10" w:type="dxa"/>
          </w:tblCellMar>
        </w:tblPrEx>
        <w:trPr>
          <w:trHeight w:val="642" w:hRule="atLeast"/>
        </w:trPr>
        <w:tc>
          <w:tcPr>
            <w:tcW w:w="958" w:type="dxa"/>
            <w:vMerge w:val="continue"/>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质量指标</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ascii="宋体" w:hAnsi="宋体" w:eastAsia="宋体" w:cs="宋体"/>
                <w:color w:val="000000"/>
                <w:sz w:val="22"/>
                <w:u w:val="single"/>
              </w:rPr>
              <w:t>建设质量达标率（%）</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10</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r>
              <w:rPr>
                <w:rFonts w:hint="eastAsia" w:ascii="宋体" w:hAnsi="宋体" w:eastAsia="宋体" w:cs="宋体"/>
                <w:sz w:val="22"/>
              </w:rPr>
              <w:t>≥95%</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10</w:t>
            </w:r>
          </w:p>
        </w:tc>
      </w:tr>
      <w:tr>
        <w:tblPrEx>
          <w:tblCellMar>
            <w:top w:w="0" w:type="dxa"/>
            <w:left w:w="10" w:type="dxa"/>
            <w:bottom w:w="0" w:type="dxa"/>
            <w:right w:w="1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74"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ascii="宋体" w:hAnsi="宋体" w:eastAsia="宋体" w:cs="宋体"/>
                <w:color w:val="000000"/>
                <w:sz w:val="22"/>
                <w:u w:val="single"/>
              </w:rPr>
              <w:t>时效指标</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ascii="宋体" w:hAnsi="宋体" w:eastAsia="宋体" w:cs="宋体"/>
                <w:color w:val="000000"/>
                <w:sz w:val="22"/>
                <w:u w:val="single"/>
              </w:rPr>
              <w:t>建设资金支出时间</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10</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r>
              <w:rPr>
                <w:rFonts w:hint="eastAsia" w:ascii="宋体" w:hAnsi="宋体" w:eastAsia="宋体" w:cs="宋体"/>
                <w:sz w:val="22"/>
              </w:rPr>
              <w:t>按照进度拨付</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sz w:val="22"/>
              </w:rPr>
              <w:t>10</w:t>
            </w:r>
          </w:p>
        </w:tc>
      </w:tr>
      <w:tr>
        <w:tblPrEx>
          <w:tblCellMar>
            <w:top w:w="0" w:type="dxa"/>
            <w:left w:w="10" w:type="dxa"/>
            <w:bottom w:w="0" w:type="dxa"/>
            <w:right w:w="10" w:type="dxa"/>
          </w:tblCellMar>
        </w:tblPrEx>
        <w:trPr>
          <w:trHeight w:val="405" w:hRule="atLeast"/>
        </w:trPr>
        <w:tc>
          <w:tcPr>
            <w:tcW w:w="958" w:type="dxa"/>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ascii="宋体" w:hAnsi="宋体" w:eastAsia="宋体" w:cs="宋体"/>
                <w:color w:val="000000"/>
                <w:sz w:val="22"/>
                <w:u w:val="single"/>
              </w:rPr>
              <w:t>“工作活动”效果（</w:t>
            </w:r>
            <w:r>
              <w:rPr>
                <w:rFonts w:hint="eastAsia" w:ascii="仿宋_GB2312" w:hAnsi="仿宋_GB2312" w:eastAsia="仿宋_GB2312" w:cs="仿宋_GB2312"/>
                <w:color w:val="000000"/>
                <w:sz w:val="22"/>
                <w:u w:val="single"/>
              </w:rPr>
              <w:t>10</w:t>
            </w:r>
            <w:r>
              <w:rPr>
                <w:rFonts w:ascii="宋体" w:hAnsi="宋体" w:eastAsia="宋体" w:cs="宋体"/>
                <w:color w:val="000000"/>
                <w:sz w:val="22"/>
                <w:u w:val="single"/>
              </w:rPr>
              <w:t>分）</w:t>
            </w:r>
          </w:p>
        </w:tc>
        <w:tc>
          <w:tcPr>
            <w:tcW w:w="674" w:type="dxa"/>
            <w:tcBorders>
              <w:top w:val="single" w:color="000000" w:sz="4" w:space="0"/>
              <w:left w:val="single" w:color="000000" w:sz="4" w:space="0"/>
              <w:bottom w:val="single" w:color="000000" w:sz="0"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rPr>
            </w:pPr>
            <w:r>
              <w:rPr>
                <w:rFonts w:ascii="宋体" w:hAnsi="宋体" w:eastAsia="宋体" w:cs="宋体"/>
              </w:rPr>
              <w:t>满意度</w:t>
            </w: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hint="eastAsia" w:ascii="宋体" w:hAnsi="宋体" w:eastAsia="宋体" w:cs="宋体"/>
                <w:color w:val="000000"/>
                <w:sz w:val="22"/>
                <w:u w:val="single"/>
              </w:rPr>
              <w:t>服务对象满意度</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10</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r>
              <w:rPr>
                <w:rFonts w:hint="eastAsia" w:ascii="宋体" w:hAnsi="宋体" w:eastAsia="宋体" w:cs="宋体"/>
                <w:sz w:val="22"/>
              </w:rPr>
              <w:t>≥95%</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10</w:t>
            </w:r>
          </w:p>
        </w:tc>
      </w:tr>
      <w:tr>
        <w:tblPrEx>
          <w:tblCellMar>
            <w:top w:w="0" w:type="dxa"/>
            <w:left w:w="10" w:type="dxa"/>
            <w:bottom w:w="0" w:type="dxa"/>
            <w:right w:w="10" w:type="dxa"/>
          </w:tblCellMar>
        </w:tblPrEx>
        <w:trPr>
          <w:trHeight w:val="559" w:hRule="atLeast"/>
        </w:trPr>
        <w:tc>
          <w:tcPr>
            <w:tcW w:w="95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ind w:firstLine="220"/>
              <w:rPr>
                <w:rFonts w:ascii="宋体" w:hAnsi="宋体" w:eastAsia="宋体" w:cs="宋体"/>
                <w:sz w:val="22"/>
              </w:rPr>
            </w:pPr>
            <w:r>
              <w:rPr>
                <w:rFonts w:ascii="宋体" w:hAnsi="宋体" w:eastAsia="宋体" w:cs="宋体"/>
                <w:color w:val="000000"/>
                <w:sz w:val="22"/>
                <w:u w:val="single"/>
              </w:rPr>
              <w:t>合计</w:t>
            </w:r>
          </w:p>
        </w:tc>
        <w:tc>
          <w:tcPr>
            <w:tcW w:w="674"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p>
        </w:tc>
        <w:tc>
          <w:tcPr>
            <w:tcW w:w="2083"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p>
        </w:tc>
        <w:tc>
          <w:tcPr>
            <w:tcW w:w="545"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sz w:val="22"/>
              </w:rPr>
            </w:pPr>
            <w:r>
              <w:rPr>
                <w:rFonts w:ascii="仿宋_GB2312" w:hAnsi="仿宋_GB2312" w:eastAsia="仿宋_GB2312" w:cs="仿宋_GB2312"/>
                <w:color w:val="000000"/>
                <w:sz w:val="22"/>
                <w:u w:val="single"/>
              </w:rPr>
              <w:t>100</w:t>
            </w:r>
          </w:p>
        </w:tc>
        <w:tc>
          <w:tcPr>
            <w:tcW w:w="3972"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left"/>
              <w:rPr>
                <w:rFonts w:ascii="宋体" w:hAnsi="宋体" w:eastAsia="宋体" w:cs="宋体"/>
                <w:sz w:val="22"/>
              </w:rPr>
            </w:pP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2" w:type="dxa"/>
              <w:right w:w="12" w:type="dxa"/>
            </w:tcMar>
            <w:vAlign w:val="center"/>
          </w:tcPr>
          <w:p>
            <w:pPr>
              <w:spacing w:line="400" w:lineRule="exact"/>
              <w:jc w:val="center"/>
              <w:rPr>
                <w:rFonts w:ascii="宋体" w:hAnsi="宋体" w:eastAsia="宋体" w:cs="宋体"/>
                <w:sz w:val="22"/>
              </w:rPr>
            </w:pPr>
            <w:r>
              <w:rPr>
                <w:rFonts w:hint="eastAsia" w:ascii="宋体" w:hAnsi="宋体" w:eastAsia="宋体" w:cs="宋体"/>
                <w:sz w:val="22"/>
              </w:rPr>
              <w:t>97</w:t>
            </w:r>
          </w:p>
        </w:tc>
      </w:tr>
    </w:tbl>
    <w:p/>
    <w:sectPr>
      <w:pgSz w:w="11906" w:h="16838"/>
      <w:pgMar w:top="1797" w:right="1474" w:bottom="174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NkMWZhYmNkY2Y3NjcwMGRmNjEyYmUyZjVlZTEyYTQifQ=="/>
  </w:docVars>
  <w:rsids>
    <w:rsidRoot w:val="00D32B48"/>
    <w:rsid w:val="00050449"/>
    <w:rsid w:val="00261376"/>
    <w:rsid w:val="0036444A"/>
    <w:rsid w:val="003976B8"/>
    <w:rsid w:val="003F21B7"/>
    <w:rsid w:val="003F78DF"/>
    <w:rsid w:val="00457A38"/>
    <w:rsid w:val="0075675E"/>
    <w:rsid w:val="0091038B"/>
    <w:rsid w:val="009C4EFA"/>
    <w:rsid w:val="00A668B4"/>
    <w:rsid w:val="00BA1BB2"/>
    <w:rsid w:val="00BC46B3"/>
    <w:rsid w:val="00C70768"/>
    <w:rsid w:val="00D32B48"/>
    <w:rsid w:val="00DA418C"/>
    <w:rsid w:val="00E7103E"/>
    <w:rsid w:val="02041E86"/>
    <w:rsid w:val="17F747CC"/>
    <w:rsid w:val="181D0FAA"/>
    <w:rsid w:val="1EC37E11"/>
    <w:rsid w:val="2864680F"/>
    <w:rsid w:val="29A926E1"/>
    <w:rsid w:val="2D2A1419"/>
    <w:rsid w:val="3BE178BA"/>
    <w:rsid w:val="3BE91D19"/>
    <w:rsid w:val="52E86007"/>
    <w:rsid w:val="5B6E307B"/>
    <w:rsid w:val="6F6B13D1"/>
    <w:rsid w:val="72306CBD"/>
    <w:rsid w:val="74E21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kern w:val="2"/>
      <w:sz w:val="18"/>
      <w:szCs w:val="18"/>
    </w:rPr>
  </w:style>
  <w:style w:type="character" w:customStyle="1" w:styleId="7">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1547</Words>
  <Characters>1648</Characters>
  <Lines>13</Lines>
  <Paragraphs>3</Paragraphs>
  <TotalTime>0</TotalTime>
  <ScaleCrop>false</ScaleCrop>
  <LinksUpToDate>false</LinksUpToDate>
  <CharactersWithSpaces>1786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2023-02-21T09:42:00Z</dcterms:created>
  <dc:creator>微软用户</dc:creator>
  <cp:lastModifiedBy>Administrator</cp:lastModifiedBy>
  <dcterms:modified xsi:type="dcterms:W3CDTF">2023-03-13T02:36:59Z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4AA2DE999ED741A6B0EEA5BA4D334491</vt:lpwstr>
  </property>
</Properties>
</file>