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巨鹿县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eastAsia="zh-CN"/>
        </w:rPr>
        <w:t>交通运输局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年信息公开年度报告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>
      <w:pPr>
        <w:pStyle w:val="5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hint="eastAsia" w:ascii="宋体" w:hAnsi="宋体" w:cs="宋体"/>
          <w:b/>
          <w:color w:val="33333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333333"/>
          <w:shd w:val="clear" w:color="auto" w:fill="FFFFFF"/>
          <w:lang w:val="en-US" w:eastAsia="zh-CN"/>
        </w:rPr>
        <w:t>一、</w:t>
      </w:r>
      <w:r>
        <w:rPr>
          <w:rFonts w:hint="eastAsia" w:ascii="宋体" w:hAnsi="宋体" w:cs="宋体"/>
          <w:b/>
          <w:color w:val="333333"/>
          <w:shd w:val="clear" w:color="auto" w:fill="FFFFFF"/>
        </w:rPr>
        <w:t>总体情况</w:t>
      </w:r>
    </w:p>
    <w:p>
      <w:pPr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2023年，巨鹿县交通运输局在县委、县政府的正确领导下，严格按照县政府政府信息公开工作部署，围绕全县政府信息公开工作要点，贯彻落实《中华人民共和国政府信息公开条例》，确保政府信息公开工作落到实处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（一）主动公开情况。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我局在各信息发布主渠道主动公开发布各类信息共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178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计条，其中：行政许可类信息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159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条，行政处罚类信息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19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条。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（二）依申请公开情况。严格执行《河北省政府信息公开申请办理规范》，依据《答复格式文本》制作政府信息公开申请答复书、告知书等，扎实推进依申请公开工作规范化标准化。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（三）严格政府信息管理。及时梳理我局行政规范性文件和各类政策措施，通过政府门户网站和政府信息公开平台集中统一公开。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（四）推动政府信息公开平台建设。积极推进政府信息公开平台建设，2023年公开405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余条。强化政务新媒体运维管理。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（五）坚持监督保障。我局安排专人监督做好政务新媒体发布、巡查等工作，确保政务新媒体稳定运转，对投诉、举报、责任追究等事件做到依法依规、公平公正。加强社会监督，广泛听取社会监督员的意见和建议。</w:t>
      </w:r>
    </w:p>
    <w:p>
      <w:pPr>
        <w:pStyle w:val="5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ind w:firstLine="400" w:firstLineChars="2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加144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ind w:firstLine="400" w:firstLineChars="2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distribute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distribute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distribute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distribute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distribute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distribute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存在的主要问题及改进情况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480" w:firstLineChars="200"/>
        <w:jc w:val="both"/>
        <w:rPr>
          <w:rFonts w:hint="eastAsia" w:ascii="仿宋_GB2312" w:hAnsi="仿宋_GB2312" w:eastAsia="仿宋_GB2312" w:cs="仿宋_GB2312"/>
          <w:b/>
          <w:color w:val="333333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>今年以来，我局虽然政府信息公开工作认识比较到位、工作认真，取得了一定的成绩，但是也存在着信息公开不及时或未及时更新等问题，接下来我局将继续加强信息公开的力度，进一步规范公开信息格式、充实信息公开内容，突出重点、热点和难点问题，切实发挥好信息公开平台的桥梁作用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六、其他需要报告的事项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我局2023年度政府信息公开工作没有其他需要报告的事项。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83983B"/>
    <w:multiLevelType w:val="singleLevel"/>
    <w:tmpl w:val="7783983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YjUzZTVjMmI4YWQzZjY5MjY4ZWFiNWZiMjZlZWQifQ=="/>
  </w:docVars>
  <w:rsids>
    <w:rsidRoot w:val="15C578C3"/>
    <w:rsid w:val="000F3F3F"/>
    <w:rsid w:val="008537DF"/>
    <w:rsid w:val="00AF2A7A"/>
    <w:rsid w:val="01787946"/>
    <w:rsid w:val="03853D13"/>
    <w:rsid w:val="0E6D2D14"/>
    <w:rsid w:val="11A80FC3"/>
    <w:rsid w:val="15C578C3"/>
    <w:rsid w:val="17AC0CA8"/>
    <w:rsid w:val="2EA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autoRedefine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1078</Words>
  <Characters>1111</Characters>
  <Lines>9</Lines>
  <Paragraphs>2</Paragraphs>
  <TotalTime>5</TotalTime>
  <ScaleCrop>false</ScaleCrop>
  <LinksUpToDate>false</LinksUpToDate>
  <CharactersWithSpaces>1317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WPS_1559690515</cp:lastModifiedBy>
  <cp:lastPrinted>2024-01-17T03:03:47Z</cp:lastPrinted>
  <dcterms:modified xsi:type="dcterms:W3CDTF">2024-01-17T03:04:50Z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AD68BCC4F49C42E1B5827E251ADDB940_13</vt:lpwstr>
  </property>
</Properties>
</file>