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tbl>
      <w:tblPr>
        <w:tblStyle w:val="9"/>
        <w:tblW w:w="9180" w:type="dxa"/>
        <w:tblInd w:w="0" w:type="dxa"/>
        <w:tblLayout w:type="fixed"/>
        <w:tblCellMar>
          <w:top w:w="0" w:type="dxa"/>
          <w:left w:w="108" w:type="dxa"/>
          <w:bottom w:w="0" w:type="dxa"/>
          <w:right w:w="108" w:type="dxa"/>
        </w:tblCellMar>
      </w:tblPr>
      <w:tblGrid>
        <w:gridCol w:w="7196"/>
        <w:gridCol w:w="1984"/>
      </w:tblGrid>
      <w:tr>
        <w:tblPrEx>
          <w:tblLayout w:type="fixed"/>
          <w:tblCellMar>
            <w:top w:w="0" w:type="dxa"/>
            <w:left w:w="108" w:type="dxa"/>
            <w:bottom w:w="0" w:type="dxa"/>
            <w:right w:w="108" w:type="dxa"/>
          </w:tblCellMar>
        </w:tblPrEx>
        <w:trPr>
          <w:trHeight w:val="2213" w:hRule="atLeast"/>
        </w:trPr>
        <w:tc>
          <w:tcPr>
            <w:tcW w:w="7196" w:type="dxa"/>
          </w:tcPr>
          <w:p>
            <w:pPr>
              <w:spacing w:line="1000" w:lineRule="exact"/>
              <w:jc w:val="distribute"/>
              <w:rPr>
                <w:rFonts w:ascii="宋体" w:hAnsi="宋体"/>
                <w:b/>
                <w:color w:val="FF0000"/>
                <w:sz w:val="84"/>
                <w:szCs w:val="84"/>
              </w:rPr>
            </w:pPr>
            <w:r>
              <w:rPr>
                <w:rFonts w:hint="eastAsia" w:ascii="宋体" w:hAnsi="宋体"/>
                <w:b/>
                <w:color w:val="FF0000"/>
                <w:sz w:val="84"/>
                <w:szCs w:val="84"/>
                <w:lang w:eastAsia="zh-CN"/>
              </w:rPr>
              <w:t>巨鹿县</w:t>
            </w:r>
            <w:r>
              <w:rPr>
                <w:rFonts w:hint="eastAsia" w:ascii="宋体" w:hAnsi="宋体"/>
                <w:b/>
                <w:color w:val="FF0000"/>
                <w:sz w:val="84"/>
                <w:szCs w:val="84"/>
              </w:rPr>
              <w:t>财政局</w:t>
            </w:r>
          </w:p>
          <w:p>
            <w:pPr>
              <w:spacing w:line="1000" w:lineRule="exact"/>
              <w:jc w:val="distribute"/>
              <w:rPr>
                <w:rFonts w:ascii="宋体" w:hAnsi="宋体"/>
                <w:b/>
                <w:color w:val="FF0000"/>
                <w:sz w:val="84"/>
                <w:szCs w:val="84"/>
              </w:rPr>
            </w:pPr>
            <w:r>
              <w:rPr>
                <w:rFonts w:hint="eastAsia" w:ascii="宋体" w:hAnsi="宋体"/>
                <w:b/>
                <w:color w:val="FF0000"/>
                <w:sz w:val="84"/>
                <w:szCs w:val="84"/>
                <w:lang w:eastAsia="zh-CN"/>
              </w:rPr>
              <w:t>巨鹿县</w:t>
            </w:r>
            <w:r>
              <w:rPr>
                <w:rFonts w:hint="eastAsia" w:ascii="宋体" w:hAnsi="宋体"/>
                <w:b/>
                <w:color w:val="FF0000"/>
                <w:sz w:val="84"/>
                <w:szCs w:val="84"/>
              </w:rPr>
              <w:t>农业农村局</w:t>
            </w:r>
          </w:p>
        </w:tc>
        <w:tc>
          <w:tcPr>
            <w:tcW w:w="1984" w:type="dxa"/>
            <w:vAlign w:val="center"/>
          </w:tcPr>
          <w:p>
            <w:pPr>
              <w:spacing w:line="1000" w:lineRule="exact"/>
              <w:jc w:val="center"/>
              <w:rPr>
                <w:rFonts w:ascii="宋体" w:hAnsi="宋体"/>
                <w:b/>
                <w:color w:val="FF0000"/>
                <w:sz w:val="84"/>
                <w:szCs w:val="84"/>
              </w:rPr>
            </w:pPr>
            <w:r>
              <w:rPr>
                <w:rFonts w:hint="eastAsia" w:ascii="宋体" w:hAnsi="宋体"/>
                <w:b/>
                <w:color w:val="FF0000"/>
                <w:sz w:val="84"/>
                <w:szCs w:val="84"/>
              </w:rPr>
              <w:t>文件</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after="158" w:afterLines="50" w:line="580" w:lineRule="exact"/>
        <w:jc w:val="center"/>
        <w:textAlignment w:val="auto"/>
        <w:rPr>
          <w:rFonts w:ascii="仿宋_GB2312" w:eastAsia="仿宋_GB2312"/>
          <w:bCs/>
          <w:sz w:val="32"/>
          <w:szCs w:val="32"/>
        </w:rPr>
      </w:pPr>
      <w:r>
        <w:rPr>
          <w:rFonts w:ascii="仿宋_GB2312" w:eastAsia="仿宋_GB2312"/>
          <w:bCs/>
          <w:sz w:val="32"/>
          <w:szCs w:val="32"/>
        </w:rPr>
        <w:pict>
          <v:shape id="_x0000_s1028" o:spid="_x0000_s1028" o:spt="32" type="#_x0000_t32" style="position:absolute;left:0pt;margin-left:3.1pt;margin-top:27.75pt;height:0pt;width:449.35pt;z-index:251658240;mso-width-relative:page;mso-height-relative:page;" o:connectortype="straight" filled="f" stroked="t" coordsize="21600,21600">
            <v:path arrowok="t"/>
            <v:fill on="f" focussize="0,0"/>
            <v:stroke weight="2pt" color="#FF0000"/>
            <v:imagedata o:title=""/>
            <o:lock v:ext="edit"/>
          </v:shape>
        </w:pict>
      </w:r>
      <w:r>
        <w:rPr>
          <w:rFonts w:hint="eastAsia" w:ascii="仿宋_GB2312" w:eastAsia="仿宋_GB2312"/>
          <w:bCs/>
          <w:sz w:val="32"/>
          <w:szCs w:val="32"/>
          <w:lang w:eastAsia="zh-CN"/>
        </w:rPr>
        <w:t>巨</w:t>
      </w:r>
      <w:r>
        <w:rPr>
          <w:rFonts w:hint="eastAsia" w:ascii="仿宋_GB2312" w:eastAsia="仿宋_GB2312"/>
          <w:bCs/>
          <w:sz w:val="32"/>
          <w:szCs w:val="32"/>
        </w:rPr>
        <w:t>财〔202</w:t>
      </w:r>
      <w:r>
        <w:rPr>
          <w:rFonts w:hint="eastAsia" w:ascii="仿宋_GB2312" w:eastAsia="仿宋_GB2312"/>
          <w:bCs/>
          <w:sz w:val="32"/>
          <w:szCs w:val="32"/>
          <w:lang w:val="en-US" w:eastAsia="zh-CN"/>
        </w:rPr>
        <w:t>2</w:t>
      </w:r>
      <w:r>
        <w:rPr>
          <w:rFonts w:hint="eastAsia" w:ascii="仿宋_GB2312" w:eastAsia="仿宋_GB2312"/>
          <w:bCs/>
          <w:sz w:val="32"/>
          <w:szCs w:val="32"/>
        </w:rPr>
        <w:t>〕</w:t>
      </w:r>
      <w:r>
        <w:rPr>
          <w:rFonts w:hint="eastAsia" w:ascii="仿宋_GB2312" w:eastAsia="仿宋_GB2312"/>
          <w:bCs/>
          <w:sz w:val="32"/>
          <w:szCs w:val="32"/>
          <w:lang w:val="en-US" w:eastAsia="zh-CN"/>
        </w:rPr>
        <w:t>67</w:t>
      </w:r>
      <w:r>
        <w:rPr>
          <w:rFonts w:hint="eastAsia" w:ascii="仿宋_GB2312" w:eastAsia="仿宋_GB2312"/>
          <w:bCs/>
          <w:sz w:val="32"/>
          <w:szCs w:val="32"/>
        </w:rPr>
        <w:t>号</w:t>
      </w:r>
    </w:p>
    <w:p>
      <w:pPr>
        <w:pStyle w:val="2"/>
        <w:keepNext w:val="0"/>
        <w:keepLines w:val="0"/>
        <w:pageBreakBefore w:val="0"/>
        <w:widowControl w:val="0"/>
        <w:kinsoku/>
        <w:wordWrap/>
        <w:overflowPunct/>
        <w:topLinePunct w:val="0"/>
        <w:autoSpaceDE/>
        <w:autoSpaceDN/>
        <w:bidi w:val="0"/>
        <w:adjustRightInd/>
        <w:snapToGrid/>
        <w:spacing w:before="471" w:beforeLines="150" w:line="660" w:lineRule="exact"/>
        <w:jc w:val="center"/>
        <w:textAlignment w:val="auto"/>
        <w:rPr>
          <w:rFonts w:hint="eastAsia" w:ascii="方正小标宋_GBK" w:hAnsi="宋体" w:eastAsia="方正小标宋_GBK" w:cstheme="minorBidi"/>
          <w:kern w:val="2"/>
          <w:sz w:val="44"/>
          <w:szCs w:val="44"/>
          <w:lang w:val="en-US" w:eastAsia="zh-CN" w:bidi="ar-SA"/>
        </w:rPr>
      </w:pPr>
      <w:r>
        <w:rPr>
          <w:rFonts w:hint="eastAsia" w:ascii="方正小标宋_GBK" w:hAnsi="宋体" w:eastAsia="方正小标宋_GBK" w:cstheme="minorBidi"/>
          <w:kern w:val="2"/>
          <w:sz w:val="44"/>
          <w:szCs w:val="44"/>
          <w:lang w:val="en-US" w:eastAsia="zh-CN" w:bidi="ar-SA"/>
        </w:rPr>
        <w:t>巨鹿县财政局  巨鹿县农业农村局</w:t>
      </w:r>
    </w:p>
    <w:p>
      <w:pPr>
        <w:keepNext w:val="0"/>
        <w:keepLines w:val="0"/>
        <w:pageBreakBefore w:val="0"/>
        <w:widowControl w:val="0"/>
        <w:kinsoku/>
        <w:wordWrap/>
        <w:overflowPunct/>
        <w:topLinePunct w:val="0"/>
        <w:autoSpaceDE/>
        <w:autoSpaceDN/>
        <w:bidi w:val="0"/>
        <w:adjustRightInd/>
        <w:snapToGrid/>
        <w:spacing w:after="314" w:afterLines="100" w:line="660" w:lineRule="exact"/>
        <w:jc w:val="center"/>
        <w:textAlignment w:val="auto"/>
        <w:rPr>
          <w:rFonts w:ascii="方正小标宋_GBK" w:hAnsi="宋体" w:eastAsia="方正小标宋_GBK"/>
          <w:sz w:val="44"/>
          <w:szCs w:val="44"/>
        </w:rPr>
      </w:pPr>
      <w:r>
        <w:rPr>
          <w:rFonts w:hint="eastAsia" w:ascii="方正小标宋_GBK" w:hAnsi="宋体" w:eastAsia="方正小标宋_GBK" w:cstheme="minorBidi"/>
          <w:kern w:val="2"/>
          <w:sz w:val="44"/>
          <w:szCs w:val="44"/>
          <w:lang w:val="en-US" w:eastAsia="zh-CN" w:bidi="ar-SA"/>
        </w:rPr>
        <w:t>关于印发《</w:t>
      </w:r>
      <w:r>
        <w:rPr>
          <w:rFonts w:hint="eastAsia" w:ascii="方正小标宋_GBK" w:hAnsi="宋体" w:eastAsia="方正小标宋_GBK"/>
          <w:sz w:val="44"/>
          <w:szCs w:val="44"/>
          <w:lang w:val="en-US" w:eastAsia="zh-CN"/>
        </w:rPr>
        <w:t>巨鹿县</w:t>
      </w:r>
      <w:r>
        <w:rPr>
          <w:rFonts w:hint="eastAsia" w:ascii="方正小标宋_GBK" w:hAnsi="宋体" w:eastAsia="方正小标宋_GBK"/>
          <w:sz w:val="44"/>
          <w:szCs w:val="44"/>
        </w:rPr>
        <w:t>2022年实际种粮农民一次性补贴（第二批）工作实施方案</w:t>
      </w:r>
      <w:r>
        <w:rPr>
          <w:rFonts w:hint="eastAsia" w:ascii="方正小标宋_GBK" w:hAnsi="宋体" w:eastAsia="方正小标宋_GBK"/>
          <w:spacing w:val="-20"/>
          <w:w w:val="98"/>
          <w:sz w:val="44"/>
          <w:szCs w:val="44"/>
        </w:rPr>
        <w:t>》</w:t>
      </w:r>
      <w:r>
        <w:rPr>
          <w:rFonts w:hint="eastAsia" w:ascii="方正小标宋_GBK" w:hAnsi="宋体" w:eastAsia="方正小标宋_GBK"/>
          <w:sz w:val="44"/>
          <w:szCs w:val="44"/>
        </w:rPr>
        <w:t>的通知</w:t>
      </w:r>
    </w:p>
    <w:p>
      <w:pPr>
        <w:pStyle w:val="2"/>
        <w:spacing w:line="600" w:lineRule="exact"/>
        <w:rPr>
          <w:rFonts w:ascii="仿宋_GB2312" w:hAnsi="宋体" w:eastAsia="仿宋_GB2312" w:cs="宋体"/>
          <w:sz w:val="32"/>
          <w:szCs w:val="32"/>
        </w:rPr>
      </w:pP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w:t>
      </w:r>
      <w:r>
        <w:rPr>
          <w:rFonts w:hint="eastAsia" w:ascii="仿宋_GB2312" w:hAnsi="宋体" w:eastAsia="仿宋_GB2312" w:cs="宋体"/>
          <w:sz w:val="32"/>
          <w:szCs w:val="32"/>
        </w:rPr>
        <w:t>：</w:t>
      </w:r>
    </w:p>
    <w:p>
      <w:pPr>
        <w:pStyle w:val="2"/>
        <w:spacing w:line="600" w:lineRule="exact"/>
        <w:ind w:firstLine="640" w:firstLineChars="200"/>
        <w:rPr>
          <w:rFonts w:hint="eastAsia" w:ascii="仿宋_GB2312" w:hAnsi="宋体" w:eastAsia="仿宋_GB2312" w:cs="宋体"/>
          <w:sz w:val="32"/>
          <w:szCs w:val="32"/>
        </w:rPr>
      </w:pPr>
      <w:r>
        <w:rPr>
          <w:rFonts w:hint="eastAsia" w:ascii="仿宋_GB2312" w:hAnsi="Calibri" w:eastAsia="仿宋_GB2312"/>
          <w:sz w:val="32"/>
          <w:szCs w:val="32"/>
        </w:rPr>
        <w:t>为贯彻落实《河北省财政厅关于下达2022年中央财政实际种粮农民一次性补贴资金（第二批）的通知》（冀财农[2022]61号）精神，做好我</w:t>
      </w:r>
      <w:r>
        <w:rPr>
          <w:rFonts w:hint="eastAsia" w:ascii="仿宋_GB2312" w:hAnsi="宋体" w:eastAsia="仿宋_GB2312" w:cs="宋体"/>
          <w:sz w:val="32"/>
          <w:szCs w:val="32"/>
          <w:lang w:eastAsia="zh-CN"/>
        </w:rPr>
        <w:t>县</w:t>
      </w:r>
      <w:r>
        <w:rPr>
          <w:rFonts w:hint="eastAsia" w:ascii="仿宋_GB2312" w:hAnsi="Calibri" w:eastAsia="仿宋_GB2312"/>
          <w:sz w:val="32"/>
          <w:szCs w:val="32"/>
        </w:rPr>
        <w:t>2022年第二批对实际种粮农民一次性补贴发放工作，现将《</w:t>
      </w:r>
      <w:r>
        <w:rPr>
          <w:rFonts w:hint="eastAsia" w:ascii="仿宋_GB2312" w:hAnsi="Calibri" w:eastAsia="仿宋_GB2312"/>
          <w:sz w:val="32"/>
          <w:szCs w:val="32"/>
          <w:lang w:eastAsia="zh-CN"/>
        </w:rPr>
        <w:t>巨鹿县</w:t>
      </w:r>
      <w:r>
        <w:rPr>
          <w:rFonts w:hint="eastAsia" w:ascii="仿宋_GB2312" w:hAnsi="Calibri" w:eastAsia="仿宋_GB2312"/>
          <w:sz w:val="32"/>
          <w:szCs w:val="32"/>
        </w:rPr>
        <w:t>2022年实际种粮农民一次性补贴（第二批）工作实施方案》印发给你们，请按方案要求，认真抓好落实。</w:t>
      </w:r>
    </w:p>
    <w:p>
      <w:pPr>
        <w:pStyle w:val="2"/>
        <w:spacing w:line="600" w:lineRule="exact"/>
        <w:ind w:left="1438" w:leftChars="304" w:hanging="800" w:hangingChars="250"/>
        <w:rPr>
          <w:rFonts w:hint="eastAsia" w:ascii="仿宋_GB2312" w:hAnsi="Calibri" w:eastAsia="仿宋_GB2312"/>
          <w:sz w:val="32"/>
          <w:szCs w:val="32"/>
        </w:rPr>
      </w:pPr>
      <w:r>
        <w:rPr>
          <w:rFonts w:hint="eastAsia" w:ascii="仿宋_GB2312" w:hAnsi="宋体" w:eastAsia="仿宋_GB2312" w:cs="宋体"/>
          <w:sz w:val="32"/>
          <w:szCs w:val="32"/>
        </w:rPr>
        <w:t>附件：《</w:t>
      </w:r>
      <w:r>
        <w:rPr>
          <w:rFonts w:hint="eastAsia" w:ascii="仿宋_GB2312" w:hAnsi="Calibri" w:eastAsia="仿宋_GB2312"/>
          <w:sz w:val="32"/>
          <w:szCs w:val="32"/>
          <w:lang w:eastAsia="zh-CN"/>
        </w:rPr>
        <w:t>巨鹿县</w:t>
      </w:r>
      <w:r>
        <w:rPr>
          <w:rFonts w:hint="eastAsia" w:ascii="仿宋_GB2312" w:hAnsi="Calibri" w:eastAsia="仿宋_GB2312"/>
          <w:sz w:val="32"/>
          <w:szCs w:val="32"/>
        </w:rPr>
        <w:t>2022年实际种粮农民一次性补贴（第二批）</w:t>
      </w:r>
    </w:p>
    <w:p>
      <w:pPr>
        <w:pStyle w:val="2"/>
        <w:spacing w:line="600" w:lineRule="exact"/>
        <w:ind w:left="1438" w:leftChars="304" w:hanging="800" w:hangingChars="250"/>
        <w:rPr>
          <w:rFonts w:ascii="仿宋_GB2312" w:hAnsi="宋体" w:eastAsia="仿宋_GB2312" w:cs="宋体"/>
          <w:sz w:val="32"/>
          <w:szCs w:val="32"/>
        </w:rPr>
      </w:pPr>
      <w:r>
        <w:rPr>
          <w:rFonts w:hint="eastAsia" w:ascii="仿宋_GB2312" w:hAnsi="Calibri" w:eastAsia="仿宋_GB2312"/>
          <w:sz w:val="32"/>
          <w:szCs w:val="32"/>
        </w:rPr>
        <w:t xml:space="preserve">      工作实施方案</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before="314" w:beforeLines="100" w:after="314" w:afterLines="100" w:line="600" w:lineRule="exact"/>
        <w:jc w:val="center"/>
        <w:textAlignment w:val="auto"/>
        <w:rPr>
          <w:rFonts w:hint="eastAsia" w:ascii="仿宋_GB2312" w:eastAsia="仿宋_GB2312"/>
          <w:sz w:val="32"/>
          <w:szCs w:val="32"/>
        </w:rPr>
      </w:pPr>
      <w:r>
        <w:rPr>
          <w:rFonts w:hint="eastAsia" w:ascii="仿宋_GB2312" w:eastAsia="仿宋_GB2312"/>
          <w:sz w:val="32"/>
          <w:szCs w:val="32"/>
          <w:lang w:eastAsia="zh-CN"/>
        </w:rPr>
        <w:t>巨鹿县</w:t>
      </w:r>
      <w:r>
        <w:rPr>
          <w:rFonts w:hint="eastAsia" w:ascii="仿宋_GB2312" w:eastAsia="仿宋_GB2312"/>
          <w:sz w:val="32"/>
          <w:szCs w:val="32"/>
        </w:rPr>
        <w:t xml:space="preserve">财政局             </w:t>
      </w:r>
      <w:r>
        <w:rPr>
          <w:rFonts w:hint="eastAsia" w:ascii="仿宋_GB2312" w:eastAsia="仿宋_GB2312"/>
          <w:sz w:val="32"/>
          <w:szCs w:val="32"/>
          <w:lang w:eastAsia="zh-CN"/>
        </w:rPr>
        <w:t>巨鹿县</w:t>
      </w:r>
      <w:r>
        <w:rPr>
          <w:rFonts w:hint="eastAsia" w:ascii="仿宋_GB2312" w:eastAsia="仿宋_GB2312"/>
          <w:sz w:val="32"/>
          <w:szCs w:val="32"/>
        </w:rPr>
        <w:t>农业农村局</w:t>
      </w:r>
    </w:p>
    <w:p>
      <w:pPr>
        <w:spacing w:line="600" w:lineRule="exact"/>
        <w:jc w:val="right"/>
        <w:rPr>
          <w:rFonts w:ascii="仿宋_GB2312" w:eastAsia="仿宋_GB2312"/>
          <w:sz w:val="32"/>
          <w:szCs w:val="32"/>
        </w:rPr>
      </w:pPr>
      <w:r>
        <w:rPr>
          <w:rFonts w:hint="eastAsia" w:ascii="仿宋_GB2312" w:eastAsia="仿宋_GB2312"/>
          <w:sz w:val="32"/>
          <w:szCs w:val="32"/>
        </w:rPr>
        <w:t xml:space="preserve"> 2022年5月28日  </w:t>
      </w:r>
    </w:p>
    <w:p>
      <w:pPr>
        <w:spacing w:line="580" w:lineRule="exact"/>
        <w:rPr>
          <w:rFonts w:hint="eastAsia" w:ascii="仿宋" w:hAnsi="仿宋" w:eastAsia="仿宋" w:cs="仿宋"/>
          <w:b/>
          <w:sz w:val="32"/>
          <w:szCs w:val="32"/>
          <w:lang w:eastAsia="zh-CN"/>
        </w:rPr>
      </w:pPr>
      <w:r>
        <w:rPr>
          <w:rFonts w:hint="eastAsia" w:ascii="仿宋" w:hAnsi="仿宋" w:eastAsia="仿宋" w:cs="仿宋"/>
          <w:b/>
          <w:sz w:val="32"/>
          <w:szCs w:val="32"/>
        </w:rPr>
        <w:t>附件</w:t>
      </w:r>
      <w:r>
        <w:rPr>
          <w:rFonts w:hint="eastAsia" w:ascii="仿宋" w:hAnsi="仿宋" w:eastAsia="仿宋" w:cs="仿宋"/>
          <w:b/>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8" w:beforeLines="50" w:line="7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巨鹿县</w:t>
      </w:r>
      <w:r>
        <w:rPr>
          <w:rFonts w:hint="eastAsia" w:ascii="黑体" w:hAnsi="黑体" w:eastAsia="黑体" w:cs="黑体"/>
          <w:sz w:val="44"/>
          <w:szCs w:val="44"/>
        </w:rPr>
        <w:t>2022年实际种粮农民一次性补贴</w:t>
      </w:r>
    </w:p>
    <w:p>
      <w:pPr>
        <w:keepNext w:val="0"/>
        <w:keepLines w:val="0"/>
        <w:pageBreakBefore w:val="0"/>
        <w:widowControl w:val="0"/>
        <w:kinsoku/>
        <w:wordWrap/>
        <w:overflowPunct/>
        <w:topLinePunct w:val="0"/>
        <w:autoSpaceDE/>
        <w:autoSpaceDN/>
        <w:bidi w:val="0"/>
        <w:adjustRightInd/>
        <w:snapToGrid/>
        <w:spacing w:after="158" w:afterLines="50" w:line="7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工作实施方案</w:t>
      </w:r>
    </w:p>
    <w:p>
      <w:pPr>
        <w:keepNext w:val="0"/>
        <w:keepLines w:val="0"/>
        <w:pageBreakBefore w:val="0"/>
        <w:kinsoku/>
        <w:wordWrap/>
        <w:overflowPunct/>
        <w:topLinePunct w:val="0"/>
        <w:bidi w:val="0"/>
        <w:snapToGrid/>
        <w:spacing w:line="600" w:lineRule="exact"/>
        <w:jc w:val="left"/>
        <w:textAlignment w:val="auto"/>
        <w:rPr>
          <w:rFonts w:hint="eastAsia" w:ascii="仿宋_GB2312" w:hAnsi="黑体" w:eastAsia="仿宋_GB2312"/>
          <w:sz w:val="32"/>
          <w:szCs w:val="32"/>
        </w:rPr>
      </w:pPr>
      <w:r>
        <w:rPr>
          <w:rFonts w:hint="eastAsia" w:ascii="仿宋_GB2312" w:hAnsi="黑体" w:eastAsia="仿宋_GB2312"/>
          <w:sz w:val="32"/>
          <w:szCs w:val="32"/>
        </w:rPr>
        <w:t xml:space="preserve">    为贯彻落实河北省财政厅《关于下达2022年中央财政实际种粮农民一次性补贴资金（第二批）的通知》（冀财农[2022]61号）精神，根据国家和省</w:t>
      </w:r>
      <w:r>
        <w:rPr>
          <w:rFonts w:hint="eastAsia" w:ascii="仿宋_GB2312" w:hAnsi="黑体" w:eastAsia="仿宋_GB2312"/>
          <w:sz w:val="32"/>
          <w:szCs w:val="32"/>
          <w:lang w:eastAsia="zh-CN"/>
        </w:rPr>
        <w:t>市</w:t>
      </w:r>
      <w:r>
        <w:rPr>
          <w:rFonts w:hint="eastAsia" w:ascii="仿宋_GB2312" w:hAnsi="黑体" w:eastAsia="仿宋_GB2312"/>
          <w:sz w:val="32"/>
          <w:szCs w:val="32"/>
        </w:rPr>
        <w:t>对此次补贴工作的部署和省市《农业相关转移支付管理实施细则》有关要求，结合我</w:t>
      </w:r>
      <w:r>
        <w:rPr>
          <w:rFonts w:hint="eastAsia" w:ascii="仿宋_GB2312" w:hAnsi="黑体" w:eastAsia="仿宋_GB2312"/>
          <w:sz w:val="32"/>
          <w:szCs w:val="32"/>
          <w:lang w:eastAsia="zh-CN"/>
        </w:rPr>
        <w:t>县</w:t>
      </w:r>
      <w:r>
        <w:rPr>
          <w:rFonts w:hint="eastAsia" w:ascii="仿宋_GB2312" w:hAnsi="黑体" w:eastAsia="仿宋_GB2312"/>
          <w:sz w:val="32"/>
          <w:szCs w:val="32"/>
        </w:rPr>
        <w:t>实际，制定本实施方案。</w:t>
      </w:r>
    </w:p>
    <w:p>
      <w:pPr>
        <w:keepNext w:val="0"/>
        <w:keepLines w:val="0"/>
        <w:pageBreakBefore w:val="0"/>
        <w:widowControl/>
        <w:kinsoku/>
        <w:wordWrap/>
        <w:overflowPunct/>
        <w:topLinePunct w:val="0"/>
        <w:bidi w:val="0"/>
        <w:snapToGrid/>
        <w:spacing w:line="600" w:lineRule="exact"/>
        <w:ind w:firstLine="640" w:firstLineChars="200"/>
        <w:textAlignment w:val="auto"/>
        <w:rPr>
          <w:rFonts w:ascii="黑体" w:hAnsi="宋体" w:eastAsia="黑体" w:cs="宋体"/>
          <w:color w:val="000000"/>
          <w:kern w:val="0"/>
          <w:sz w:val="32"/>
          <w:szCs w:val="32"/>
        </w:rPr>
      </w:pPr>
      <w:r>
        <w:rPr>
          <w:rFonts w:hint="eastAsia" w:ascii="黑体" w:hAnsi="仿宋" w:eastAsia="黑体" w:cs="宋体"/>
          <w:color w:val="000000"/>
          <w:kern w:val="0"/>
          <w:sz w:val="32"/>
          <w:szCs w:val="32"/>
        </w:rPr>
        <w:t>一、目的意义</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_GB2312" w:eastAsia="仿宋_GB2312" w:cs="方正仿宋_GBK"/>
          <w:color w:val="000000"/>
          <w:kern w:val="0"/>
          <w:sz w:val="32"/>
          <w:szCs w:val="32"/>
          <w:lang w:val="zh-CN"/>
        </w:rPr>
      </w:pPr>
      <w:r>
        <w:rPr>
          <w:rFonts w:hint="eastAsia" w:ascii="仿宋_GB2312" w:eastAsia="仿宋_GB2312" w:cs="方正仿宋_GBK"/>
          <w:color w:val="000000"/>
          <w:kern w:val="0"/>
          <w:sz w:val="32"/>
          <w:szCs w:val="32"/>
          <w:lang w:val="zh-CN"/>
        </w:rPr>
        <w:t>深入贯彻落实党中央、国务院决策部署，积极应对农资市场价格上涨形势，保障种粮农民合理收益，保护农民种粮积极性，进一步明确工作责任，规范发放流程，强化资金监管，确保</w:t>
      </w:r>
      <w:r>
        <w:rPr>
          <w:rFonts w:hint="eastAsia" w:ascii="仿宋_GB2312" w:hAnsi="Times New Roman" w:eastAsia="仿宋_GB2312" w:cs="Times New Roman"/>
          <w:color w:val="000000"/>
          <w:sz w:val="32"/>
          <w:szCs w:val="32"/>
        </w:rPr>
        <w:t>2022</w:t>
      </w:r>
      <w:r>
        <w:rPr>
          <w:rFonts w:hint="eastAsia" w:ascii="仿宋_GB2312" w:eastAsia="仿宋_GB2312" w:cs="方正仿宋_GBK"/>
          <w:color w:val="000000"/>
          <w:kern w:val="0"/>
          <w:sz w:val="32"/>
          <w:szCs w:val="32"/>
          <w:lang w:val="zh-CN"/>
        </w:rPr>
        <w:t>年第二批实际种粮农民一次性补贴</w:t>
      </w:r>
      <w:r>
        <w:rPr>
          <w:rFonts w:hint="eastAsia" w:ascii="仿宋_GB2312" w:eastAsia="仿宋_GB2312" w:cs="方正仿宋_GBK"/>
          <w:color w:val="000000"/>
          <w:kern w:val="0"/>
          <w:sz w:val="32"/>
          <w:szCs w:val="32"/>
          <w:lang w:val="en-US" w:eastAsia="zh-CN"/>
        </w:rPr>
        <w:t>及时</w:t>
      </w:r>
      <w:r>
        <w:rPr>
          <w:rFonts w:hint="eastAsia" w:ascii="仿宋_GB2312" w:eastAsia="仿宋_GB2312" w:cs="方正仿宋_GBK"/>
          <w:color w:val="000000"/>
          <w:kern w:val="0"/>
          <w:sz w:val="32"/>
          <w:szCs w:val="32"/>
          <w:lang w:val="zh-CN"/>
        </w:rPr>
        <w:t>发放到位，切实提高种粮农民的获得感。</w:t>
      </w:r>
    </w:p>
    <w:p>
      <w:pPr>
        <w:keepNext w:val="0"/>
        <w:keepLines w:val="0"/>
        <w:pageBreakBefore w:val="0"/>
        <w:widowControl/>
        <w:kinsoku/>
        <w:wordWrap/>
        <w:overflowPunct/>
        <w:topLinePunct w:val="0"/>
        <w:bidi w:val="0"/>
        <w:snapToGrid/>
        <w:spacing w:line="600" w:lineRule="exact"/>
        <w:ind w:firstLine="640" w:firstLineChars="200"/>
        <w:textAlignment w:val="auto"/>
        <w:rPr>
          <w:rFonts w:ascii="黑体" w:hAnsi="宋体" w:eastAsia="黑体" w:cs="宋体"/>
          <w:color w:val="000000"/>
          <w:kern w:val="0"/>
          <w:sz w:val="32"/>
          <w:szCs w:val="32"/>
        </w:rPr>
      </w:pPr>
      <w:r>
        <w:rPr>
          <w:rFonts w:hint="eastAsia" w:ascii="黑体" w:hAnsi="宋体" w:eastAsia="黑体" w:cs="宋体"/>
          <w:bCs/>
          <w:color w:val="000000"/>
          <w:kern w:val="0"/>
          <w:sz w:val="32"/>
          <w:szCs w:val="32"/>
        </w:rPr>
        <w:t>二、主要内容</w:t>
      </w:r>
    </w:p>
    <w:p>
      <w:pPr>
        <w:keepNext w:val="0"/>
        <w:keepLines w:val="0"/>
        <w:pageBreakBefore w:val="0"/>
        <w:kinsoku/>
        <w:wordWrap/>
        <w:overflowPunct/>
        <w:topLinePunct w:val="0"/>
        <w:bidi w:val="0"/>
        <w:snapToGrid/>
        <w:spacing w:line="600" w:lineRule="exact"/>
        <w:ind w:firstLine="643" w:firstLineChars="200"/>
        <w:textAlignment w:val="auto"/>
        <w:rPr>
          <w:rFonts w:ascii="仿宋_GB2312" w:hAnsi="宋体" w:eastAsia="仿宋_GB2312" w:cs="宋体"/>
          <w:color w:val="000000"/>
          <w:kern w:val="0"/>
          <w:sz w:val="32"/>
          <w:szCs w:val="32"/>
          <w:lang w:val="zh-TW"/>
        </w:rPr>
      </w:pPr>
      <w:r>
        <w:rPr>
          <w:rFonts w:hint="eastAsia" w:ascii="楷体_GB2312" w:hAnsi="宋体" w:eastAsia="楷体_GB2312" w:cs="宋体"/>
          <w:b/>
          <w:color w:val="000000"/>
          <w:kern w:val="0"/>
          <w:sz w:val="32"/>
          <w:szCs w:val="32"/>
        </w:rPr>
        <w:t>（一）补贴规模。</w:t>
      </w:r>
      <w:r>
        <w:rPr>
          <w:rFonts w:hint="eastAsia" w:ascii="仿宋_GB2312" w:hAnsi="宋体" w:eastAsia="仿宋_GB2312" w:cs="宋体"/>
          <w:color w:val="000000"/>
          <w:kern w:val="0"/>
          <w:sz w:val="32"/>
          <w:szCs w:val="32"/>
        </w:rPr>
        <w:t>按照国务院决策部署，河北省财政厅此次下达我</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的实际种粮农民一次性补贴规模为</w:t>
      </w:r>
      <w:r>
        <w:rPr>
          <w:rFonts w:hint="eastAsia" w:ascii="Times New Roman" w:hAnsi="Times New Roman" w:eastAsia="仿宋_GB2312" w:cs="Times New Roman"/>
          <w:color w:val="000000"/>
          <w:sz w:val="32"/>
          <w:szCs w:val="32"/>
          <w:lang w:val="en-US" w:eastAsia="zh-CN"/>
        </w:rPr>
        <w:t>393</w:t>
      </w:r>
      <w:r>
        <w:rPr>
          <w:rFonts w:hint="eastAsia" w:ascii="Times New Roman" w:hAnsi="Times New Roman" w:eastAsia="仿宋_GB2312" w:cs="Times New Roman"/>
          <w:color w:val="000000"/>
          <w:sz w:val="32"/>
          <w:szCs w:val="32"/>
        </w:rPr>
        <w:t>万</w:t>
      </w:r>
      <w:r>
        <w:rPr>
          <w:rFonts w:hint="eastAsia" w:ascii="仿宋_GB2312" w:hAnsi="宋体" w:eastAsia="仿宋_GB2312" w:cs="宋体"/>
          <w:color w:val="000000"/>
          <w:kern w:val="0"/>
          <w:sz w:val="32"/>
          <w:szCs w:val="32"/>
        </w:rPr>
        <w:t>元</w:t>
      </w:r>
      <w:r>
        <w:rPr>
          <w:rFonts w:hint="eastAsia" w:ascii="仿宋_GB2312" w:hAnsi="宋体" w:eastAsia="仿宋_GB2312" w:cs="宋体"/>
          <w:color w:val="000000"/>
          <w:kern w:val="0"/>
          <w:sz w:val="32"/>
          <w:szCs w:val="32"/>
          <w:lang w:val="zh-TW"/>
        </w:rPr>
        <w:t>。按照国家和省</w:t>
      </w:r>
      <w:r>
        <w:rPr>
          <w:rFonts w:hint="eastAsia" w:ascii="仿宋_GB2312" w:hAnsi="宋体" w:eastAsia="仿宋_GB2312" w:cs="宋体"/>
          <w:color w:val="000000"/>
          <w:kern w:val="0"/>
          <w:sz w:val="32"/>
          <w:szCs w:val="32"/>
          <w:lang w:val="zh-TW" w:eastAsia="zh-CN"/>
        </w:rPr>
        <w:t>市</w:t>
      </w:r>
      <w:r>
        <w:rPr>
          <w:rFonts w:hint="eastAsia" w:ascii="仿宋_GB2312" w:hAnsi="宋体" w:eastAsia="仿宋_GB2312" w:cs="宋体"/>
          <w:color w:val="000000"/>
          <w:kern w:val="0"/>
          <w:sz w:val="32"/>
          <w:szCs w:val="32"/>
          <w:lang w:val="zh-TW"/>
        </w:rPr>
        <w:t>要求，耕地地力保护补贴结余资金</w:t>
      </w:r>
      <w:r>
        <w:rPr>
          <w:rFonts w:hint="eastAsia" w:ascii="仿宋_GB2312" w:hAnsi="宋体" w:eastAsia="仿宋_GB2312" w:cs="宋体"/>
          <w:color w:val="000000"/>
          <w:kern w:val="0"/>
          <w:sz w:val="32"/>
          <w:szCs w:val="32"/>
          <w:lang w:val="zh-TW" w:eastAsia="zh-CN"/>
        </w:rPr>
        <w:t>及</w:t>
      </w:r>
      <w:r>
        <w:rPr>
          <w:rFonts w:hint="eastAsia" w:ascii="仿宋_GB2312" w:hAnsi="黑体" w:eastAsia="仿宋_GB2312"/>
          <w:sz w:val="32"/>
          <w:szCs w:val="32"/>
        </w:rPr>
        <w:t>实际种粮农民一次性补贴（第</w:t>
      </w:r>
      <w:r>
        <w:rPr>
          <w:rFonts w:hint="eastAsia" w:ascii="仿宋_GB2312" w:hAnsi="黑体" w:eastAsia="仿宋_GB2312"/>
          <w:sz w:val="32"/>
          <w:szCs w:val="32"/>
          <w:lang w:eastAsia="zh-CN"/>
        </w:rPr>
        <w:t>一</w:t>
      </w:r>
      <w:r>
        <w:rPr>
          <w:rFonts w:hint="eastAsia" w:ascii="仿宋_GB2312" w:hAnsi="黑体" w:eastAsia="仿宋_GB2312"/>
          <w:sz w:val="32"/>
          <w:szCs w:val="32"/>
        </w:rPr>
        <w:t>批）</w:t>
      </w:r>
      <w:r>
        <w:rPr>
          <w:rFonts w:hint="eastAsia" w:ascii="仿宋_GB2312" w:hAnsi="宋体" w:eastAsia="仿宋_GB2312" w:cs="宋体"/>
          <w:color w:val="000000"/>
          <w:kern w:val="0"/>
          <w:sz w:val="32"/>
          <w:szCs w:val="32"/>
          <w:lang w:val="zh-TW" w:eastAsia="zh-CN"/>
        </w:rPr>
        <w:t>结余资金</w:t>
      </w:r>
      <w:r>
        <w:rPr>
          <w:rFonts w:hint="eastAsia" w:ascii="仿宋_GB2312" w:hAnsi="宋体" w:eastAsia="仿宋_GB2312" w:cs="宋体"/>
          <w:color w:val="000000"/>
          <w:kern w:val="0"/>
          <w:sz w:val="32"/>
          <w:szCs w:val="32"/>
          <w:lang w:val="zh-TW"/>
        </w:rPr>
        <w:t>，</w:t>
      </w:r>
      <w:r>
        <w:rPr>
          <w:rFonts w:hint="eastAsia" w:ascii="仿宋_GB2312" w:hAnsi="宋体" w:eastAsia="仿宋_GB2312" w:cs="宋体"/>
          <w:color w:val="000000"/>
          <w:kern w:val="0"/>
          <w:sz w:val="32"/>
          <w:szCs w:val="32"/>
          <w:lang w:val="zh-TW" w:eastAsia="zh-CN"/>
        </w:rPr>
        <w:t>将</w:t>
      </w:r>
      <w:r>
        <w:rPr>
          <w:rFonts w:hint="eastAsia" w:ascii="仿宋_GB2312" w:hAnsi="宋体" w:eastAsia="仿宋_GB2312" w:cs="宋体"/>
          <w:color w:val="000000"/>
          <w:kern w:val="0"/>
          <w:sz w:val="32"/>
          <w:szCs w:val="32"/>
          <w:lang w:val="zh-TW"/>
        </w:rPr>
        <w:t>与此次安排的一次性补贴资金一并统筹发放，提高资金使用效益。</w:t>
      </w:r>
    </w:p>
    <w:p>
      <w:pPr>
        <w:keepNext w:val="0"/>
        <w:keepLines w:val="0"/>
        <w:pageBreakBefore w:val="0"/>
        <w:kinsoku/>
        <w:wordWrap/>
        <w:overflowPunct/>
        <w:topLinePunct w:val="0"/>
        <w:bidi w:val="0"/>
        <w:snapToGrid/>
        <w:spacing w:line="600" w:lineRule="exact"/>
        <w:ind w:firstLine="643" w:firstLineChars="200"/>
        <w:textAlignment w:val="auto"/>
        <w:rPr>
          <w:rFonts w:hint="eastAsia" w:ascii="仿宋_GB2312" w:eastAsia="仿宋_GB2312"/>
          <w:color w:val="000000"/>
          <w:sz w:val="32"/>
        </w:rPr>
      </w:pPr>
      <w:r>
        <w:rPr>
          <w:rFonts w:hint="eastAsia" w:ascii="楷体_GB2312" w:hAnsi="宋体" w:eastAsia="楷体_GB2312" w:cs="宋体"/>
          <w:b/>
          <w:color w:val="000000"/>
          <w:kern w:val="0"/>
          <w:sz w:val="32"/>
          <w:szCs w:val="32"/>
          <w:lang w:val="zh-TW"/>
        </w:rPr>
        <w:t>（二）补贴对象。</w:t>
      </w:r>
      <w:r>
        <w:rPr>
          <w:rFonts w:hint="eastAsia" w:ascii="仿宋_GB2312" w:hAnsi="宋体" w:eastAsia="仿宋_GB2312" w:cs="宋体"/>
          <w:color w:val="000000"/>
          <w:kern w:val="0"/>
          <w:sz w:val="32"/>
          <w:szCs w:val="32"/>
          <w:lang w:val="zh-TW"/>
        </w:rPr>
        <w:t>此次一次性补贴发放对象为实际承担农资价格上涨成本的实际种粮者，具体包括利用自有承包地种粮的农民，流转土地种粮的大户、家庭农场、农民合作社、农民企业等新型农业经营主体，以及开展粮食耕种收全程社会化服务的个人和组织。</w:t>
      </w:r>
      <w:r>
        <w:rPr>
          <w:rFonts w:hint="eastAsia" w:ascii="仿宋_GB2312" w:eastAsia="仿宋_GB2312"/>
          <w:color w:val="000000"/>
          <w:sz w:val="32"/>
          <w:lang w:eastAsia="zh-CN"/>
        </w:rPr>
        <w:t>县原种场</w:t>
      </w:r>
      <w:r>
        <w:rPr>
          <w:rFonts w:hint="eastAsia" w:ascii="仿宋_GB2312" w:eastAsia="仿宋_GB2312"/>
          <w:color w:val="000000"/>
          <w:sz w:val="32"/>
        </w:rPr>
        <w:t>比照</w:t>
      </w:r>
      <w:r>
        <w:rPr>
          <w:rFonts w:hint="eastAsia" w:ascii="仿宋_GB2312" w:eastAsia="仿宋_GB2312"/>
          <w:color w:val="000000"/>
          <w:sz w:val="32"/>
          <w:lang w:eastAsia="zh-CN"/>
        </w:rPr>
        <w:t>我县</w:t>
      </w:r>
      <w:r>
        <w:rPr>
          <w:rFonts w:hint="eastAsia" w:ascii="仿宋_GB2312" w:hAnsi="宋体" w:eastAsia="仿宋_GB2312" w:cs="宋体"/>
          <w:color w:val="000000"/>
          <w:kern w:val="0"/>
          <w:sz w:val="32"/>
          <w:szCs w:val="32"/>
          <w:lang w:val="zh-TW"/>
        </w:rPr>
        <w:t>实际种粮</w:t>
      </w:r>
      <w:r>
        <w:rPr>
          <w:rFonts w:hint="eastAsia" w:ascii="仿宋_GB2312" w:eastAsia="仿宋_GB2312"/>
          <w:color w:val="000000"/>
          <w:sz w:val="32"/>
        </w:rPr>
        <w:t>农户享受一次性补贴政策。</w:t>
      </w:r>
    </w:p>
    <w:p>
      <w:pPr>
        <w:keepNext w:val="0"/>
        <w:keepLines w:val="0"/>
        <w:pageBreakBefore w:val="0"/>
        <w:kinsoku/>
        <w:wordWrap/>
        <w:overflowPunct/>
        <w:topLinePunct w:val="0"/>
        <w:bidi w:val="0"/>
        <w:snapToGrid/>
        <w:spacing w:line="600" w:lineRule="exact"/>
        <w:ind w:firstLine="643" w:firstLineChars="200"/>
        <w:textAlignment w:val="auto"/>
        <w:rPr>
          <w:rFonts w:hint="eastAsia" w:ascii="仿宋_GB2312" w:hAnsi="Calibri" w:eastAsia="仿宋_GB2312"/>
          <w:color w:val="000000"/>
          <w:sz w:val="32"/>
        </w:rPr>
      </w:pPr>
      <w:r>
        <w:rPr>
          <w:rFonts w:hint="eastAsia" w:ascii="楷体_GB2312" w:hAnsi="宋体" w:eastAsia="楷体_GB2312" w:cs="宋体"/>
          <w:b/>
          <w:color w:val="000000"/>
          <w:kern w:val="0"/>
          <w:sz w:val="32"/>
          <w:szCs w:val="32"/>
          <w:lang w:val="zh-TW"/>
        </w:rPr>
        <w:t>（三）补贴依据。</w:t>
      </w:r>
      <w:r>
        <w:rPr>
          <w:rFonts w:hint="eastAsia" w:ascii="仿宋_GB2312" w:hAnsi="宋体" w:eastAsia="仿宋_GB2312" w:cs="宋体"/>
          <w:color w:val="000000"/>
          <w:kern w:val="0"/>
          <w:sz w:val="32"/>
          <w:szCs w:val="32"/>
          <w:lang w:val="zh-TW"/>
        </w:rPr>
        <w:t>一次性补贴省级分配依据是各市、县（市、区）核实上报的</w:t>
      </w:r>
      <w:r>
        <w:rPr>
          <w:rFonts w:ascii="Times New Roman" w:hAnsi="Times New Roman" w:eastAsia="仿宋_GB2312" w:cs="Times New Roman"/>
          <w:color w:val="000000"/>
          <w:kern w:val="0"/>
          <w:sz w:val="32"/>
          <w:szCs w:val="32"/>
          <w:lang w:val="zh-TW"/>
        </w:rPr>
        <w:t>2022</w:t>
      </w:r>
      <w:r>
        <w:rPr>
          <w:rFonts w:hint="eastAsia" w:ascii="仿宋_GB2312" w:hAnsi="宋体" w:eastAsia="仿宋_GB2312" w:cs="宋体"/>
          <w:color w:val="000000"/>
          <w:kern w:val="0"/>
          <w:sz w:val="32"/>
          <w:szCs w:val="32"/>
          <w:lang w:val="zh-TW"/>
        </w:rPr>
        <w:t>年耕地地力保护补贴面积</w:t>
      </w:r>
      <w:r>
        <w:rPr>
          <w:rFonts w:hint="eastAsia" w:ascii="仿宋_GB2312" w:hAnsi="Calibri" w:eastAsia="仿宋_GB2312"/>
          <w:color w:val="000000"/>
          <w:sz w:val="32"/>
        </w:rPr>
        <w:t>。县级发放依据是</w:t>
      </w: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、县原种场辖区内截</w:t>
      </w:r>
      <w:r>
        <w:rPr>
          <w:rFonts w:hint="eastAsia" w:ascii="仿宋_GB2312" w:hAnsi="宋体" w:eastAsia="仿宋_GB2312" w:cs="宋体"/>
          <w:sz w:val="32"/>
          <w:szCs w:val="32"/>
          <w:lang w:val="en-US" w:eastAsia="zh-CN"/>
        </w:rPr>
        <w:t>至</w:t>
      </w:r>
      <w:bookmarkStart w:id="0" w:name="_GoBack"/>
      <w:bookmarkEnd w:id="0"/>
      <w:r>
        <w:rPr>
          <w:rFonts w:hint="eastAsia" w:ascii="仿宋_GB2312" w:hAnsi="宋体" w:eastAsia="仿宋_GB2312" w:cs="宋体"/>
          <w:sz w:val="32"/>
          <w:szCs w:val="32"/>
          <w:lang w:val="en-US" w:eastAsia="zh-CN"/>
        </w:rPr>
        <w:t>5月31日的</w:t>
      </w:r>
      <w:r>
        <w:rPr>
          <w:rFonts w:hint="eastAsia" w:ascii="仿宋_GB2312" w:hAnsi="Calibri" w:eastAsia="仿宋_GB2312"/>
          <w:color w:val="000000"/>
          <w:sz w:val="32"/>
        </w:rPr>
        <w:t>小麦、玉米、大豆和</w:t>
      </w:r>
      <w:r>
        <w:rPr>
          <w:rFonts w:hint="eastAsia" w:ascii="仿宋_GB2312" w:hAnsi="Calibri" w:eastAsia="仿宋_GB2312"/>
          <w:color w:val="000000"/>
          <w:sz w:val="32"/>
          <w:lang w:eastAsia="zh-CN"/>
        </w:rPr>
        <w:t>绿豆、高粱、谷子</w:t>
      </w:r>
      <w:r>
        <w:rPr>
          <w:rFonts w:hint="eastAsia" w:ascii="仿宋_GB2312" w:hAnsi="Calibri" w:eastAsia="仿宋_GB2312"/>
          <w:color w:val="000000"/>
          <w:sz w:val="32"/>
        </w:rPr>
        <w:t>等粮食作物实际播种面积。</w:t>
      </w:r>
    </w:p>
    <w:p>
      <w:pPr>
        <w:keepNext w:val="0"/>
        <w:keepLines w:val="0"/>
        <w:pageBreakBefore w:val="0"/>
        <w:kinsoku/>
        <w:wordWrap/>
        <w:overflowPunct/>
        <w:topLinePunct w:val="0"/>
        <w:bidi w:val="0"/>
        <w:snapToGrid/>
        <w:spacing w:line="600" w:lineRule="exact"/>
        <w:ind w:firstLine="643" w:firstLineChars="200"/>
        <w:textAlignment w:val="auto"/>
        <w:rPr>
          <w:rFonts w:ascii="仿宋_GB2312" w:eastAsia="仿宋_GB2312"/>
          <w:color w:val="000000"/>
          <w:sz w:val="32"/>
        </w:rPr>
      </w:pPr>
      <w:r>
        <w:rPr>
          <w:rFonts w:hint="eastAsia" w:ascii="楷体_GB2312" w:hAnsi="Calibri" w:eastAsia="楷体_GB2312"/>
          <w:b/>
          <w:color w:val="000000"/>
          <w:sz w:val="32"/>
        </w:rPr>
        <w:t>（四）补贴</w:t>
      </w:r>
      <w:r>
        <w:rPr>
          <w:rFonts w:hint="eastAsia" w:ascii="楷体_GB2312" w:hAnsi="宋体" w:eastAsia="楷体_GB2312" w:cs="宋体"/>
          <w:b/>
          <w:color w:val="000000"/>
          <w:kern w:val="0"/>
          <w:sz w:val="32"/>
          <w:szCs w:val="32"/>
          <w:lang w:val="zh-TW"/>
        </w:rPr>
        <w:t>标准。</w:t>
      </w:r>
      <w:r>
        <w:rPr>
          <w:rFonts w:hint="eastAsia" w:ascii="仿宋_GB2312" w:hAnsi="Calibri" w:eastAsia="仿宋_GB2312"/>
          <w:color w:val="000000"/>
          <w:kern w:val="0"/>
          <w:sz w:val="32"/>
          <w:szCs w:val="32"/>
          <w:lang w:eastAsia="zh-CN"/>
        </w:rPr>
        <w:t>我县</w:t>
      </w:r>
      <w:r>
        <w:rPr>
          <w:rFonts w:hint="eastAsia" w:ascii="仿宋_GB2312" w:hAnsi="Calibri" w:eastAsia="仿宋_GB2312"/>
          <w:color w:val="000000"/>
          <w:sz w:val="32"/>
        </w:rPr>
        <w:t>结合资金额度</w:t>
      </w:r>
      <w:r>
        <w:rPr>
          <w:rFonts w:hint="eastAsia" w:ascii="仿宋_GB2312" w:hAnsi="Calibri" w:eastAsia="仿宋_GB2312"/>
          <w:color w:val="000000"/>
          <w:sz w:val="32"/>
          <w:lang w:eastAsia="zh-CN"/>
        </w:rPr>
        <w:t>及</w:t>
      </w: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w:t>
      </w:r>
      <w:r>
        <w:rPr>
          <w:rFonts w:hint="eastAsia" w:ascii="仿宋_GB2312" w:hAnsi="Calibri" w:eastAsia="仿宋_GB2312"/>
          <w:color w:val="000000"/>
          <w:sz w:val="32"/>
        </w:rPr>
        <w:t>核实确定的粮食作物播种面积综合测算确定补贴标准。县域内执行统一的补贴标准。</w:t>
      </w:r>
    </w:p>
    <w:p>
      <w:pPr>
        <w:keepNext w:val="0"/>
        <w:keepLines w:val="0"/>
        <w:pageBreakBefore w:val="0"/>
        <w:kinsoku/>
        <w:wordWrap/>
        <w:overflowPunct/>
        <w:topLinePunct w:val="0"/>
        <w:bidi w:val="0"/>
        <w:snapToGrid/>
        <w:spacing w:line="600" w:lineRule="exact"/>
        <w:ind w:firstLine="643" w:firstLineChars="200"/>
        <w:textAlignment w:val="auto"/>
        <w:rPr>
          <w:rFonts w:ascii="仿宋_GB2312" w:hAnsi="Calibri" w:eastAsia="仿宋_GB2312"/>
          <w:color w:val="000000"/>
          <w:sz w:val="32"/>
        </w:rPr>
      </w:pPr>
      <w:r>
        <w:rPr>
          <w:rFonts w:hint="eastAsia" w:ascii="楷体_GB2312" w:hAnsi="宋体" w:eastAsia="楷体_GB2312" w:cs="宋体"/>
          <w:b/>
          <w:color w:val="000000"/>
          <w:kern w:val="0"/>
          <w:sz w:val="32"/>
          <w:szCs w:val="32"/>
          <w:lang w:val="zh-TW"/>
        </w:rPr>
        <w:t>（五）补贴发放。</w:t>
      </w:r>
      <w:r>
        <w:rPr>
          <w:rFonts w:hint="eastAsia" w:ascii="仿宋_GB2312" w:hAnsi="Calibri" w:eastAsia="仿宋_GB2312"/>
          <w:color w:val="000000"/>
          <w:sz w:val="32"/>
          <w:lang w:val="zh-TW" w:eastAsia="zh-CN"/>
        </w:rPr>
        <w:t>按照省市要求，</w:t>
      </w: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、县原种场要</w:t>
      </w:r>
      <w:r>
        <w:rPr>
          <w:rFonts w:hint="eastAsia" w:ascii="仿宋_GB2312" w:hAnsi="Calibri" w:eastAsia="仿宋_GB2312"/>
          <w:color w:val="000000"/>
          <w:sz w:val="32"/>
        </w:rPr>
        <w:t>在耕地地力保护补贴发放程序和方式的基础上，进一步结合实际完善发放方法，利用现有相关补贴发放基础数据、农户和新型农业经营主体身份信息等数据，精准识别实际种粮农民，加强对补贴面积的核实，依法依规公开补贴信息。</w:t>
      </w:r>
    </w:p>
    <w:p>
      <w:pPr>
        <w:keepNext w:val="0"/>
        <w:keepLines w:val="0"/>
        <w:pageBreakBefore w:val="0"/>
        <w:kinsoku/>
        <w:wordWrap/>
        <w:overflowPunct/>
        <w:topLinePunct w:val="0"/>
        <w:bidi w:val="0"/>
        <w:snapToGrid/>
        <w:spacing w:line="600" w:lineRule="exact"/>
        <w:ind w:firstLine="640" w:firstLineChars="200"/>
        <w:textAlignment w:val="auto"/>
        <w:rPr>
          <w:rFonts w:ascii="仿宋_GB2312" w:hAnsi="Calibri" w:eastAsia="仿宋_GB2312"/>
          <w:color w:val="000000"/>
          <w:sz w:val="32"/>
        </w:rPr>
      </w:pP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w:t>
      </w:r>
      <w:r>
        <w:rPr>
          <w:rFonts w:hint="eastAsia" w:ascii="仿宋_GB2312" w:hAnsi="Calibri" w:eastAsia="仿宋_GB2312"/>
          <w:color w:val="000000"/>
          <w:sz w:val="32"/>
          <w:szCs w:val="32"/>
        </w:rPr>
        <w:t>务于</w:t>
      </w:r>
      <w:r>
        <w:rPr>
          <w:rFonts w:ascii="Times New Roman" w:hAnsi="Times New Roman" w:eastAsia="仿宋_GB2312" w:cs="Times New Roman"/>
          <w:color w:val="000000"/>
          <w:sz w:val="32"/>
          <w:szCs w:val="32"/>
        </w:rPr>
        <w:t>2022年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eastAsia="zh-CN"/>
        </w:rPr>
        <w:t>将统计、核实的</w:t>
      </w:r>
      <w:r>
        <w:rPr>
          <w:rFonts w:hint="eastAsia" w:ascii="仿宋_GB2312" w:hAnsi="Calibri" w:eastAsia="仿宋_GB2312"/>
          <w:color w:val="000000"/>
          <w:sz w:val="32"/>
        </w:rPr>
        <w:t>粮食作物实际播种面积</w:t>
      </w:r>
      <w:r>
        <w:rPr>
          <w:rFonts w:hint="eastAsia" w:ascii="仿宋_GB2312" w:hAnsi="Calibri" w:eastAsia="仿宋_GB2312"/>
          <w:color w:val="000000"/>
          <w:sz w:val="32"/>
          <w:lang w:eastAsia="zh-CN"/>
        </w:rPr>
        <w:t>报农业农村局。按照省市要求，我县于</w:t>
      </w:r>
      <w:r>
        <w:rPr>
          <w:rFonts w:ascii="Times New Roman" w:hAnsi="Times New Roman" w:eastAsia="仿宋_GB2312" w:cs="Times New Roman"/>
          <w:color w:val="000000"/>
          <w:sz w:val="32"/>
          <w:szCs w:val="32"/>
        </w:rPr>
        <w:t>2022年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日</w:t>
      </w:r>
      <w:r>
        <w:rPr>
          <w:rFonts w:hint="eastAsia" w:ascii="仿宋_GB2312" w:hAnsi="Calibri" w:eastAsia="仿宋_GB2312"/>
          <w:color w:val="000000"/>
          <w:sz w:val="32"/>
          <w:szCs w:val="32"/>
        </w:rPr>
        <w:t>前，</w:t>
      </w:r>
      <w:r>
        <w:rPr>
          <w:rFonts w:hint="eastAsia" w:ascii="仿宋_GB2312" w:hAnsi="Calibri" w:eastAsia="仿宋_GB2312"/>
          <w:color w:val="000000"/>
          <w:sz w:val="32"/>
        </w:rPr>
        <w:t>通过“一卡（折）通”方式，将一次性补贴发放到实际种粮农民手中，使种粮农民真正受益。</w:t>
      </w:r>
    </w:p>
    <w:p>
      <w:pPr>
        <w:keepNext w:val="0"/>
        <w:keepLines w:val="0"/>
        <w:pageBreakBefore w:val="0"/>
        <w:widowControl/>
        <w:kinsoku/>
        <w:wordWrap/>
        <w:overflowPunct/>
        <w:topLinePunct w:val="0"/>
        <w:bidi w:val="0"/>
        <w:snapToGrid/>
        <w:spacing w:line="600" w:lineRule="exact"/>
        <w:ind w:firstLine="640" w:firstLineChars="200"/>
        <w:textAlignment w:val="auto"/>
        <w:rPr>
          <w:rFonts w:ascii="黑体" w:hAnsi="仿宋" w:eastAsia="黑体" w:cs="宋体"/>
          <w:color w:val="000000"/>
          <w:kern w:val="0"/>
          <w:sz w:val="32"/>
          <w:szCs w:val="32"/>
        </w:rPr>
      </w:pPr>
      <w:r>
        <w:rPr>
          <w:rFonts w:hint="eastAsia" w:ascii="黑体" w:hAnsi="仿宋" w:eastAsia="黑体" w:cs="宋体"/>
          <w:color w:val="000000"/>
          <w:kern w:val="0"/>
          <w:sz w:val="32"/>
          <w:szCs w:val="32"/>
        </w:rPr>
        <w:t>三、保障措施</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黑体" w:eastAsia="仿宋_GB2312"/>
          <w:sz w:val="32"/>
          <w:szCs w:val="36"/>
        </w:rPr>
      </w:pPr>
      <w:r>
        <w:rPr>
          <w:rFonts w:hint="eastAsia" w:ascii="仿宋_GB2312" w:hAnsi="宋体" w:eastAsia="仿宋_GB2312" w:cs="宋体"/>
          <w:color w:val="000000"/>
          <w:kern w:val="0"/>
          <w:sz w:val="32"/>
          <w:szCs w:val="32"/>
        </w:rPr>
        <w:t>此次发放的对种粮农民一次性补贴事关我</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农民群众切身利益和国家粮食安全大局，</w:t>
      </w: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w:t>
      </w:r>
      <w:r>
        <w:rPr>
          <w:rFonts w:hint="eastAsia" w:ascii="仿宋_GB2312" w:hAnsi="Calibri" w:eastAsia="仿宋_GB2312"/>
          <w:color w:val="000000"/>
          <w:sz w:val="32"/>
          <w:szCs w:val="32"/>
        </w:rPr>
        <w:t>要高度重视，加强组织领导，做好补贴</w:t>
      </w:r>
      <w:r>
        <w:rPr>
          <w:rFonts w:hint="eastAsia" w:ascii="Times New Roman" w:hAnsi="Times New Roman" w:eastAsia="仿宋_GB2312" w:cs="Times New Roman"/>
          <w:color w:val="000000"/>
          <w:sz w:val="32"/>
          <w:szCs w:val="32"/>
          <w:lang w:eastAsia="zh-CN"/>
        </w:rPr>
        <w:t>统计、核实</w:t>
      </w:r>
      <w:r>
        <w:rPr>
          <w:rFonts w:hint="eastAsia" w:ascii="仿宋_GB2312" w:hAnsi="Calibri" w:eastAsia="仿宋_GB2312"/>
          <w:color w:val="000000"/>
          <w:sz w:val="32"/>
          <w:szCs w:val="32"/>
        </w:rPr>
        <w:t>各项工作。</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textAlignment w:val="auto"/>
        <w:rPr>
          <w:rFonts w:hint="eastAsia"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（一）加强组织领导。</w:t>
      </w:r>
      <w:r>
        <w:rPr>
          <w:rFonts w:hint="eastAsia" w:ascii="仿宋_GB2312" w:hAnsi="宋体" w:eastAsia="仿宋_GB2312" w:cs="宋体"/>
          <w:color w:val="000000"/>
          <w:kern w:val="0"/>
          <w:sz w:val="32"/>
          <w:szCs w:val="32"/>
        </w:rPr>
        <w:t>按照粮食安全</w:t>
      </w:r>
      <w:r>
        <w:rPr>
          <w:rFonts w:hint="eastAsia" w:ascii="仿宋_GB2312" w:hAnsi="Calibri" w:eastAsia="仿宋_GB2312"/>
          <w:color w:val="000000"/>
          <w:sz w:val="32"/>
          <w:szCs w:val="32"/>
        </w:rPr>
        <w:t>党政同责的要求，要切实加强统筹协调，建</w:t>
      </w:r>
      <w:r>
        <w:rPr>
          <w:rFonts w:hint="eastAsia" w:ascii="仿宋_GB2312" w:hAnsi="宋体" w:eastAsia="仿宋_GB2312" w:cs="宋体"/>
          <w:color w:val="000000"/>
          <w:kern w:val="0"/>
          <w:sz w:val="32"/>
          <w:szCs w:val="32"/>
        </w:rPr>
        <w:t>立健全财政、农业农村部门</w:t>
      </w:r>
      <w:r>
        <w:rPr>
          <w:rFonts w:hint="eastAsia" w:ascii="仿宋_GB2312" w:hAnsi="宋体" w:eastAsia="仿宋_GB2312" w:cs="宋体"/>
          <w:color w:val="000000"/>
          <w:kern w:val="0"/>
          <w:sz w:val="32"/>
          <w:szCs w:val="32"/>
          <w:lang w:eastAsia="zh-CN"/>
        </w:rPr>
        <w:t>和</w:t>
      </w: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w:t>
      </w:r>
      <w:r>
        <w:rPr>
          <w:rFonts w:hint="eastAsia" w:ascii="仿宋_GB2312" w:hAnsi="宋体" w:eastAsia="仿宋_GB2312" w:cs="宋体"/>
          <w:color w:val="000000"/>
          <w:kern w:val="0"/>
          <w:sz w:val="32"/>
          <w:szCs w:val="32"/>
        </w:rPr>
        <w:t>分工负责的工作机制</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w:t>
      </w:r>
      <w:r>
        <w:rPr>
          <w:rFonts w:hint="eastAsia" w:ascii="仿宋_GB2312" w:hAnsi="宋体" w:eastAsia="仿宋_GB2312" w:cs="宋体"/>
          <w:color w:val="000000"/>
          <w:kern w:val="0"/>
          <w:sz w:val="32"/>
          <w:szCs w:val="32"/>
        </w:rPr>
        <w:t>负责组织统计、核实补贴面积</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种粮农民识别和新型农业经营主体身份核实等基础工作</w:t>
      </w:r>
      <w:r>
        <w:rPr>
          <w:rFonts w:hint="eastAsia" w:ascii="仿宋_GB2312" w:hAnsi="宋体" w:eastAsia="仿宋_GB2312" w:cs="宋体"/>
          <w:color w:val="000000"/>
          <w:kern w:val="0"/>
          <w:sz w:val="32"/>
          <w:szCs w:val="32"/>
          <w:lang w:eastAsia="zh-CN"/>
        </w:rPr>
        <w:t>，鉴于本次补贴资金下达和发放的时间所限，面积统计、核实工作及农户有关信息请务必精准，按时上报，如有错报、漏报等情况，自行负责</w:t>
      </w:r>
      <w:r>
        <w:rPr>
          <w:rFonts w:hint="eastAsia" w:ascii="仿宋_GB2312" w:hAnsi="宋体" w:eastAsia="仿宋_GB2312" w:cs="宋体"/>
          <w:color w:val="000000"/>
          <w:kern w:val="0"/>
          <w:sz w:val="32"/>
          <w:szCs w:val="32"/>
        </w:rPr>
        <w:t>。农业农村</w:t>
      </w:r>
      <w:r>
        <w:rPr>
          <w:rFonts w:hint="eastAsia" w:ascii="仿宋_GB2312" w:hAnsi="宋体" w:eastAsia="仿宋_GB2312" w:cs="宋体"/>
          <w:color w:val="000000"/>
          <w:kern w:val="0"/>
          <w:sz w:val="32"/>
          <w:szCs w:val="32"/>
          <w:lang w:eastAsia="zh-CN"/>
        </w:rPr>
        <w:t>局</w:t>
      </w:r>
      <w:r>
        <w:rPr>
          <w:rFonts w:hint="eastAsia" w:ascii="仿宋_GB2312" w:hAnsi="宋体" w:eastAsia="仿宋_GB2312" w:cs="宋体"/>
          <w:color w:val="000000"/>
          <w:kern w:val="0"/>
          <w:sz w:val="32"/>
          <w:szCs w:val="32"/>
        </w:rPr>
        <w:t>负责</w:t>
      </w:r>
      <w:r>
        <w:rPr>
          <w:rFonts w:hint="eastAsia" w:ascii="仿宋_GB2312" w:hAnsi="宋体" w:eastAsia="仿宋_GB2312" w:cs="宋体"/>
          <w:color w:val="000000"/>
          <w:kern w:val="0"/>
          <w:sz w:val="32"/>
          <w:szCs w:val="32"/>
          <w:lang w:eastAsia="zh-CN"/>
        </w:rPr>
        <w:t>统筹、</w:t>
      </w:r>
      <w:r>
        <w:rPr>
          <w:rFonts w:hint="eastAsia" w:ascii="仿宋_GB2312" w:hAnsi="宋体" w:eastAsia="仿宋_GB2312" w:cs="宋体"/>
          <w:color w:val="000000"/>
          <w:kern w:val="0"/>
          <w:sz w:val="32"/>
          <w:szCs w:val="32"/>
        </w:rPr>
        <w:t>组织</w:t>
      </w: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w:t>
      </w:r>
      <w:r>
        <w:rPr>
          <w:rFonts w:hint="eastAsia" w:ascii="仿宋_GB2312" w:hAnsi="宋体" w:eastAsia="仿宋_GB2312" w:cs="宋体"/>
          <w:color w:val="000000"/>
          <w:kern w:val="0"/>
          <w:sz w:val="32"/>
          <w:szCs w:val="32"/>
        </w:rPr>
        <w:t>统计、核实</w:t>
      </w:r>
      <w:r>
        <w:rPr>
          <w:rFonts w:hint="eastAsia" w:ascii="仿宋_GB2312" w:hAnsi="宋体" w:eastAsia="仿宋_GB2312" w:cs="宋体"/>
          <w:color w:val="000000"/>
          <w:kern w:val="0"/>
          <w:sz w:val="32"/>
          <w:szCs w:val="32"/>
          <w:lang w:eastAsia="zh-CN"/>
        </w:rPr>
        <w:t>、数据上报、政策解读、数据汇总等工作。</w:t>
      </w:r>
      <w:r>
        <w:rPr>
          <w:rFonts w:hint="eastAsia" w:ascii="仿宋_GB2312" w:hAnsi="宋体" w:eastAsia="仿宋_GB2312" w:cs="宋体"/>
          <w:color w:val="000000"/>
          <w:kern w:val="0"/>
          <w:sz w:val="32"/>
          <w:szCs w:val="32"/>
        </w:rPr>
        <w:t>财政</w:t>
      </w:r>
      <w:r>
        <w:rPr>
          <w:rFonts w:hint="eastAsia" w:ascii="仿宋_GB2312" w:hAnsi="宋体" w:eastAsia="仿宋_GB2312" w:cs="宋体"/>
          <w:color w:val="000000"/>
          <w:kern w:val="0"/>
          <w:sz w:val="32"/>
          <w:szCs w:val="32"/>
          <w:lang w:eastAsia="zh-CN"/>
        </w:rPr>
        <w:t>局</w:t>
      </w:r>
      <w:r>
        <w:rPr>
          <w:rFonts w:hint="eastAsia" w:ascii="仿宋_GB2312" w:hAnsi="宋体" w:eastAsia="仿宋_GB2312" w:cs="宋体"/>
          <w:color w:val="000000"/>
          <w:kern w:val="0"/>
          <w:sz w:val="32"/>
          <w:szCs w:val="32"/>
        </w:rPr>
        <w:t>负责根据农业农村</w:t>
      </w:r>
      <w:r>
        <w:rPr>
          <w:rFonts w:hint="eastAsia" w:ascii="仿宋_GB2312" w:hAnsi="宋体" w:eastAsia="仿宋_GB2312" w:cs="宋体"/>
          <w:color w:val="000000"/>
          <w:kern w:val="0"/>
          <w:sz w:val="32"/>
          <w:szCs w:val="32"/>
          <w:lang w:eastAsia="zh-CN"/>
        </w:rPr>
        <w:t>局</w:t>
      </w:r>
      <w:r>
        <w:rPr>
          <w:rFonts w:hint="eastAsia" w:ascii="仿宋_GB2312" w:hAnsi="宋体" w:eastAsia="仿宋_GB2312" w:cs="宋体"/>
          <w:color w:val="000000"/>
          <w:kern w:val="0"/>
          <w:sz w:val="32"/>
          <w:szCs w:val="32"/>
        </w:rPr>
        <w:t>提供的补贴面积和补贴对象信息，测算确定补助标准，并通过“一卡（折）通”方式兑付补贴资金。</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600" w:lineRule="exact"/>
        <w:ind w:firstLine="723" w:firstLineChars="225"/>
        <w:jc w:val="both"/>
        <w:textAlignment w:val="auto"/>
        <w:rPr>
          <w:rFonts w:ascii="仿宋_GB2312" w:eastAsia="仿宋_GB2312"/>
          <w:color w:val="000000"/>
          <w:sz w:val="32"/>
          <w:szCs w:val="32"/>
        </w:rPr>
      </w:pPr>
      <w:r>
        <w:rPr>
          <w:rFonts w:hint="eastAsia" w:ascii="楷体_GB2312" w:eastAsia="楷体_GB2312"/>
          <w:b/>
          <w:color w:val="000000"/>
          <w:sz w:val="32"/>
          <w:szCs w:val="32"/>
        </w:rPr>
        <w:t>（二）规范发放流程。</w:t>
      </w:r>
      <w:r>
        <w:rPr>
          <w:rFonts w:hint="eastAsia" w:ascii="仿宋_GB2312" w:hAnsi="宋体" w:eastAsia="仿宋_GB2312" w:cs="宋体"/>
          <w:sz w:val="32"/>
          <w:szCs w:val="32"/>
        </w:rPr>
        <w:t>各</w:t>
      </w:r>
      <w:r>
        <w:rPr>
          <w:rFonts w:hint="eastAsia" w:ascii="仿宋_GB2312" w:hAnsi="宋体" w:eastAsia="仿宋_GB2312" w:cs="宋体"/>
          <w:sz w:val="32"/>
          <w:szCs w:val="32"/>
          <w:lang w:val="en-US" w:eastAsia="zh-CN"/>
        </w:rPr>
        <w:t>乡镇、</w:t>
      </w:r>
      <w:r>
        <w:rPr>
          <w:rFonts w:hint="eastAsia" w:ascii="仿宋_GB2312" w:hAnsi="宋体" w:eastAsia="仿宋_GB2312" w:cs="宋体"/>
          <w:sz w:val="32"/>
          <w:szCs w:val="32"/>
        </w:rPr>
        <w:t>经济开发区</w:t>
      </w:r>
      <w:r>
        <w:rPr>
          <w:rFonts w:hint="eastAsia" w:ascii="仿宋_GB2312" w:hAnsi="宋体" w:eastAsia="仿宋_GB2312" w:cs="宋体"/>
          <w:sz w:val="32"/>
          <w:szCs w:val="32"/>
          <w:lang w:eastAsia="zh-CN"/>
        </w:rPr>
        <w:t>、县原种场</w:t>
      </w:r>
      <w:r>
        <w:rPr>
          <w:rFonts w:hint="eastAsia" w:ascii="仿宋_GB2312" w:eastAsia="仿宋_GB2312" w:cs="宋体"/>
          <w:sz w:val="32"/>
          <w:szCs w:val="32"/>
          <w:lang w:eastAsia="zh-CN"/>
        </w:rPr>
        <w:t>要严格执行</w:t>
      </w:r>
      <w:r>
        <w:rPr>
          <w:rFonts w:hint="eastAsia" w:ascii="仿宋_GB2312" w:eastAsia="仿宋_GB2312"/>
          <w:color w:val="000000"/>
          <w:sz w:val="32"/>
          <w:szCs w:val="32"/>
        </w:rPr>
        <w:t>补贴</w:t>
      </w:r>
      <w:r>
        <w:rPr>
          <w:rFonts w:hint="eastAsia" w:ascii="仿宋_GB2312" w:eastAsia="仿宋_GB2312"/>
          <w:color w:val="000000"/>
          <w:sz w:val="32"/>
          <w:szCs w:val="32"/>
          <w:lang w:eastAsia="zh-CN"/>
        </w:rPr>
        <w:t>面积统计、核实</w:t>
      </w:r>
      <w:r>
        <w:rPr>
          <w:rFonts w:hint="eastAsia" w:ascii="仿宋_GB2312" w:eastAsia="仿宋_GB2312"/>
          <w:color w:val="000000"/>
          <w:sz w:val="32"/>
          <w:szCs w:val="32"/>
        </w:rPr>
        <w:t>、公开公示的</w:t>
      </w:r>
      <w:r>
        <w:rPr>
          <w:rFonts w:hint="eastAsia" w:ascii="仿宋_GB2312" w:eastAsia="仿宋_GB2312"/>
          <w:color w:val="000000"/>
          <w:sz w:val="32"/>
          <w:szCs w:val="32"/>
          <w:lang w:eastAsia="zh-CN"/>
        </w:rPr>
        <w:t>工作流程</w:t>
      </w:r>
      <w:r>
        <w:rPr>
          <w:rFonts w:hint="eastAsia" w:ascii="仿宋_GB2312" w:eastAsia="仿宋_GB2312"/>
          <w:color w:val="000000"/>
          <w:sz w:val="32"/>
          <w:szCs w:val="32"/>
        </w:rPr>
        <w:t>。通过事前现场抽查审核、事中随机抽查、事后专项核查、大数据辅助核对等，强化补贴资金的审核和监管。要严格落实补贴公开公示要求，通过多种形式公开公示补贴政策以及资金发放情况。补贴发放情况应在所在村（农场）进行公示，接受社会和群众监督，提高资金使用透明度。</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600" w:lineRule="exact"/>
        <w:ind w:firstLine="723" w:firstLineChars="225"/>
        <w:jc w:val="both"/>
        <w:textAlignment w:val="auto"/>
        <w:rPr>
          <w:rFonts w:ascii="仿宋_GB2312" w:eastAsia="仿宋_GB2312"/>
          <w:color w:val="000000"/>
          <w:sz w:val="32"/>
          <w:szCs w:val="32"/>
        </w:rPr>
      </w:pPr>
      <w:r>
        <w:rPr>
          <w:rFonts w:hint="eastAsia" w:ascii="楷体_GB2312" w:eastAsia="楷体_GB2312"/>
          <w:b/>
          <w:color w:val="000000"/>
          <w:sz w:val="32"/>
          <w:szCs w:val="32"/>
        </w:rPr>
        <w:t>（三）强化资金监管。</w:t>
      </w:r>
      <w:r>
        <w:rPr>
          <w:rFonts w:hint="eastAsia" w:ascii="仿宋_GB2312" w:eastAsia="仿宋_GB2312"/>
          <w:color w:val="000000"/>
          <w:sz w:val="32"/>
          <w:szCs w:val="32"/>
        </w:rPr>
        <w:t>要进一步强化管理，加大监管力度，掌握补贴资金发放情况，及时发现并纠正补贴发放过程中存在的问题。对于骗取、套取、挤占、挪用或违规发放等行为，要依法依规严肃处理。</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600" w:lineRule="exact"/>
        <w:ind w:firstLine="723" w:firstLineChars="225"/>
        <w:jc w:val="both"/>
        <w:textAlignment w:val="auto"/>
        <w:rPr>
          <w:rFonts w:ascii="仿宋_GB2312" w:eastAsia="仿宋_GB2312"/>
          <w:color w:val="000000"/>
          <w:sz w:val="32"/>
          <w:szCs w:val="32"/>
        </w:rPr>
      </w:pPr>
      <w:r>
        <w:rPr>
          <w:rFonts w:hint="eastAsia" w:ascii="楷体_GB2312" w:eastAsia="楷体_GB2312"/>
          <w:b/>
          <w:color w:val="000000"/>
          <w:sz w:val="32"/>
          <w:szCs w:val="32"/>
        </w:rPr>
        <w:t>（四）做好政策宣传。</w:t>
      </w:r>
      <w:r>
        <w:rPr>
          <w:rFonts w:hint="eastAsia" w:ascii="仿宋_GB2312" w:eastAsia="仿宋_GB2312"/>
          <w:color w:val="000000"/>
          <w:sz w:val="32"/>
          <w:szCs w:val="32"/>
        </w:rPr>
        <w:t>向种粮农民发放一次性补贴事关农民群众切身利益，涉及面广，各级要高度重视，做好政策宣传和解读，重点明确此次补贴为一次性补贴、补贴对象为实际种植粮食作物的生产者、补贴目的是为稳定农民收入。基层干部特别是村一级干部，</w:t>
      </w:r>
      <w:r>
        <w:rPr>
          <w:rFonts w:hint="eastAsia" w:ascii="仿宋_GB2312" w:eastAsia="仿宋_GB2312"/>
          <w:color w:val="000000"/>
          <w:sz w:val="32"/>
          <w:szCs w:val="32"/>
          <w:lang w:eastAsia="zh-CN"/>
        </w:rPr>
        <w:t>要</w:t>
      </w:r>
      <w:r>
        <w:rPr>
          <w:rFonts w:hint="eastAsia" w:ascii="仿宋_GB2312" w:eastAsia="仿宋_GB2312"/>
          <w:color w:val="000000"/>
          <w:sz w:val="32"/>
          <w:szCs w:val="32"/>
        </w:rPr>
        <w:t>准确把握补贴的政策目标和管理要求</w:t>
      </w:r>
      <w:r>
        <w:rPr>
          <w:rFonts w:hint="eastAsia" w:ascii="仿宋_GB2312" w:eastAsia="仿宋_GB2312"/>
          <w:color w:val="000000"/>
          <w:sz w:val="32"/>
          <w:szCs w:val="32"/>
          <w:lang w:eastAsia="zh-CN"/>
        </w:rPr>
        <w:t>，做好政策宣传</w:t>
      </w:r>
      <w:r>
        <w:rPr>
          <w:rFonts w:hint="eastAsia" w:ascii="仿宋_GB2312" w:eastAsia="仿宋_GB2312"/>
          <w:color w:val="000000"/>
          <w:sz w:val="32"/>
          <w:szCs w:val="32"/>
        </w:rPr>
        <w:t>。</w:t>
      </w:r>
    </w:p>
    <w:sectPr>
      <w:footerReference r:id="rId3" w:type="even"/>
      <w:pgSz w:w="11906" w:h="16838"/>
      <w:pgMar w:top="1928" w:right="1361" w:bottom="1587" w:left="1361" w:header="851" w:footer="1701"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5010"/>
    <w:rsid w:val="00016CA4"/>
    <w:rsid w:val="000324AE"/>
    <w:rsid w:val="00034C50"/>
    <w:rsid w:val="00040139"/>
    <w:rsid w:val="00042933"/>
    <w:rsid w:val="0008033E"/>
    <w:rsid w:val="0008759D"/>
    <w:rsid w:val="00094F2B"/>
    <w:rsid w:val="000B0A83"/>
    <w:rsid w:val="000B6322"/>
    <w:rsid w:val="000E4A5A"/>
    <w:rsid w:val="000F1004"/>
    <w:rsid w:val="00103547"/>
    <w:rsid w:val="00112FC4"/>
    <w:rsid w:val="00151FA3"/>
    <w:rsid w:val="0016265D"/>
    <w:rsid w:val="0017068B"/>
    <w:rsid w:val="001C59B3"/>
    <w:rsid w:val="001E0886"/>
    <w:rsid w:val="001F7E31"/>
    <w:rsid w:val="002071BC"/>
    <w:rsid w:val="00225AE6"/>
    <w:rsid w:val="00235F0F"/>
    <w:rsid w:val="00247318"/>
    <w:rsid w:val="00255783"/>
    <w:rsid w:val="00290BA1"/>
    <w:rsid w:val="002A6AEA"/>
    <w:rsid w:val="002F2268"/>
    <w:rsid w:val="00317DBC"/>
    <w:rsid w:val="00355B6D"/>
    <w:rsid w:val="00365A95"/>
    <w:rsid w:val="003B02B9"/>
    <w:rsid w:val="003B3FF3"/>
    <w:rsid w:val="003C50C2"/>
    <w:rsid w:val="003D7139"/>
    <w:rsid w:val="003E0863"/>
    <w:rsid w:val="003E1ACD"/>
    <w:rsid w:val="0041099F"/>
    <w:rsid w:val="0041371E"/>
    <w:rsid w:val="00436A1D"/>
    <w:rsid w:val="004379D7"/>
    <w:rsid w:val="00481F6E"/>
    <w:rsid w:val="004A68B1"/>
    <w:rsid w:val="004E3B64"/>
    <w:rsid w:val="005020C5"/>
    <w:rsid w:val="0051660F"/>
    <w:rsid w:val="0054462A"/>
    <w:rsid w:val="00567FE6"/>
    <w:rsid w:val="0058162A"/>
    <w:rsid w:val="005B3616"/>
    <w:rsid w:val="00641CD6"/>
    <w:rsid w:val="00655D2C"/>
    <w:rsid w:val="00657419"/>
    <w:rsid w:val="00683167"/>
    <w:rsid w:val="006A5056"/>
    <w:rsid w:val="006E64C9"/>
    <w:rsid w:val="006F5E39"/>
    <w:rsid w:val="007048FF"/>
    <w:rsid w:val="00712100"/>
    <w:rsid w:val="0071700D"/>
    <w:rsid w:val="00731248"/>
    <w:rsid w:val="007333E6"/>
    <w:rsid w:val="007419BC"/>
    <w:rsid w:val="00742652"/>
    <w:rsid w:val="00772600"/>
    <w:rsid w:val="007D23C4"/>
    <w:rsid w:val="007D5D41"/>
    <w:rsid w:val="007F01F9"/>
    <w:rsid w:val="007F7FC6"/>
    <w:rsid w:val="00800E59"/>
    <w:rsid w:val="00867620"/>
    <w:rsid w:val="008709E0"/>
    <w:rsid w:val="008A6A10"/>
    <w:rsid w:val="008A6A31"/>
    <w:rsid w:val="00904AF4"/>
    <w:rsid w:val="00956F74"/>
    <w:rsid w:val="00970512"/>
    <w:rsid w:val="009729E0"/>
    <w:rsid w:val="009B0B5F"/>
    <w:rsid w:val="009C04DA"/>
    <w:rsid w:val="009C11CA"/>
    <w:rsid w:val="009C4C62"/>
    <w:rsid w:val="009E3627"/>
    <w:rsid w:val="009E5085"/>
    <w:rsid w:val="00A11BF8"/>
    <w:rsid w:val="00A14A33"/>
    <w:rsid w:val="00A253C3"/>
    <w:rsid w:val="00A6449D"/>
    <w:rsid w:val="00A768DB"/>
    <w:rsid w:val="00AA09C8"/>
    <w:rsid w:val="00AC09BB"/>
    <w:rsid w:val="00AE1CB5"/>
    <w:rsid w:val="00AE70E5"/>
    <w:rsid w:val="00B0681D"/>
    <w:rsid w:val="00B06D1E"/>
    <w:rsid w:val="00B33464"/>
    <w:rsid w:val="00BC1FDC"/>
    <w:rsid w:val="00BD0FD8"/>
    <w:rsid w:val="00BF3ED4"/>
    <w:rsid w:val="00C44804"/>
    <w:rsid w:val="00C62188"/>
    <w:rsid w:val="00C6362A"/>
    <w:rsid w:val="00C77B1B"/>
    <w:rsid w:val="00C81363"/>
    <w:rsid w:val="00CB27A5"/>
    <w:rsid w:val="00CD3CD8"/>
    <w:rsid w:val="00CD55ED"/>
    <w:rsid w:val="00CD63C0"/>
    <w:rsid w:val="00CE62A0"/>
    <w:rsid w:val="00D026AB"/>
    <w:rsid w:val="00D12481"/>
    <w:rsid w:val="00D21F0C"/>
    <w:rsid w:val="00D522F6"/>
    <w:rsid w:val="00E01334"/>
    <w:rsid w:val="00E266F1"/>
    <w:rsid w:val="00E27AD0"/>
    <w:rsid w:val="00E72D3E"/>
    <w:rsid w:val="00E81BAF"/>
    <w:rsid w:val="00EB16A8"/>
    <w:rsid w:val="00EC7904"/>
    <w:rsid w:val="00EF2812"/>
    <w:rsid w:val="00F72E93"/>
    <w:rsid w:val="00F76599"/>
    <w:rsid w:val="00F87A11"/>
    <w:rsid w:val="00FB7E01"/>
    <w:rsid w:val="00FC503A"/>
    <w:rsid w:val="00FE5F4C"/>
    <w:rsid w:val="00FF39F6"/>
    <w:rsid w:val="01E03679"/>
    <w:rsid w:val="0263182D"/>
    <w:rsid w:val="132E18C5"/>
    <w:rsid w:val="2589250D"/>
    <w:rsid w:val="298129D4"/>
    <w:rsid w:val="35983A48"/>
    <w:rsid w:val="395551D2"/>
    <w:rsid w:val="426D61FC"/>
    <w:rsid w:val="49D50939"/>
    <w:rsid w:val="4A952426"/>
    <w:rsid w:val="4C9E76EC"/>
    <w:rsid w:val="518F2284"/>
    <w:rsid w:val="57B570BE"/>
    <w:rsid w:val="67C11402"/>
    <w:rsid w:val="75556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Date"/>
    <w:basedOn w:val="1"/>
    <w:next w:val="1"/>
    <w:link w:val="13"/>
    <w:semiHidden/>
    <w:unhideWhenUsed/>
    <w:qFormat/>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semiHidden/>
    <w:unhideWhenUsed/>
    <w:qFormat/>
    <w:uiPriority w:val="99"/>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纯文本 Char"/>
    <w:basedOn w:val="7"/>
    <w:link w:val="2"/>
    <w:qFormat/>
    <w:uiPriority w:val="0"/>
    <w:rPr>
      <w:rFonts w:ascii="宋体" w:hAnsi="Courier New" w:eastAsia="宋体" w:cs="Courier New"/>
      <w:szCs w:val="21"/>
    </w:rPr>
  </w:style>
  <w:style w:type="character" w:customStyle="1" w:styleId="13">
    <w:name w:val="日期 Char"/>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E7389-5775-4730-893D-63B69C916EDD}">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337</Words>
  <Characters>1926</Characters>
  <Lines>16</Lines>
  <Paragraphs>4</Paragraphs>
  <TotalTime>26</TotalTime>
  <ScaleCrop>false</ScaleCrop>
  <LinksUpToDate>false</LinksUpToDate>
  <CharactersWithSpaces>2259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acer</cp:lastModifiedBy>
  <cp:lastPrinted>2022-05-29T09:06:00Z</cp:lastPrinted>
  <dcterms:modified xsi:type="dcterms:W3CDTF">2024-02-02T10:22:58Z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