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right="276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</w:p>
    <w:p>
      <w:pPr>
        <w:pStyle w:val="2"/>
        <w:spacing w:line="560" w:lineRule="exact"/>
        <w:ind w:left="0" w:right="276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巨鹿县观寨镇人民政府</w:t>
      </w:r>
    </w:p>
    <w:p>
      <w:pPr>
        <w:pStyle w:val="2"/>
        <w:spacing w:line="560" w:lineRule="exact"/>
        <w:ind w:left="0" w:right="276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非贫困村文化广场工程及墙体整洁建设工程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绩效评价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自评报告</w:t>
      </w:r>
    </w:p>
    <w:p>
      <w:pPr>
        <w:pStyle w:val="9"/>
        <w:numPr>
          <w:ilvl w:val="0"/>
          <w:numId w:val="0"/>
        </w:numPr>
        <w:ind w:firstLine="1280" w:firstLineChars="4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概况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项目立项情况。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项目立项背景。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镇辖区人口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40000余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为进一步提高村容村貌，推动美丽乡村建设，改善居民环境，提高村民生活幸福指数，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实现巨鹿县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镇的可持续发展，决定在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13个非贫困村进行文化广场建设及墙体整洁建设工程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资金用途及目的。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该资金用于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13个非贫困村进行文化广场建设及墙体整洁建设工程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项目资金管理使用情况。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项目资金（包括财政资金、自筹资金等）安排落实、总投入等情况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：该项目涉及13个非贫困村，审定金额171.505249万元,2019年12月拨付工程款的50%约85万元，现需拨付工程款剩余部分86.5052万元，资金来源为县财政资金，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月底前已全部支出。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项目资金（主要是指财政资金）实际使用情况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：该项目资金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13个非贫困村进行文化广场建设及墙体整洁建设工程。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eastAsia="仿宋_GB2312"/>
          <w:color w:val="auto"/>
          <w:sz w:val="32"/>
          <w:szCs w:val="32"/>
        </w:rPr>
        <w:t>项目资金管理情况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严格执行财务制度。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项目资金支出及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拨付</w:t>
      </w:r>
      <w:r>
        <w:rPr>
          <w:rFonts w:hint="eastAsia" w:ascii="仿宋_GB2312" w:eastAsia="仿宋_GB2312"/>
          <w:color w:val="auto"/>
          <w:sz w:val="32"/>
          <w:szCs w:val="32"/>
        </w:rPr>
        <w:t>合规性情况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：项目资金严格按照财政资金授权支付管理的规定，依法依规拨付给各村委会。</w:t>
      </w: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二、项目绩效目标和指标设定情况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（一）项目总目标、年度目标设定情况：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提高村容村貌，推动美丽乡村建设，改善居民环境，提高村民生活幸福指数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项目绩效指标设定情况：</w:t>
      </w:r>
    </w:p>
    <w:tbl>
      <w:tblPr>
        <w:tblStyle w:val="5"/>
        <w:tblpPr w:leftFromText="180" w:rightFromText="180" w:vertAnchor="text" w:horzAnchor="page" w:tblpX="1948" w:tblpY="688"/>
        <w:tblOverlap w:val="never"/>
        <w:tblW w:w="8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991"/>
        <w:gridCol w:w="2276"/>
        <w:gridCol w:w="1125"/>
        <w:gridCol w:w="1536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文化广场建设及墙体整洁工程涉及到的村数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实际支出资金占计划支出资金的比率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当年完成该笔项目资金支出的时间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865052.00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财政对该项目资金的投入成本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村民的生产生活环境明显改善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村民生活生产环境改善情况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对该项目满意的人数占调查总人数比例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</w:tbl>
    <w:p>
      <w:pPr>
        <w:pStyle w:val="9"/>
        <w:numPr>
          <w:ilvl w:val="0"/>
          <w:numId w:val="0"/>
        </w:numP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实施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绩效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管理情况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及取得成绩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落实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使用情况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该项目内容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该资金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13个非贫困村进行文化广场建设及墙体整洁建设工程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项目资金支出及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拨付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合规性情况。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项目资金严格按照财政资金授权支付管理的规定，依法依规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进行拨付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（三）绩效指标情况分析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1.产出指标情况分析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（1）成本指标：财政对该项目的资金投入成本86.5052万元，全部拨付到位，完成情况符合成本指标设定要求。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（2）数量指标：该项目共涉及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13个非贫困村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，并全部完工，完成情况符合成本指标设定要求。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（3）时效指标：全部资金拨付具体完成时间均在202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年12月底之前，符合时效指标的设定要求。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）质量指标：实际支出资金占计划支出资金的比率为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，完成情况符合质量指标设定要求。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2.效益指标情况分析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该笔资金投入使用后，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提高了村容村貌，改善了居民环境，提高了村民生活幸福指数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，完成情况符合成本指标设定要求。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满意度指标分析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满意度指标：对该项目资金拨付满意的人数占调查总人数的比率达到了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90%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，有待进一步提高。</w:t>
      </w:r>
    </w:p>
    <w:p>
      <w:pPr>
        <w:pStyle w:val="9"/>
        <w:numPr>
          <w:ilvl w:val="0"/>
          <w:numId w:val="1"/>
        </w:numPr>
        <w:tabs>
          <w:tab w:val="left" w:pos="6868"/>
        </w:tabs>
        <w:ind w:firstLine="602" w:firstLineChars="200"/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0"/>
          <w:szCs w:val="30"/>
          <w:lang w:val="en-US" w:eastAsia="zh-CN"/>
        </w:rPr>
        <w:t>项目</w:t>
      </w:r>
      <w:r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  <w:t>绩效自评</w:t>
      </w:r>
      <w:r>
        <w:rPr>
          <w:rFonts w:hint="eastAsia" w:ascii="仿宋_GB2312" w:hAnsi="Times New Roman" w:eastAsia="仿宋_GB2312" w:cs="Times New Roman"/>
          <w:b/>
          <w:bCs w:val="0"/>
          <w:sz w:val="30"/>
          <w:szCs w:val="30"/>
          <w:lang w:val="en-US" w:eastAsia="zh-CN"/>
        </w:rPr>
        <w:t>情况</w:t>
      </w:r>
      <w:r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  <w:t>及评价结果</w:t>
      </w:r>
    </w:p>
    <w:p>
      <w:pPr>
        <w:pStyle w:val="9"/>
        <w:numPr>
          <w:ilvl w:val="0"/>
          <w:numId w:val="2"/>
        </w:numPr>
        <w:tabs>
          <w:tab w:val="left" w:pos="6868"/>
        </w:tabs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评价组织完成情况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该项目实施中，我镇组织主管人员和相关部门，对项目实施和管理进行了管控，并进行了自评，确保项目资金充分发挥社会效益。</w:t>
      </w:r>
    </w:p>
    <w:p>
      <w:pPr>
        <w:pStyle w:val="9"/>
        <w:numPr>
          <w:ilvl w:val="0"/>
          <w:numId w:val="0"/>
        </w:numPr>
        <w:tabs>
          <w:tab w:val="left" w:pos="6868"/>
        </w:tabs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绩效评价结果。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该项目总体评价为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优秀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，完成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较好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五、工作改进建设。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 w:bidi="ar-SA"/>
        </w:rPr>
        <w:t>观寨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文化广场建设及墙体整洁建设工程项目进一步提高了村容村貌，推动了美丽乡村建设，改善了居民环境，提高了村民生活幸福指数，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实现巨鹿县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镇的可持续发展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ind w:firstLine="320" w:firstLineChars="1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5648C"/>
    <w:multiLevelType w:val="singleLevel"/>
    <w:tmpl w:val="BC6564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62038B"/>
    <w:multiLevelType w:val="singleLevel"/>
    <w:tmpl w:val="E96203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VjYzE5NWZhMzUyMTkxOTdlYmQyODM2NTc3MWEifQ=="/>
  </w:docVars>
  <w:rsids>
    <w:rsidRoot w:val="00C047EA"/>
    <w:rsid w:val="000B6188"/>
    <w:rsid w:val="001D2EAA"/>
    <w:rsid w:val="002C71AF"/>
    <w:rsid w:val="0036746E"/>
    <w:rsid w:val="00476898"/>
    <w:rsid w:val="00584A12"/>
    <w:rsid w:val="00661BB7"/>
    <w:rsid w:val="006A012B"/>
    <w:rsid w:val="006C0284"/>
    <w:rsid w:val="00767F1C"/>
    <w:rsid w:val="007A1805"/>
    <w:rsid w:val="008E0144"/>
    <w:rsid w:val="00C047EA"/>
    <w:rsid w:val="00C569E2"/>
    <w:rsid w:val="00C91487"/>
    <w:rsid w:val="00CA444D"/>
    <w:rsid w:val="00FC3534"/>
    <w:rsid w:val="00FE09BC"/>
    <w:rsid w:val="031155FF"/>
    <w:rsid w:val="07BB6E4D"/>
    <w:rsid w:val="0B637B2F"/>
    <w:rsid w:val="0DA73070"/>
    <w:rsid w:val="12C34C79"/>
    <w:rsid w:val="17BF201A"/>
    <w:rsid w:val="182863C0"/>
    <w:rsid w:val="19AE7E5E"/>
    <w:rsid w:val="1B6434F4"/>
    <w:rsid w:val="235E5EF0"/>
    <w:rsid w:val="24962D28"/>
    <w:rsid w:val="26FF1C18"/>
    <w:rsid w:val="2A9755EF"/>
    <w:rsid w:val="2B05791D"/>
    <w:rsid w:val="3B3D1917"/>
    <w:rsid w:val="40221543"/>
    <w:rsid w:val="441C3C8B"/>
    <w:rsid w:val="44547433"/>
    <w:rsid w:val="44A66B89"/>
    <w:rsid w:val="48554EB8"/>
    <w:rsid w:val="4A5F1CA2"/>
    <w:rsid w:val="4C8679CC"/>
    <w:rsid w:val="4DB6622E"/>
    <w:rsid w:val="51097986"/>
    <w:rsid w:val="55404F44"/>
    <w:rsid w:val="5CFD38CE"/>
    <w:rsid w:val="5E907ED2"/>
    <w:rsid w:val="62DB76F8"/>
    <w:rsid w:val="65735C3E"/>
    <w:rsid w:val="6F35319C"/>
    <w:rsid w:val="71892928"/>
    <w:rsid w:val="7A8425A9"/>
    <w:rsid w:val="7BE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ind w:left="111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1256</Words>
  <Characters>1326</Characters>
  <Lines>4</Lines>
  <Paragraphs>1</Paragraphs>
  <TotalTime>0</TotalTime>
  <ScaleCrop>false</ScaleCrop>
  <LinksUpToDate>false</LinksUpToDate>
  <CharactersWithSpaces>1327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2022-03-02T02:51:00Z</dcterms:created>
  <dc:creator>lenovo</dc:creator>
  <cp:lastModifiedBy>仙女味儿的小姐姐</cp:lastModifiedBy>
  <cp:lastPrinted>2022-07-04T02:35:00Z</cp:lastPrinted>
  <dcterms:modified xsi:type="dcterms:W3CDTF">2024-02-26T03:55:30Z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56094F2F883A4565BBD3186982FF51F2_13</vt:lpwstr>
  </property>
</Properties>
</file>