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spacing w:val="-20"/>
          <w:sz w:val="40"/>
        </w:rPr>
      </w:pPr>
    </w:p>
    <w:p>
      <w:pPr>
        <w:spacing w:line="400" w:lineRule="exact"/>
        <w:jc w:val="center"/>
        <w:rPr>
          <w:rFonts w:hint="eastAsia" w:ascii="宋体" w:hAnsi="宋体" w:eastAsia="宋体" w:cs="宋体"/>
          <w:b/>
          <w:spacing w:val="-20"/>
          <w:sz w:val="40"/>
        </w:rPr>
      </w:pPr>
    </w:p>
    <w:p>
      <w:pPr>
        <w:spacing w:line="400" w:lineRule="exact"/>
        <w:jc w:val="center"/>
        <w:rPr>
          <w:rFonts w:hint="eastAsia" w:ascii="宋体" w:hAnsi="宋体" w:eastAsia="宋体" w:cs="宋体"/>
          <w:b/>
          <w:spacing w:val="-20"/>
          <w:sz w:val="40"/>
        </w:rPr>
      </w:pPr>
    </w:p>
    <w:p>
      <w:pPr>
        <w:spacing w:line="580" w:lineRule="auto"/>
        <w:jc w:val="center"/>
        <w:rPr>
          <w:rFonts w:ascii="仿宋_GB2312" w:hAnsi="仿宋_GB2312" w:eastAsia="仿宋_GB2312" w:cs="仿宋_GB2312"/>
          <w:b/>
          <w:sz w:val="40"/>
          <w:u w:val="single"/>
        </w:rPr>
      </w:pPr>
      <w:r>
        <w:rPr>
          <w:rFonts w:hint="eastAsia" w:ascii="宋体" w:hAnsi="宋体" w:eastAsia="宋体" w:cs="宋体"/>
          <w:b/>
          <w:sz w:val="40"/>
          <w:u w:val="single"/>
          <w:lang w:eastAsia="zh-CN"/>
        </w:rPr>
        <w:t>巨鹿县社区矫正项目</w:t>
      </w:r>
      <w:r>
        <w:rPr>
          <w:rFonts w:ascii="宋体" w:hAnsi="宋体" w:eastAsia="宋体" w:cs="宋体"/>
          <w:b/>
          <w:sz w:val="40"/>
          <w:u w:val="single"/>
        </w:rPr>
        <w:t>重点自评绩效报告</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760" w:lineRule="auto"/>
        <w:ind w:firstLine="655" w:firstLineChars="234"/>
        <w:rPr>
          <w:rFonts w:ascii="宋体" w:hAnsi="宋体" w:eastAsia="宋体" w:cs="宋体"/>
          <w:sz w:val="28"/>
          <w:u w:val="single"/>
        </w:rPr>
      </w:pPr>
    </w:p>
    <w:p>
      <w:pPr>
        <w:spacing w:line="760" w:lineRule="auto"/>
        <w:ind w:firstLine="1120" w:firstLineChars="400"/>
        <w:rPr>
          <w:rFonts w:hint="default" w:ascii="宋体" w:hAnsi="宋体" w:eastAsia="宋体" w:cs="宋体"/>
          <w:sz w:val="28"/>
          <w:u w:val="single"/>
          <w:lang w:val="en-US" w:eastAsia="zh-CN"/>
        </w:rPr>
      </w:pPr>
      <w:r>
        <w:rPr>
          <w:rFonts w:ascii="宋体" w:hAnsi="宋体" w:eastAsia="宋体" w:cs="宋体"/>
          <w:sz w:val="28"/>
          <w:u w:val="single"/>
        </w:rPr>
        <w:t>项</w:t>
      </w:r>
      <w:r>
        <w:rPr>
          <w:rFonts w:ascii="仿宋_GB2312" w:hAnsi="仿宋_GB2312" w:eastAsia="仿宋_GB2312" w:cs="仿宋_GB2312"/>
          <w:sz w:val="28"/>
          <w:u w:val="single"/>
        </w:rPr>
        <w:t xml:space="preserve"> </w:t>
      </w:r>
      <w:r>
        <w:rPr>
          <w:rFonts w:ascii="宋体" w:hAnsi="宋体" w:eastAsia="宋体" w:cs="宋体"/>
          <w:sz w:val="28"/>
          <w:u w:val="single"/>
        </w:rPr>
        <w:t>目</w:t>
      </w:r>
      <w:r>
        <w:rPr>
          <w:rFonts w:ascii="仿宋_GB2312" w:hAnsi="仿宋_GB2312" w:eastAsia="仿宋_GB2312" w:cs="仿宋_GB2312"/>
          <w:sz w:val="28"/>
          <w:u w:val="single"/>
        </w:rPr>
        <w:t xml:space="preserve"> </w:t>
      </w:r>
      <w:r>
        <w:rPr>
          <w:rFonts w:ascii="宋体" w:hAnsi="宋体" w:eastAsia="宋体" w:cs="宋体"/>
          <w:sz w:val="28"/>
          <w:u w:val="single"/>
        </w:rPr>
        <w:t>名</w:t>
      </w:r>
      <w:r>
        <w:rPr>
          <w:rFonts w:ascii="仿宋_GB2312" w:hAnsi="仿宋_GB2312" w:eastAsia="仿宋_GB2312" w:cs="仿宋_GB2312"/>
          <w:sz w:val="28"/>
          <w:u w:val="single"/>
        </w:rPr>
        <w:t xml:space="preserve"> </w:t>
      </w:r>
      <w:r>
        <w:rPr>
          <w:rFonts w:ascii="宋体" w:hAnsi="宋体" w:eastAsia="宋体" w:cs="宋体"/>
          <w:sz w:val="28"/>
          <w:u w:val="single"/>
        </w:rPr>
        <w:t>称：</w:t>
      </w:r>
      <w:r>
        <w:rPr>
          <w:rFonts w:hint="eastAsia" w:ascii="宋体" w:hAnsi="宋体" w:eastAsia="宋体" w:cs="宋体"/>
          <w:sz w:val="28"/>
          <w:u w:val="single"/>
          <w:lang w:val="en-US" w:eastAsia="zh-CN"/>
        </w:rPr>
        <w:t xml:space="preserve">    社 区 矫 正 项 目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项目实施单位：</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巨</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鹿</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县</w:t>
      </w:r>
      <w:r>
        <w:rPr>
          <w:rFonts w:hint="eastAsia" w:ascii="宋体" w:hAnsi="宋体" w:eastAsia="宋体" w:cs="宋体"/>
          <w:sz w:val="28"/>
          <w:u w:val="single"/>
          <w:lang w:val="en-US" w:eastAsia="zh-CN"/>
        </w:rPr>
        <w:t xml:space="preserve"> 司 法 </w:t>
      </w:r>
      <w:r>
        <w:rPr>
          <w:rFonts w:hint="eastAsia" w:ascii="宋体" w:hAnsi="宋体" w:eastAsia="宋体" w:cs="宋体"/>
          <w:sz w:val="28"/>
          <w:u w:val="single"/>
          <w:lang w:eastAsia="zh-CN"/>
        </w:rPr>
        <w:t>局</w:t>
      </w:r>
      <w:r>
        <w:rPr>
          <w:rFonts w:hint="eastAsia" w:ascii="宋体" w:hAnsi="宋体" w:eastAsia="宋体" w:cs="宋体"/>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项目总金额：</w:t>
      </w:r>
      <w:r>
        <w:rPr>
          <w:rFonts w:hint="eastAsia" w:ascii="宋体" w:hAnsi="宋体" w:eastAsia="宋体" w:cs="宋体"/>
          <w:sz w:val="28"/>
          <w:u w:val="single"/>
          <w:lang w:val="en-US" w:eastAsia="zh-CN"/>
        </w:rPr>
        <w:t xml:space="preserve">           </w:t>
      </w:r>
      <w:r>
        <w:rPr>
          <w:rFonts w:hint="eastAsia" w:ascii="仿宋_GB2312" w:hAnsi="仿宋_GB2312" w:eastAsia="仿宋_GB2312" w:cs="仿宋_GB2312"/>
          <w:sz w:val="28"/>
          <w:u w:val="single"/>
          <w:lang w:val="en-US" w:eastAsia="zh-CN"/>
        </w:rPr>
        <w:t xml:space="preserve">10 </w:t>
      </w:r>
      <w:r>
        <w:rPr>
          <w:rFonts w:ascii="宋体" w:hAnsi="宋体" w:eastAsia="宋体" w:cs="宋体"/>
          <w:sz w:val="28"/>
          <w:u w:val="single"/>
        </w:rPr>
        <w:t>万</w:t>
      </w:r>
      <w:r>
        <w:rPr>
          <w:rFonts w:hint="eastAsia" w:ascii="宋体" w:hAnsi="宋体" w:eastAsia="宋体" w:cs="宋体"/>
          <w:sz w:val="28"/>
          <w:u w:val="single"/>
          <w:lang w:val="en-US" w:eastAsia="zh-CN"/>
        </w:rPr>
        <w:t xml:space="preserve"> </w:t>
      </w:r>
      <w:r>
        <w:rPr>
          <w:rFonts w:ascii="宋体" w:hAnsi="宋体" w:eastAsia="宋体" w:cs="宋体"/>
          <w:sz w:val="28"/>
          <w:u w:val="single"/>
        </w:rPr>
        <w:t>元</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评</w:t>
      </w:r>
      <w:r>
        <w:rPr>
          <w:rFonts w:ascii="仿宋_GB2312" w:hAnsi="仿宋_GB2312" w:eastAsia="仿宋_GB2312" w:cs="仿宋_GB2312"/>
          <w:sz w:val="28"/>
          <w:u w:val="single"/>
        </w:rPr>
        <w:t xml:space="preserve"> </w:t>
      </w:r>
      <w:r>
        <w:rPr>
          <w:rFonts w:ascii="宋体" w:hAnsi="宋体" w:eastAsia="宋体" w:cs="宋体"/>
          <w:sz w:val="28"/>
          <w:u w:val="single"/>
        </w:rPr>
        <w:t>价</w:t>
      </w:r>
      <w:r>
        <w:rPr>
          <w:rFonts w:ascii="仿宋_GB2312" w:hAnsi="仿宋_GB2312" w:eastAsia="仿宋_GB2312" w:cs="仿宋_GB2312"/>
          <w:sz w:val="28"/>
          <w:u w:val="single"/>
        </w:rPr>
        <w:t xml:space="preserve"> </w:t>
      </w:r>
      <w:r>
        <w:rPr>
          <w:rFonts w:ascii="宋体" w:hAnsi="宋体" w:eastAsia="宋体" w:cs="宋体"/>
          <w:sz w:val="28"/>
          <w:u w:val="single"/>
        </w:rPr>
        <w:t>年</w:t>
      </w:r>
      <w:r>
        <w:rPr>
          <w:rFonts w:ascii="仿宋_GB2312" w:hAnsi="仿宋_GB2312" w:eastAsia="仿宋_GB2312" w:cs="仿宋_GB2312"/>
          <w:sz w:val="28"/>
          <w:u w:val="single"/>
        </w:rPr>
        <w:t xml:space="preserve"> </w:t>
      </w:r>
      <w:r>
        <w:rPr>
          <w:rFonts w:ascii="宋体" w:hAnsi="宋体" w:eastAsia="宋体" w:cs="宋体"/>
          <w:sz w:val="28"/>
          <w:u w:val="single"/>
        </w:rPr>
        <w:t>度：</w:t>
      </w:r>
      <w:r>
        <w:rPr>
          <w:rFonts w:hint="eastAsia" w:ascii="宋体" w:hAnsi="宋体" w:eastAsia="宋体" w:cs="宋体"/>
          <w:sz w:val="28"/>
          <w:u w:val="single"/>
          <w:lang w:val="en-US" w:eastAsia="zh-CN"/>
        </w:rPr>
        <w:t xml:space="preserve">         </w:t>
      </w:r>
      <w:r>
        <w:rPr>
          <w:rFonts w:ascii="仿宋_GB2312" w:hAnsi="仿宋_GB2312" w:eastAsia="仿宋_GB2312" w:cs="仿宋_GB2312"/>
          <w:sz w:val="28"/>
          <w:u w:val="single"/>
        </w:rPr>
        <w:t>202</w:t>
      </w:r>
      <w:r>
        <w:rPr>
          <w:rFonts w:hint="eastAsia" w:ascii="仿宋_GB2312" w:hAnsi="仿宋_GB2312" w:eastAsia="仿宋_GB2312" w:cs="仿宋_GB2312"/>
          <w:sz w:val="28"/>
          <w:u w:val="single"/>
          <w:lang w:val="en-US" w:eastAsia="zh-CN"/>
        </w:rPr>
        <w:t xml:space="preserve">3 </w:t>
      </w:r>
      <w:r>
        <w:rPr>
          <w:rFonts w:ascii="宋体" w:hAnsi="宋体" w:eastAsia="宋体" w:cs="宋体"/>
          <w:sz w:val="28"/>
          <w:u w:val="single"/>
        </w:rPr>
        <w:t>年</w:t>
      </w:r>
      <w:r>
        <w:rPr>
          <w:rFonts w:hint="eastAsia" w:ascii="宋体" w:hAnsi="宋体" w:eastAsia="宋体" w:cs="宋体"/>
          <w:sz w:val="28"/>
          <w:u w:val="single"/>
          <w:lang w:val="en-US" w:eastAsia="zh-CN"/>
        </w:rPr>
        <w:t xml:space="preserve"> </w:t>
      </w:r>
      <w:r>
        <w:rPr>
          <w:rFonts w:ascii="宋体" w:hAnsi="宋体" w:eastAsia="宋体" w:cs="宋体"/>
          <w:sz w:val="28"/>
          <w:u w:val="single"/>
        </w:rPr>
        <w:t>度</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sz w:val="28"/>
          <w:u w:val="single"/>
        </w:rPr>
      </w:pPr>
      <w:r>
        <w:rPr>
          <w:rFonts w:ascii="宋体" w:hAnsi="宋体" w:eastAsia="宋体" w:cs="宋体"/>
          <w:sz w:val="28"/>
          <w:u w:val="single"/>
        </w:rPr>
        <w:t>评价组组长：</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王</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新</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lang w:eastAsia="zh-CN"/>
        </w:rPr>
        <w:t>周</w:t>
      </w:r>
      <w:r>
        <w:rPr>
          <w:rFonts w:hint="eastAsia" w:ascii="宋体" w:hAnsi="宋体" w:eastAsia="宋体" w:cs="宋体"/>
          <w:sz w:val="28"/>
          <w:u w:val="single"/>
        </w:rPr>
        <w:t xml:space="preserve"> </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spacing w:line="760" w:lineRule="auto"/>
        <w:ind w:firstLine="1120" w:firstLineChars="400"/>
        <w:rPr>
          <w:rFonts w:ascii="仿宋_GB2312" w:hAnsi="仿宋_GB2312" w:eastAsia="仿宋_GB2312" w:cs="仿宋_GB2312"/>
        </w:rPr>
      </w:pPr>
      <w:r>
        <w:rPr>
          <w:rFonts w:ascii="宋体" w:hAnsi="宋体" w:eastAsia="宋体" w:cs="宋体"/>
          <w:sz w:val="28"/>
          <w:u w:val="single"/>
        </w:rPr>
        <w:t>评价组成员：</w:t>
      </w:r>
      <w:r>
        <w:rPr>
          <w:rFonts w:hint="eastAsia" w:ascii="宋体" w:hAnsi="宋体" w:eastAsia="宋体" w:cs="宋体"/>
          <w:sz w:val="28"/>
          <w:u w:val="single"/>
          <w:lang w:val="en-US" w:eastAsia="zh-CN"/>
        </w:rPr>
        <w:t xml:space="preserve">           刘 晓 斌</w:t>
      </w:r>
      <w:r>
        <w:rPr>
          <w:rFonts w:hint="eastAsia" w:ascii="宋体" w:hAnsi="宋体" w:eastAsia="宋体" w:cs="宋体"/>
          <w:sz w:val="28"/>
          <w:u w:val="single"/>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ascii="仿宋_GB2312" w:hAnsi="仿宋_GB2312" w:eastAsia="仿宋_GB2312" w:cs="仿宋_GB2312"/>
          <w:sz w:val="28"/>
          <w:u w:val="single"/>
        </w:rPr>
        <w:t xml:space="preserve">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xml:space="preserve">  </w:t>
      </w:r>
    </w:p>
    <w:p>
      <w:pPr>
        <w:rPr>
          <w:rFonts w:hint="eastAsia"/>
        </w:rPr>
      </w:pPr>
    </w:p>
    <w:p>
      <w:pPr>
        <w:rPr>
          <w:rFonts w:hint="eastAsia"/>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spacing w:line="580" w:lineRule="auto"/>
        <w:ind w:firstLine="643"/>
        <w:rPr>
          <w:rFonts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hint="eastAsia" w:ascii="黑体" w:hAnsi="黑体" w:eastAsia="黑体" w:cs="黑体"/>
          <w:b w:val="0"/>
          <w:bCs/>
          <w:sz w:val="32"/>
        </w:rPr>
      </w:pPr>
      <w:r>
        <w:rPr>
          <w:rFonts w:hint="eastAsia" w:ascii="黑体" w:hAnsi="黑体" w:eastAsia="黑体" w:cs="黑体"/>
          <w:b w:val="0"/>
          <w:bCs/>
          <w:sz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（一）项目单位基本情况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单位名称：巨鹿县司法局</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地址：河北省巨鹿县黄巾大道北侧</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性质：行政单位</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lang w:eastAsia="zh-CN"/>
        </w:rPr>
        <w:t>承担的业务：</w:t>
      </w:r>
      <w:r>
        <w:rPr>
          <w:rFonts w:hint="eastAsia" w:ascii="仿宋_GB2312" w:hAnsi="仿宋_GB2312" w:eastAsia="仿宋_GB2312" w:cs="仿宋_GB2312"/>
          <w:sz w:val="32"/>
          <w:highlight w:val="none"/>
          <w:lang w:val="en-US" w:eastAsia="zh-CN"/>
        </w:rPr>
        <w:t>1.承担</w:t>
      </w:r>
      <w:r>
        <w:rPr>
          <w:rFonts w:hint="eastAsia" w:ascii="仿宋_GB2312" w:hAnsi="仿宋_GB2312" w:eastAsia="仿宋_GB2312" w:cs="仿宋_GB2312"/>
          <w:sz w:val="32"/>
          <w:highlight w:val="none"/>
          <w:lang w:eastAsia="zh-CN"/>
        </w:rPr>
        <w:t>全面依法治县重大问题的政策研究；</w:t>
      </w:r>
      <w:r>
        <w:rPr>
          <w:rFonts w:hint="eastAsia" w:ascii="仿宋_GB2312" w:hAnsi="仿宋_GB2312" w:eastAsia="仿宋_GB2312" w:cs="仿宋_GB2312"/>
          <w:sz w:val="32"/>
          <w:highlight w:val="none"/>
          <w:lang w:val="en-US" w:eastAsia="zh-CN"/>
        </w:rPr>
        <w:t>2.负责各乡镇政府、经济开发区管委会、县政府各部门规范性文件的备案审查工作，以及其他各项文件的审核清理等工作；3.承担统筹推进巨鹿法治政府建设的责任；4.承担统筹规划全县法治政府建设的责任；5.负责全县社区矫正工作；负责全县刑满释放人员帮教安置工作；6.负责制定全县公共法律服务体系建设规划并指导实施，统筹和布局城乡、区域法律服务资源；包括一些基层法律服务管理工作；7.负责本系统服装和警车等物资装备管理工作；8.规划、协调、指导全县法治人才队伍建设相关工作；9.完成县委、县政府交办的其他任务。</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（二）项目基本情况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项目资金数：10万元</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具体情况：1.社区矫正社会服务费支出支付资金28728元。</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2.社区矫正宣传教育、公益活动等活动所产生的资料费50049元。</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3.社区矫正入矫接收、监督管理、调查评估等派送服务费用995元。</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4.社区矫正专网费用6228元。</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5.安置帮教档案规范化建设，购置制式档案费用14000元。</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hint="eastAsia" w:ascii="黑体" w:hAnsi="黑体" w:eastAsia="黑体" w:cs="黑体"/>
          <w:b w:val="0"/>
          <w:bCs/>
          <w:sz w:val="32"/>
        </w:rPr>
      </w:pPr>
      <w:r>
        <w:rPr>
          <w:rFonts w:hint="eastAsia" w:ascii="黑体" w:hAnsi="黑体" w:eastAsia="黑体" w:cs="黑体"/>
          <w:b w:val="0"/>
          <w:bCs/>
          <w:sz w:val="32"/>
        </w:rPr>
        <w:t>二、项目实施情况</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highlight w:val="none"/>
          <w:lang w:val="en-US" w:eastAsia="zh-CN"/>
        </w:rPr>
        <w:t>项目实施具体情况：1.</w:t>
      </w:r>
      <w:r>
        <w:rPr>
          <w:rFonts w:hint="eastAsia" w:ascii="仿宋_GB2312" w:hAnsi="仿宋_GB2312" w:eastAsia="仿宋_GB2312" w:cs="仿宋_GB2312"/>
          <w:color w:val="auto"/>
          <w:sz w:val="32"/>
          <w:szCs w:val="32"/>
          <w:lang w:val="en-US" w:eastAsia="zh-CN"/>
        </w:rPr>
        <w:t>强化社区矫正服务。</w:t>
      </w:r>
      <w:r>
        <w:rPr>
          <w:rFonts w:hint="eastAsia" w:ascii="仿宋_GB2312" w:hAnsi="仿宋_GB2312" w:eastAsia="仿宋_GB2312" w:cs="仿宋_GB2312"/>
          <w:color w:val="auto"/>
          <w:sz w:val="32"/>
          <w:szCs w:val="32"/>
        </w:rPr>
        <w:t>引入社工队伍，利用社会组织在道德教育、心理辅导和心理矫正等方面的专业优势，</w:t>
      </w:r>
      <w:r>
        <w:rPr>
          <w:rFonts w:hint="eastAsia" w:ascii="仿宋_GB2312" w:hAnsi="仿宋_GB2312" w:eastAsia="仿宋_GB2312" w:cs="仿宋_GB2312"/>
          <w:color w:val="auto"/>
          <w:sz w:val="32"/>
          <w:szCs w:val="32"/>
          <w:lang w:eastAsia="zh-CN"/>
        </w:rPr>
        <w:t>对新入矫人员开展</w:t>
      </w:r>
      <w:r>
        <w:rPr>
          <w:rFonts w:hint="eastAsia" w:ascii="仿宋_GB2312" w:hAnsi="仿宋_GB2312" w:eastAsia="仿宋_GB2312" w:cs="仿宋_GB2312"/>
          <w:color w:val="auto"/>
          <w:sz w:val="32"/>
          <w:szCs w:val="32"/>
        </w:rPr>
        <w:t>心理测试和社工访谈</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建立矫正对象</w:t>
      </w:r>
      <w:r>
        <w:rPr>
          <w:rFonts w:hint="eastAsia" w:ascii="仿宋_GB2312" w:hAnsi="仿宋_GB2312" w:eastAsia="仿宋_GB2312" w:cs="仿宋_GB2312"/>
          <w:color w:val="auto"/>
          <w:sz w:val="32"/>
          <w:szCs w:val="32"/>
          <w:lang w:eastAsia="zh-CN"/>
        </w:rPr>
        <w:t>社工</w:t>
      </w:r>
      <w:r>
        <w:rPr>
          <w:rFonts w:hint="eastAsia" w:ascii="仿宋_GB2312" w:hAnsi="仿宋_GB2312" w:eastAsia="仿宋_GB2312" w:cs="仿宋_GB2312"/>
          <w:color w:val="auto"/>
          <w:sz w:val="32"/>
          <w:szCs w:val="32"/>
        </w:rPr>
        <w:t>服务档案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CN"/>
        </w:rPr>
        <w:t>针对社区矫正对象不同程度的心理问题，采取</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Hans"/>
        </w:rPr>
        <w:t>心理测评</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Hans"/>
        </w:rPr>
        <w:t>社工访谈</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CN"/>
        </w:rPr>
        <w:t>、个案服务、团体辅导、教育大讲堂、社区服务活动、家庭走访六种方式帮助其顺利回归社会，</w:t>
      </w:r>
      <w:r>
        <w:rPr>
          <w:rFonts w:hint="eastAsia" w:ascii="仿宋_GB2312" w:hAnsi="仿宋_GB2312" w:eastAsia="仿宋_GB2312" w:cs="仿宋_GB2312"/>
          <w:color w:val="auto"/>
          <w:sz w:val="32"/>
          <w:szCs w:val="32"/>
          <w:lang w:eastAsia="zh-CN"/>
        </w:rPr>
        <w:t>助力社区矫正工作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2.强化法律法规宣传</w:t>
      </w:r>
      <w:r>
        <w:rPr>
          <w:rFonts w:hint="eastAsia" w:ascii="楷体_GB2312" w:hAnsi="楷体_GB2312" w:eastAsia="楷体_GB2312" w:cs="楷体_GB2312"/>
          <w:b w:val="0"/>
          <w:bCs w:val="0"/>
          <w:i w:val="0"/>
          <w:iCs w:val="0"/>
          <w:caps w:val="0"/>
          <w:snapToGrid w:val="0"/>
          <w:color w:val="auto"/>
          <w:spacing w:val="0"/>
          <w:kern w:val="0"/>
          <w:sz w:val="32"/>
          <w:szCs w:val="32"/>
          <w:shd w:val="clear" w:color="auto" w:fill="FFFFFF"/>
          <w:lang w:val="en-US" w:eastAsia="zh-CN" w:bidi="ar-SA"/>
        </w:rPr>
        <w:t>。</w:t>
      </w:r>
      <w:r>
        <w:rPr>
          <w:rFonts w:hint="eastAsia" w:ascii="仿宋_GB2312" w:hAnsi="仿宋_GB2312" w:eastAsia="仿宋_GB2312" w:cs="仿宋_GB2312"/>
          <w:color w:val="auto"/>
          <w:sz w:val="32"/>
          <w:szCs w:val="32"/>
          <w:lang w:val="en-US" w:eastAsia="zh-CN"/>
        </w:rPr>
        <w:t>不断加强社区矫正相关法律法规宣传，丰富宣传形式，营造良好学习氛围。2023年，通过线上线下结合、举办知识竞赛、开展征文活动、推进“五进”活动等方式开展了《社区矫正法》系列学习宣传活动。3.强化社矫规定落实。积极配合法院、检察院、公安局开展社区矫正可行性评估工作，对其能否宣判缓刑进行详细测评，提高对社区矫正对象改造质量；依法依规及时交付接收社区矫正对象；</w:t>
      </w:r>
      <w:r>
        <w:rPr>
          <w:rFonts w:hint="eastAsia" w:ascii="仿宋_GB2312" w:hAnsi="仿宋_GB2312" w:eastAsia="仿宋_GB2312" w:cs="仿宋_GB2312"/>
          <w:i w:val="0"/>
          <w:iCs w:val="0"/>
          <w:caps w:val="0"/>
          <w:snapToGrid w:val="0"/>
          <w:color w:val="auto"/>
          <w:spacing w:val="0"/>
          <w:sz w:val="32"/>
          <w:szCs w:val="32"/>
          <w:shd w:val="clear" w:color="auto" w:fill="FFFFFF"/>
          <w:lang w:val="en-US" w:eastAsia="zh-CN"/>
        </w:rPr>
        <w:t>对社区矫正对象实行定位监管，并每日开展定位巡查。4.强化安置帮教档案。</w:t>
      </w:r>
      <w:r>
        <w:rPr>
          <w:rFonts w:hint="eastAsia" w:ascii="仿宋_GB2312" w:hAnsi="仿宋_GB2312" w:eastAsia="仿宋_GB2312" w:cs="仿宋_GB2312"/>
          <w:color w:val="auto"/>
          <w:sz w:val="32"/>
          <w:szCs w:val="32"/>
          <w:lang w:val="en-US" w:eastAsia="zh-CN"/>
        </w:rPr>
        <w:t>在衔接当日对</w:t>
      </w:r>
      <w:r>
        <w:rPr>
          <w:rFonts w:hint="eastAsia" w:ascii="仿宋_GB2312" w:hAnsi="仿宋_GB2312" w:cs="仿宋_GB2312"/>
          <w:color w:val="auto"/>
          <w:sz w:val="32"/>
          <w:szCs w:val="32"/>
          <w:lang w:val="en-US" w:eastAsia="zh-CN"/>
        </w:rPr>
        <w:t>安置</w:t>
      </w:r>
      <w:r>
        <w:rPr>
          <w:rFonts w:hint="eastAsia" w:ascii="仿宋_GB2312" w:hAnsi="仿宋_GB2312" w:eastAsia="仿宋_GB2312" w:cs="仿宋_GB2312"/>
          <w:color w:val="auto"/>
          <w:sz w:val="32"/>
          <w:szCs w:val="32"/>
          <w:lang w:val="en-US" w:eastAsia="zh-CN"/>
        </w:rPr>
        <w:t>帮教对象登记台账，</w:t>
      </w:r>
      <w:r>
        <w:rPr>
          <w:rFonts w:hint="eastAsia" w:ascii="仿宋_GB2312" w:hAnsi="仿宋_GB2312" w:cs="仿宋_GB2312"/>
          <w:color w:val="auto"/>
          <w:sz w:val="32"/>
          <w:szCs w:val="32"/>
          <w:lang w:val="en-US" w:eastAsia="zh-CN"/>
        </w:rPr>
        <w:t>建立档案</w:t>
      </w:r>
      <w:r>
        <w:rPr>
          <w:rFonts w:hint="eastAsia" w:ascii="仿宋_GB2312" w:hAnsi="仿宋_GB2312" w:eastAsia="仿宋_GB2312" w:cs="仿宋_GB2312"/>
          <w:color w:val="auto"/>
          <w:sz w:val="32"/>
          <w:szCs w:val="32"/>
          <w:lang w:val="en-US" w:eastAsia="zh-CN"/>
        </w:rPr>
        <w:t>，实行一人一档，档案的内容包括个人基本信息、《刑满释放人员通知书》及相关法律文书、走访记录、文字记录、其他材料等内容。</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项目资金管理情况：根据部门项目支出情况，制定完善项目资金管理办法，做到部门重点项目支出均有法可依。科室每年编制项目预算，提出项目支出预算建议数，由财务室审核汇总。相关经费经单位领导研究商讨同意后支出。未列入预算的项目不得支出，不得超出预算安排支出。经费开支坚持“先审核、后开支，谁开支、谁负责，谁分管、谁把关”的原则。</w:t>
      </w:r>
    </w:p>
    <w:p>
      <w:pPr>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hint="eastAsia" w:ascii="黑体" w:hAnsi="黑体" w:eastAsia="黑体" w:cs="黑体"/>
          <w:b w:val="0"/>
          <w:bCs/>
          <w:sz w:val="32"/>
        </w:rPr>
      </w:pPr>
      <w:r>
        <w:rPr>
          <w:rFonts w:hint="eastAsia" w:ascii="黑体" w:hAnsi="黑体" w:eastAsia="黑体" w:cs="黑体"/>
          <w:b w:val="0"/>
          <w:bCs/>
          <w:sz w:val="32"/>
        </w:rPr>
        <w:t>三、绩效评价工作情况</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（一）评价目的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宋体" w:hAnsi="宋体" w:eastAsia="宋体" w:cs="宋体"/>
          <w:sz w:val="32"/>
        </w:rPr>
      </w:pPr>
      <w:r>
        <w:rPr>
          <w:rFonts w:hint="eastAsia" w:ascii="仿宋_GB2312" w:hAnsi="仿宋_GB2312" w:eastAsia="仿宋_GB2312" w:cs="仿宋_GB2312"/>
          <w:sz w:val="32"/>
          <w:highlight w:val="none"/>
          <w:lang w:val="en-US" w:eastAsia="zh-CN"/>
        </w:rPr>
        <w:t>项目资金绩效评价的目的是加强预算绩效管理，强化支出责任，建立科学、合理的财政支出绩效评价管理体系，提高财政资金使用效益。</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lang w:eastAsia="zh-CN"/>
        </w:rPr>
        <w:t>（二）</w:t>
      </w:r>
      <w:r>
        <w:rPr>
          <w:rFonts w:hint="eastAsia" w:ascii="楷体_GB2312" w:hAnsi="楷体_GB2312" w:eastAsia="楷体_GB2312" w:cs="楷体_GB2312"/>
          <w:b w:val="0"/>
          <w:bCs w:val="0"/>
          <w:sz w:val="32"/>
        </w:rPr>
        <w:t>评价指标</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评价指标分为三大部分：产出指标、效益指标、满意度指标。</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lang w:eastAsia="zh-CN"/>
        </w:rPr>
        <w:t>（三）</w:t>
      </w:r>
      <w:r>
        <w:rPr>
          <w:rFonts w:hint="eastAsia" w:ascii="楷体_GB2312" w:hAnsi="楷体_GB2312" w:eastAsia="楷体_GB2312" w:cs="楷体_GB2312"/>
          <w:b w:val="0"/>
          <w:bCs w:val="0"/>
          <w:sz w:val="32"/>
        </w:rPr>
        <w:t>评价依据</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根据巨鹿县财政局项目绩效自评表和项目支出绩效评价指标体系进行评价。</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（四）评价的主要方法及等级设定</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评价的方法：主要通过财务查看资料、对比数据、调查、座谈等方面确定绩效指标。</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等级设定：按照巨鹿县财政局项目绩效自评表和项目支出绩效评价指标体系进行等级设定。</w:t>
      </w:r>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黑体" w:hAnsi="黑体" w:eastAsia="黑体" w:cs="黑体"/>
          <w:b w:val="0"/>
          <w:bCs/>
          <w:sz w:val="32"/>
        </w:rPr>
      </w:pPr>
      <w:r>
        <w:rPr>
          <w:rFonts w:hint="eastAsia" w:ascii="黑体" w:hAnsi="黑体" w:eastAsia="黑体" w:cs="黑体"/>
          <w:b w:val="0"/>
          <w:bCs/>
          <w:sz w:val="32"/>
        </w:rPr>
        <w:t>四、绩效评价指标体系及得分情况</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color w:val="000000"/>
          <w:sz w:val="40"/>
          <w:szCs w:val="40"/>
          <w:u w:val="single"/>
        </w:rPr>
      </w:pPr>
      <w:r>
        <w:rPr>
          <w:rFonts w:hint="eastAsia" w:ascii="宋体" w:hAnsi="宋体" w:eastAsia="宋体" w:cs="宋体"/>
          <w:b/>
          <w:sz w:val="40"/>
          <w:u w:val="single"/>
          <w:lang w:eastAsia="zh-CN"/>
        </w:rPr>
        <w:t>社区矫正</w:t>
      </w:r>
      <w:r>
        <w:rPr>
          <w:rFonts w:ascii="宋体" w:hAnsi="宋体" w:eastAsia="宋体" w:cs="宋体"/>
          <w:b/>
          <w:color w:val="000000"/>
          <w:sz w:val="40"/>
          <w:szCs w:val="40"/>
          <w:u w:val="single"/>
        </w:rPr>
        <w:t>项目财政重</w:t>
      </w:r>
      <w:r>
        <w:rPr>
          <w:rFonts w:hint="eastAsia" w:ascii="宋体" w:hAnsi="宋体" w:eastAsia="宋体" w:cs="宋体"/>
          <w:b/>
          <w:color w:val="000000"/>
          <w:sz w:val="40"/>
          <w:szCs w:val="40"/>
          <w:u w:val="single"/>
          <w:lang w:eastAsia="zh-CN"/>
        </w:rPr>
        <w:t>点</w:t>
      </w:r>
      <w:r>
        <w:rPr>
          <w:rFonts w:ascii="宋体" w:hAnsi="宋体" w:eastAsia="宋体" w:cs="宋体"/>
          <w:b/>
          <w:color w:val="000000"/>
          <w:sz w:val="40"/>
          <w:szCs w:val="40"/>
          <w:u w:val="single"/>
        </w:rPr>
        <w:t>绩效评价指标表</w:t>
      </w:r>
    </w:p>
    <w:p>
      <w:pPr>
        <w:spacing w:line="400" w:lineRule="exact"/>
        <w:jc w:val="center"/>
        <w:rPr>
          <w:rFonts w:hint="eastAsia" w:ascii="宋体" w:hAnsi="宋体" w:eastAsia="宋体" w:cs="宋体"/>
          <w:b/>
          <w:sz w:val="40"/>
          <w:szCs w:val="40"/>
        </w:rPr>
      </w:pPr>
    </w:p>
    <w:tbl>
      <w:tblPr>
        <w:tblStyle w:val="5"/>
        <w:tblW w:w="8930" w:type="dxa"/>
        <w:tblInd w:w="2" w:type="dxa"/>
        <w:tblLayout w:type="autofit"/>
        <w:tblCellMar>
          <w:top w:w="0" w:type="dxa"/>
          <w:left w:w="10" w:type="dxa"/>
          <w:bottom w:w="0" w:type="dxa"/>
          <w:right w:w="10" w:type="dxa"/>
        </w:tblCellMar>
      </w:tblPr>
      <w:tblGrid>
        <w:gridCol w:w="958"/>
        <w:gridCol w:w="674"/>
        <w:gridCol w:w="2083"/>
        <w:gridCol w:w="545"/>
        <w:gridCol w:w="3972"/>
        <w:gridCol w:w="698"/>
      </w:tblGrid>
      <w:tr>
        <w:trPr>
          <w:trHeight w:val="585" w:hRule="atLeast"/>
        </w:trPr>
        <w:tc>
          <w:tcPr>
            <w:tcW w:w="958" w:type="dxa"/>
            <w:tcBorders>
              <w:top w:val="single" w:color="auto" w:sz="4" w:space="0"/>
              <w:left w:val="single" w:color="000000" w:sz="4" w:space="0"/>
              <w:bottom w:val="single" w:color="000000" w:sz="4" w:space="0"/>
              <w:right w:val="single" w:color="000000" w:sz="0" w:space="0"/>
            </w:tcBorders>
            <w:shd w:val="clear" w:color="000000" w:fill="FFFFFF"/>
            <w:tcMar>
              <w:left w:w="12" w:type="dxa"/>
              <w:right w:w="12" w:type="dxa"/>
            </w:tcMar>
            <w:vAlign w:val="center"/>
          </w:tcPr>
          <w:p>
            <w:pPr>
              <w:spacing w:line="400" w:lineRule="exact"/>
              <w:jc w:val="center"/>
              <w:rPr>
                <w:rFonts w:hint="eastAsia" w:ascii="宋体" w:hAnsi="宋体" w:eastAsia="宋体" w:cs="宋体"/>
                <w:b/>
                <w:color w:val="000000"/>
                <w:sz w:val="24"/>
                <w:u w:val="single"/>
              </w:rPr>
            </w:pPr>
            <w:r>
              <w:rPr>
                <w:rFonts w:ascii="宋体" w:hAnsi="宋体" w:eastAsia="宋体" w:cs="宋体"/>
                <w:b/>
                <w:color w:val="000000"/>
                <w:sz w:val="24"/>
                <w:u w:val="single"/>
              </w:rPr>
              <w:t>一级</w:t>
            </w:r>
          </w:p>
          <w:p>
            <w:pPr>
              <w:spacing w:line="400" w:lineRule="exact"/>
              <w:jc w:val="center"/>
            </w:pPr>
            <w:r>
              <w:rPr>
                <w:rFonts w:ascii="宋体" w:hAnsi="宋体" w:eastAsia="宋体" w:cs="宋体"/>
                <w:b/>
                <w:color w:val="000000"/>
                <w:sz w:val="24"/>
                <w:u w:val="single"/>
              </w:rPr>
              <w:t>指标</w:t>
            </w:r>
          </w:p>
        </w:tc>
        <w:tc>
          <w:tcPr>
            <w:tcW w:w="674"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二级指标</w:t>
            </w:r>
          </w:p>
        </w:tc>
        <w:tc>
          <w:tcPr>
            <w:tcW w:w="2083"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pPr>
            <w:r>
              <w:rPr>
                <w:rFonts w:ascii="宋体" w:hAnsi="宋体" w:eastAsia="宋体" w:cs="宋体"/>
                <w:b/>
                <w:color w:val="000000"/>
                <w:sz w:val="24"/>
                <w:u w:val="single"/>
              </w:rPr>
              <w:t>三级指标</w:t>
            </w:r>
          </w:p>
        </w:tc>
        <w:tc>
          <w:tcPr>
            <w:tcW w:w="545" w:type="dxa"/>
            <w:vMerge w:val="restart"/>
            <w:tcBorders>
              <w:top w:val="single" w:color="auto"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分值</w:t>
            </w:r>
          </w:p>
        </w:tc>
        <w:tc>
          <w:tcPr>
            <w:tcW w:w="3972"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指标说明</w:t>
            </w:r>
          </w:p>
        </w:tc>
        <w:tc>
          <w:tcPr>
            <w:tcW w:w="698"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得分</w:t>
            </w:r>
          </w:p>
        </w:tc>
      </w:tr>
      <w:tr>
        <w:tblPrEx>
          <w:tblCellMar>
            <w:top w:w="0" w:type="dxa"/>
            <w:left w:w="10" w:type="dxa"/>
            <w:bottom w:w="0" w:type="dxa"/>
            <w:right w:w="1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b/>
                <w:color w:val="000000"/>
                <w:sz w:val="24"/>
                <w:u w:val="single"/>
              </w:rPr>
              <w:t>名称</w:t>
            </w:r>
          </w:p>
        </w:tc>
        <w:tc>
          <w:tcPr>
            <w:tcW w:w="545"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r>
      <w:tr>
        <w:tblPrEx>
          <w:tblCellMar>
            <w:top w:w="0" w:type="dxa"/>
            <w:left w:w="10" w:type="dxa"/>
            <w:bottom w:w="0" w:type="dxa"/>
            <w:right w:w="1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“工作活动”设置（</w:t>
            </w:r>
            <w:r>
              <w:rPr>
                <w:rFonts w:hint="eastAsia" w:ascii="仿宋_GB2312" w:hAnsi="仿宋_GB2312" w:eastAsia="仿宋_GB2312" w:cs="仿宋_GB2312"/>
                <w:color w:val="000000"/>
                <w:sz w:val="22"/>
                <w:u w:val="single"/>
                <w:lang w:val="en-US" w:eastAsia="zh-CN"/>
              </w:rPr>
              <w:t>30</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项目立项情况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3</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有市政府相关政策、规划、任务等文件得</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分；无不得分。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1</w:t>
            </w:r>
          </w:p>
        </w:tc>
      </w:tr>
      <w:tr>
        <w:tblPrEx>
          <w:tblCellMar>
            <w:top w:w="0" w:type="dxa"/>
            <w:left w:w="10" w:type="dxa"/>
            <w:bottom w:w="0" w:type="dxa"/>
            <w:right w:w="10" w:type="dxa"/>
          </w:tblCellMar>
        </w:tblPrEx>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项目活动与职责</w:t>
            </w:r>
          </w:p>
          <w:p>
            <w:pPr>
              <w:spacing w:line="400" w:lineRule="exact"/>
              <w:jc w:val="center"/>
              <w:rPr>
                <w:rFonts w:ascii="宋体" w:hAnsi="宋体" w:eastAsia="宋体" w:cs="宋体"/>
                <w:sz w:val="22"/>
              </w:rPr>
            </w:pPr>
            <w:r>
              <w:rPr>
                <w:rFonts w:ascii="宋体" w:hAnsi="宋体" w:eastAsia="宋体" w:cs="宋体"/>
                <w:color w:val="000000"/>
                <w:sz w:val="22"/>
                <w:u w:val="single"/>
              </w:rPr>
              <w:t>相关性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工作活动与部门职责、工作规划和重点工作相关，工作活动项下确定的预算项目合理，与工作活动密切相关，工作活动和项目预算安排合理，得</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分；否则不得分。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370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绩效自评情况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color w:val="000000"/>
                <w:sz w:val="22"/>
                <w:u w:val="single"/>
              </w:rPr>
            </w:pPr>
            <w:r>
              <w:rPr>
                <w:rFonts w:ascii="宋体" w:hAnsi="宋体" w:eastAsia="宋体" w:cs="宋体"/>
                <w:color w:val="000000"/>
                <w:sz w:val="22"/>
                <w:u w:val="single"/>
              </w:rPr>
              <w:t>项目设立绩效目标</w:t>
            </w:r>
          </w:p>
          <w:p>
            <w:pPr>
              <w:spacing w:line="400" w:lineRule="exact"/>
              <w:jc w:val="center"/>
              <w:rPr>
                <w:rFonts w:ascii="宋体" w:hAnsi="宋体" w:eastAsia="宋体" w:cs="宋体"/>
                <w:sz w:val="22"/>
              </w:rPr>
            </w:pPr>
            <w:r>
              <w:rPr>
                <w:rFonts w:ascii="宋体" w:hAnsi="宋体" w:eastAsia="宋体" w:cs="宋体"/>
                <w:color w:val="000000"/>
                <w:sz w:val="22"/>
                <w:u w:val="single"/>
              </w:rPr>
              <w:t>合理性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7</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①是否将项目绩效目标细化分解为具体的绩效指标；</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②是否通过清晰、可衡量的指标值予以体现；</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③是否与项目年度任务数或计划数相对应；</w:t>
            </w:r>
          </w:p>
          <w:p>
            <w:pPr>
              <w:spacing w:line="400" w:lineRule="exact"/>
              <w:jc w:val="left"/>
              <w:rPr>
                <w:rFonts w:hint="eastAsia" w:ascii="宋体" w:hAnsi="宋体" w:eastAsia="宋体" w:cs="宋体"/>
                <w:color w:val="000000"/>
                <w:sz w:val="22"/>
                <w:u w:val="single"/>
                <w:lang w:eastAsia="zh-CN"/>
              </w:rPr>
            </w:pPr>
            <w:r>
              <w:rPr>
                <w:rFonts w:ascii="宋体" w:hAnsi="宋体" w:eastAsia="宋体" w:cs="宋体"/>
                <w:color w:val="000000"/>
                <w:sz w:val="22"/>
                <w:u w:val="single"/>
              </w:rPr>
              <w:t>④是否与预算确定的项目投资额或资金量相匹配。</w:t>
            </w:r>
          </w:p>
          <w:p>
            <w:pPr>
              <w:spacing w:line="400" w:lineRule="exact"/>
              <w:jc w:val="left"/>
              <w:rPr>
                <w:sz w:val="22"/>
              </w:rPr>
            </w:pPr>
            <w:r>
              <w:rPr>
                <w:rFonts w:ascii="宋体" w:hAnsi="宋体" w:eastAsia="宋体" w:cs="宋体"/>
                <w:color w:val="000000"/>
                <w:sz w:val="22"/>
                <w:u w:val="single"/>
              </w:rPr>
              <w:t>缺少一项扣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w:t>
            </w:r>
            <w:r>
              <w:rPr>
                <w:rFonts w:ascii="仿宋_GB2312" w:hAnsi="仿宋_GB2312" w:eastAsia="仿宋_GB2312" w:cs="仿宋_GB2312"/>
                <w:color w:val="000000"/>
                <w:sz w:val="22"/>
                <w:u w:val="single"/>
              </w:rPr>
              <w:t>,</w:t>
            </w:r>
            <w:r>
              <w:rPr>
                <w:rFonts w:ascii="宋体" w:hAnsi="宋体" w:eastAsia="宋体" w:cs="宋体"/>
                <w:color w:val="000000"/>
                <w:sz w:val="22"/>
                <w:u w:val="single"/>
              </w:rPr>
              <w:t>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7</w:t>
            </w:r>
          </w:p>
        </w:tc>
      </w:tr>
      <w:tr>
        <w:tblPrEx>
          <w:tblCellMar>
            <w:top w:w="0" w:type="dxa"/>
            <w:left w:w="10" w:type="dxa"/>
            <w:bottom w:w="0" w:type="dxa"/>
            <w:right w:w="1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自评报告情况</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rPr>
                <w:sz w:val="22"/>
              </w:rPr>
            </w:pPr>
            <w:r>
              <w:rPr>
                <w:rFonts w:ascii="宋体" w:hAnsi="宋体" w:eastAsia="宋体" w:cs="宋体"/>
                <w:color w:val="000000"/>
                <w:sz w:val="22"/>
                <w:u w:val="single"/>
              </w:rPr>
              <w:t>是否有绩效评价报告，报告是否依据充分、内容真实完整；数据准确、分析透彻。每存在一项问题扣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35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“工作活动”管理（</w:t>
            </w:r>
            <w:r>
              <w:rPr>
                <w:rFonts w:hint="eastAsia" w:ascii="宋体" w:hAnsi="宋体" w:eastAsia="宋体" w:cs="宋体"/>
                <w:color w:val="000000"/>
                <w:sz w:val="22"/>
                <w:u w:val="single"/>
                <w:lang w:val="en-US" w:eastAsia="zh-CN"/>
              </w:rPr>
              <w:t>40</w:t>
            </w:r>
            <w:r>
              <w:rPr>
                <w:rFonts w:ascii="宋体" w:hAnsi="宋体" w:eastAsia="宋体" w:cs="宋体"/>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预算调整率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预算调整率</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（预算调整数</w:t>
            </w:r>
            <w:r>
              <w:rPr>
                <w:rFonts w:ascii="仿宋_GB2312" w:hAnsi="仿宋_GB2312" w:eastAsia="仿宋_GB2312" w:cs="仿宋_GB2312"/>
                <w:color w:val="000000"/>
                <w:sz w:val="22"/>
                <w:u w:val="single"/>
              </w:rPr>
              <w:t>/</w:t>
            </w:r>
            <w:r>
              <w:rPr>
                <w:rFonts w:ascii="宋体" w:hAnsi="宋体" w:eastAsia="宋体" w:cs="宋体"/>
                <w:color w:val="000000"/>
                <w:sz w:val="22"/>
                <w:u w:val="single"/>
              </w:rPr>
              <w:t>预算数）×</w:t>
            </w:r>
            <w:r>
              <w:rPr>
                <w:rFonts w:ascii="仿宋_GB2312" w:hAnsi="仿宋_GB2312" w:eastAsia="仿宋_GB2312" w:cs="仿宋_GB2312"/>
                <w:color w:val="000000"/>
                <w:sz w:val="22"/>
                <w:u w:val="single"/>
              </w:rPr>
              <w:t>100%</w:t>
            </w:r>
            <w:r>
              <w:rPr>
                <w:rFonts w:ascii="宋体" w:hAnsi="宋体" w:eastAsia="宋体" w:cs="宋体"/>
                <w:color w:val="000000"/>
                <w:sz w:val="22"/>
                <w:u w:val="single"/>
              </w:rPr>
              <w:t>。预算调整率每大于</w:t>
            </w:r>
            <w:r>
              <w:rPr>
                <w:rFonts w:ascii="仿宋_GB2312" w:hAnsi="仿宋_GB2312" w:eastAsia="仿宋_GB2312" w:cs="仿宋_GB2312"/>
                <w:color w:val="000000"/>
                <w:sz w:val="22"/>
                <w:u w:val="single"/>
              </w:rPr>
              <w:t>1%</w:t>
            </w:r>
            <w:r>
              <w:rPr>
                <w:rFonts w:ascii="宋体" w:hAnsi="宋体" w:eastAsia="宋体" w:cs="宋体"/>
                <w:color w:val="000000"/>
                <w:sz w:val="22"/>
                <w:u w:val="single"/>
              </w:rPr>
              <w:t>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799"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项目资金使用是否符合国家财经法规及相关的财务管理制度规定，资金支出程序是否规范</w:t>
            </w:r>
            <w:r>
              <w:rPr>
                <w:rFonts w:ascii="仿宋_GB2312" w:hAnsi="仿宋_GB2312" w:eastAsia="仿宋_GB2312" w:cs="仿宋_GB2312"/>
                <w:color w:val="000000"/>
                <w:sz w:val="22"/>
                <w:u w:val="single"/>
              </w:rPr>
              <w:t>,</w:t>
            </w:r>
            <w:r>
              <w:rPr>
                <w:rFonts w:ascii="宋体" w:hAnsi="宋体" w:eastAsia="宋体" w:cs="宋体"/>
                <w:color w:val="000000"/>
                <w:sz w:val="22"/>
                <w:u w:val="single"/>
              </w:rPr>
              <w:t>报账手续是否齐全。每存在一项不合规问题扣</w:t>
            </w:r>
            <w:r>
              <w:rPr>
                <w:rFonts w:hint="eastAsia" w:ascii="仿宋_GB2312" w:hAnsi="仿宋_GB2312" w:eastAsia="仿宋_GB2312" w:cs="仿宋_GB2312"/>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82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会计核算规</w:t>
            </w:r>
            <w:bookmarkStart w:id="0" w:name="_GoBack"/>
            <w:bookmarkEnd w:id="0"/>
            <w:r>
              <w:rPr>
                <w:rFonts w:ascii="宋体" w:hAnsi="宋体" w:eastAsia="宋体" w:cs="宋体"/>
                <w:color w:val="000000"/>
                <w:sz w:val="22"/>
                <w:u w:val="single"/>
              </w:rPr>
              <w:t>范性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会计核算是否符合《会计法》、《政府会计制度》、《会计基础工作规范》等法律法规和相关制度规定。每存在一项不合规问题扣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74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项目责任机制是否健全</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是否建立责任机制，项目管理和责任落实到有关人。每存在一项问题扣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791"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管理制度健全性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sz w:val="22"/>
              </w:rPr>
            </w:pPr>
            <w:r>
              <w:rPr>
                <w:rFonts w:ascii="宋体" w:hAnsi="宋体" w:eastAsia="宋体" w:cs="宋体"/>
                <w:color w:val="000000"/>
                <w:sz w:val="22"/>
                <w:u w:val="single"/>
              </w:rPr>
              <w:t>制定管理制度和措施（包括财务制度）是否明确、清晰、具有可操作性，能否保障工作活动顺利实施。每缺少一项制度扣</w:t>
            </w:r>
            <w:r>
              <w:rPr>
                <w:rFonts w:hint="eastAsia" w:ascii="宋体" w:hAnsi="宋体" w:eastAsia="宋体" w:cs="宋体"/>
                <w:color w:val="000000"/>
                <w:sz w:val="22"/>
                <w:u w:val="single"/>
                <w:lang w:val="en-US" w:eastAsia="zh-CN"/>
              </w:rPr>
              <w:t>1</w:t>
            </w:r>
            <w:r>
              <w:rPr>
                <w:rFonts w:ascii="宋体" w:hAnsi="宋体" w:eastAsia="宋体" w:cs="宋体"/>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226" w:hRule="atLeast"/>
        </w:trPr>
        <w:tc>
          <w:tcPr>
            <w:tcW w:w="95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“工作活动”产出（</w:t>
            </w:r>
            <w:r>
              <w:rPr>
                <w:rFonts w:hint="eastAsia" w:ascii="仿宋_GB2312" w:hAnsi="仿宋_GB2312" w:eastAsia="仿宋_GB2312" w:cs="仿宋_GB2312"/>
                <w:color w:val="000000"/>
                <w:sz w:val="22"/>
                <w:u w:val="single"/>
                <w:lang w:val="en-US" w:eastAsia="zh-CN"/>
              </w:rPr>
              <w:t>25</w:t>
            </w:r>
            <w:r>
              <w:rPr>
                <w:rFonts w:ascii="宋体" w:hAnsi="宋体" w:eastAsia="宋体" w:cs="宋体"/>
                <w:color w:val="000000"/>
                <w:sz w:val="22"/>
                <w:u w:val="single"/>
              </w:rPr>
              <w:t>分）</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数量指标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社区矫正工作人员培训次数</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color w:val="000000"/>
                <w:sz w:val="22"/>
                <w:u w:val="single"/>
                <w:lang w:val="en-US" w:eastAsia="zh-CN"/>
              </w:rPr>
              <w:t>社区矫正工作人员是否进行培训，若未进行次此项扣5分。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10</w:t>
            </w:r>
          </w:p>
        </w:tc>
      </w:tr>
      <w:tr>
        <w:tblPrEx>
          <w:tblCellMar>
            <w:top w:w="0" w:type="dxa"/>
            <w:left w:w="10" w:type="dxa"/>
            <w:bottom w:w="0" w:type="dxa"/>
            <w:right w:w="10" w:type="dxa"/>
          </w:tblCellMar>
        </w:tblPrEx>
        <w:trPr>
          <w:trHeight w:val="129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质量指标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社区矫正工作人员培训参加比率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10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eastAsia" w:ascii="宋体" w:hAnsi="宋体" w:eastAsia="宋体" w:cs="宋体"/>
                <w:sz w:val="22"/>
                <w:lang w:val="en-US" w:eastAsia="zh-CN"/>
              </w:rPr>
            </w:pPr>
            <w:r>
              <w:rPr>
                <w:rFonts w:hint="eastAsia" w:ascii="宋体" w:hAnsi="宋体" w:eastAsia="宋体" w:cs="宋体"/>
                <w:color w:val="000000"/>
                <w:sz w:val="22"/>
                <w:u w:val="single"/>
                <w:lang w:eastAsia="zh-CN"/>
              </w:rPr>
              <w:t>社区矫正工作人员培训参加比率是否为</w:t>
            </w:r>
            <w:r>
              <w:rPr>
                <w:rFonts w:hint="eastAsia" w:ascii="宋体" w:hAnsi="宋体" w:eastAsia="宋体" w:cs="宋体"/>
                <w:color w:val="000000"/>
                <w:sz w:val="22"/>
                <w:u w:val="single"/>
                <w:lang w:val="en-US" w:eastAsia="zh-CN"/>
              </w:rPr>
              <w:t>100%，若未达到100%，此项不得分</w:t>
            </w:r>
            <w:r>
              <w:rPr>
                <w:rFonts w:hint="eastAsia" w:ascii="宋体" w:hAnsi="宋体" w:eastAsia="宋体" w:cs="宋体"/>
                <w:color w:val="000000"/>
                <w:sz w:val="22"/>
                <w:u w:val="single"/>
                <w:lang w:eastAsia="zh-CN"/>
              </w:rPr>
              <w:t>。</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10</w:t>
            </w:r>
          </w:p>
        </w:tc>
      </w:tr>
      <w:tr>
        <w:tblPrEx>
          <w:tblCellMar>
            <w:top w:w="0" w:type="dxa"/>
            <w:left w:w="10" w:type="dxa"/>
            <w:bottom w:w="0" w:type="dxa"/>
            <w:right w:w="10" w:type="dxa"/>
          </w:tblCellMar>
        </w:tblPrEx>
        <w:trPr>
          <w:trHeight w:val="1435"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r>
              <w:rPr>
                <w:rFonts w:ascii="宋体" w:hAnsi="宋体" w:eastAsia="宋体" w:cs="宋体"/>
                <w:color w:val="000000"/>
                <w:sz w:val="22"/>
                <w:u w:val="single"/>
              </w:rPr>
              <w:t>时效指标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eastAsiaTheme="minorEastAsia"/>
                <w:sz w:val="22"/>
                <w:lang w:eastAsia="zh-CN"/>
              </w:rPr>
            </w:pPr>
            <w:r>
              <w:rPr>
                <w:rFonts w:hint="eastAsia" w:ascii="宋体" w:hAnsi="宋体" w:eastAsia="宋体" w:cs="宋体"/>
                <w:color w:val="000000"/>
                <w:sz w:val="22"/>
                <w:u w:val="single"/>
                <w:lang w:eastAsia="zh-CN"/>
              </w:rPr>
              <w:t>完成调查评估平均期限</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hint="default" w:ascii="宋体" w:hAnsi="宋体" w:eastAsia="宋体" w:cs="宋体"/>
                <w:sz w:val="22"/>
                <w:lang w:val="en-US" w:eastAsia="zh-CN"/>
              </w:rPr>
            </w:pPr>
            <w:r>
              <w:rPr>
                <w:rFonts w:hint="eastAsia" w:ascii="宋体" w:hAnsi="宋体" w:eastAsia="宋体" w:cs="宋体"/>
                <w:color w:val="000000"/>
                <w:sz w:val="22"/>
                <w:u w:val="single"/>
                <w:lang w:val="en-US" w:eastAsia="zh-CN"/>
              </w:rPr>
              <w:t>完成调查评估期限是否在10个工作日内，若长于10个工作日，此项不得分。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eastAsiaTheme="minorEastAsia"/>
                <w:sz w:val="22"/>
                <w:lang w:val="en-US" w:eastAsia="zh-CN"/>
              </w:rPr>
            </w:pPr>
            <w:r>
              <w:rPr>
                <w:rFonts w:hint="eastAsia"/>
                <w:sz w:val="22"/>
                <w:lang w:val="en-US" w:eastAsia="zh-CN"/>
              </w:rPr>
              <w:t>5</w:t>
            </w:r>
          </w:p>
        </w:tc>
      </w:tr>
      <w:tr>
        <w:tblPrEx>
          <w:tblCellMar>
            <w:top w:w="0" w:type="dxa"/>
            <w:left w:w="10" w:type="dxa"/>
            <w:bottom w:w="0" w:type="dxa"/>
            <w:right w:w="10" w:type="dxa"/>
          </w:tblCellMar>
        </w:tblPrEx>
        <w:trPr>
          <w:trHeight w:val="1421" w:hRule="atLeast"/>
        </w:trPr>
        <w:tc>
          <w:tcPr>
            <w:tcW w:w="958"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ascii="宋体" w:hAnsi="宋体" w:eastAsia="宋体" w:cs="宋体"/>
                <w:color w:val="000000"/>
                <w:sz w:val="22"/>
                <w:u w:val="single"/>
              </w:rPr>
              <w:t>“工作活动”效果（</w:t>
            </w:r>
            <w:r>
              <w:rPr>
                <w:rFonts w:hint="eastAsia" w:ascii="宋体" w:hAnsi="宋体" w:eastAsia="宋体" w:cs="宋体"/>
                <w:color w:val="000000"/>
                <w:sz w:val="22"/>
                <w:u w:val="single"/>
                <w:lang w:val="en-US" w:eastAsia="zh-CN"/>
              </w:rPr>
              <w:t>5</w:t>
            </w:r>
            <w:r>
              <w:rPr>
                <w:rFonts w:ascii="宋体" w:hAnsi="宋体" w:eastAsia="宋体" w:cs="宋体"/>
                <w:color w:val="000000"/>
                <w:sz w:val="22"/>
                <w:u w:val="single"/>
              </w:rPr>
              <w:t>分）</w:t>
            </w:r>
          </w:p>
        </w:tc>
        <w:tc>
          <w:tcPr>
            <w:tcW w:w="674" w:type="dxa"/>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rPr>
            </w:pPr>
            <w:r>
              <w:rPr>
                <w:rFonts w:ascii="宋体" w:hAnsi="宋体" w:eastAsia="宋体" w:cs="宋体"/>
                <w:color w:val="000000"/>
                <w:sz w:val="22"/>
                <w:u w:val="single"/>
              </w:rPr>
              <w:t>满意度</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sz w:val="22"/>
              </w:rPr>
            </w:pPr>
            <w:r>
              <w:rPr>
                <w:rFonts w:hint="eastAsia" w:ascii="宋体" w:hAnsi="宋体" w:eastAsia="宋体" w:cs="宋体"/>
                <w:color w:val="000000"/>
                <w:sz w:val="22"/>
                <w:u w:val="single"/>
              </w:rPr>
              <w:t>服务对象满意度</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r>
              <w:rPr>
                <w:rFonts w:hint="eastAsia" w:ascii="宋体" w:hAnsi="宋体" w:eastAsia="宋体" w:cs="宋体"/>
                <w:color w:val="000000"/>
                <w:sz w:val="22"/>
                <w:u w:val="single"/>
              </w:rPr>
              <w:t>通过问卷调查，满意的对象占所有调查对象的比例</w:t>
            </w:r>
            <w:r>
              <w:rPr>
                <w:rFonts w:hint="eastAsia" w:ascii="宋体" w:hAnsi="宋体" w:eastAsia="宋体" w:cs="宋体"/>
                <w:color w:val="000000"/>
                <w:sz w:val="22"/>
                <w:u w:val="single"/>
                <w:lang w:eastAsia="zh-CN"/>
              </w:rPr>
              <w:t>。若比例低于</w:t>
            </w:r>
            <w:r>
              <w:rPr>
                <w:rFonts w:hint="eastAsia" w:ascii="宋体" w:hAnsi="宋体" w:eastAsia="宋体" w:cs="宋体"/>
                <w:color w:val="000000"/>
                <w:sz w:val="22"/>
                <w:u w:val="single"/>
                <w:lang w:val="en-US" w:eastAsia="zh-CN"/>
              </w:rPr>
              <w:t>85%，此项不得分。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5</w:t>
            </w:r>
          </w:p>
        </w:tc>
      </w:tr>
      <w:tr>
        <w:tblPrEx>
          <w:tblCellMar>
            <w:top w:w="0" w:type="dxa"/>
            <w:left w:w="10" w:type="dxa"/>
            <w:bottom w:w="0" w:type="dxa"/>
            <w:right w:w="10" w:type="dxa"/>
          </w:tblCellMar>
        </w:tblPrEx>
        <w:trPr>
          <w:trHeight w:val="559"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ind w:firstLine="220"/>
              <w:rPr>
                <w:rFonts w:ascii="宋体" w:hAnsi="宋体" w:eastAsia="宋体" w:cs="宋体"/>
                <w:sz w:val="22"/>
              </w:rPr>
            </w:pPr>
            <w:r>
              <w:rPr>
                <w:rFonts w:ascii="宋体" w:hAnsi="宋体" w:eastAsia="宋体" w:cs="宋体"/>
                <w:color w:val="000000"/>
                <w:sz w:val="22"/>
                <w:u w:val="single"/>
              </w:rPr>
              <w:t>合计</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宋体" w:hAnsi="宋体" w:eastAsia="宋体" w:cs="宋体"/>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asciiTheme="minorHAnsi" w:hAnsiTheme="minorHAnsi" w:eastAsiaTheme="minorEastAsia" w:cstheme="minorBidi"/>
                <w:kern w:val="2"/>
                <w:sz w:val="22"/>
                <w:szCs w:val="22"/>
                <w:lang w:val="en-US" w:eastAsia="zh-CN" w:bidi="ar-SA"/>
              </w:rPr>
            </w:pPr>
            <w:r>
              <w:rPr>
                <w:rFonts w:ascii="仿宋_GB2312" w:hAnsi="仿宋_GB2312" w:eastAsia="仿宋_GB2312" w:cs="仿宋_GB2312"/>
                <w:color w:val="000000"/>
                <w:sz w:val="22"/>
                <w:u w:val="single"/>
              </w:rPr>
              <w:t>100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left"/>
              <w:rPr>
                <w:rFonts w:ascii="宋体" w:hAnsi="宋体" w:eastAsia="宋体" w:cs="宋体"/>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98</w:t>
            </w:r>
          </w:p>
        </w:tc>
      </w:tr>
    </w:tbl>
    <w:p/>
    <w:sectPr>
      <w:pgSz w:w="11906" w:h="16838"/>
      <w:pgMar w:top="1797" w:right="1474" w:bottom="17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mY0ZTIzODc0ODNhZjVlYjdlM2FkZmQ1ZWJhMmYifQ=="/>
  </w:docVars>
  <w:rsids>
    <w:rsidRoot w:val="00D32B48"/>
    <w:rsid w:val="00050449"/>
    <w:rsid w:val="00261376"/>
    <w:rsid w:val="003976B8"/>
    <w:rsid w:val="003F21B7"/>
    <w:rsid w:val="003F78DF"/>
    <w:rsid w:val="00457A38"/>
    <w:rsid w:val="0075675E"/>
    <w:rsid w:val="0091038B"/>
    <w:rsid w:val="00BC46B3"/>
    <w:rsid w:val="00C70768"/>
    <w:rsid w:val="00D32B48"/>
    <w:rsid w:val="00DA418C"/>
    <w:rsid w:val="03FF396C"/>
    <w:rsid w:val="0B095AB3"/>
    <w:rsid w:val="0B16508E"/>
    <w:rsid w:val="0C700CDE"/>
    <w:rsid w:val="0C9C75E1"/>
    <w:rsid w:val="11957BB3"/>
    <w:rsid w:val="11971447"/>
    <w:rsid w:val="121F40C6"/>
    <w:rsid w:val="13180F89"/>
    <w:rsid w:val="1319088F"/>
    <w:rsid w:val="131C520D"/>
    <w:rsid w:val="136A10B9"/>
    <w:rsid w:val="143D4873"/>
    <w:rsid w:val="143F2545"/>
    <w:rsid w:val="1CEA6791"/>
    <w:rsid w:val="204968AE"/>
    <w:rsid w:val="216D7108"/>
    <w:rsid w:val="26303772"/>
    <w:rsid w:val="267B565F"/>
    <w:rsid w:val="29820AB2"/>
    <w:rsid w:val="2A1E047C"/>
    <w:rsid w:val="2B193698"/>
    <w:rsid w:val="2D5279F7"/>
    <w:rsid w:val="2E3A0E4D"/>
    <w:rsid w:val="2E89214C"/>
    <w:rsid w:val="30ED66A9"/>
    <w:rsid w:val="393B2A2C"/>
    <w:rsid w:val="3B4007CD"/>
    <w:rsid w:val="3BE91D19"/>
    <w:rsid w:val="3C0A1BEF"/>
    <w:rsid w:val="400E49F6"/>
    <w:rsid w:val="41F540C0"/>
    <w:rsid w:val="440F1C8C"/>
    <w:rsid w:val="45C73FC5"/>
    <w:rsid w:val="464A3A20"/>
    <w:rsid w:val="47760844"/>
    <w:rsid w:val="477E4B57"/>
    <w:rsid w:val="490177EE"/>
    <w:rsid w:val="49153939"/>
    <w:rsid w:val="4BA353E1"/>
    <w:rsid w:val="50BD049E"/>
    <w:rsid w:val="51B3030B"/>
    <w:rsid w:val="552911AA"/>
    <w:rsid w:val="55382A39"/>
    <w:rsid w:val="59C94764"/>
    <w:rsid w:val="5A533975"/>
    <w:rsid w:val="5B286E5C"/>
    <w:rsid w:val="5BA00A12"/>
    <w:rsid w:val="5DE05134"/>
    <w:rsid w:val="5F2E6A0B"/>
    <w:rsid w:val="607B17DC"/>
    <w:rsid w:val="648C045C"/>
    <w:rsid w:val="65267D89"/>
    <w:rsid w:val="67A90CF7"/>
    <w:rsid w:val="68DC153E"/>
    <w:rsid w:val="692400BC"/>
    <w:rsid w:val="6AFC176B"/>
    <w:rsid w:val="6B715CB5"/>
    <w:rsid w:val="6C6C4EF1"/>
    <w:rsid w:val="6D512242"/>
    <w:rsid w:val="6FF227DD"/>
    <w:rsid w:val="703244E4"/>
    <w:rsid w:val="71ED29B8"/>
    <w:rsid w:val="72E01973"/>
    <w:rsid w:val="761552B0"/>
    <w:rsid w:val="76C73303"/>
    <w:rsid w:val="76DF08BF"/>
    <w:rsid w:val="77B04009"/>
    <w:rsid w:val="7A420F84"/>
    <w:rsid w:val="7ECF746B"/>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ind w:firstLine="420"/>
    </w:pPr>
    <w:rPr>
      <w:rFonts w:ascii="Times New Roman" w:hAnsi="Times New Roman" w:eastAsia="宋体" w:cs="Times New Roman"/>
      <w:sz w:val="21"/>
      <w:szCs w:val="22"/>
      <w:lang w:val="en-US" w:eastAsia="zh-CN" w:bidi="ar-SA"/>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widowControl w:val="0"/>
      <w:adjustRightInd/>
      <w:snapToGrid/>
      <w:spacing w:after="0"/>
      <w:ind w:firstLine="420" w:firstLineChars="200"/>
      <w:jc w:val="both"/>
    </w:pPr>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2046</Words>
  <Characters>2111</Characters>
  <Lines>9</Lines>
  <Paragraphs>2</Paragraphs>
  <TotalTime>1192</TotalTime>
  <ScaleCrop>false</ScaleCrop>
  <LinksUpToDate>false</LinksUpToDate>
  <CharactersWithSpaces>2273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2023-02-21T09:42:00Z</dcterms:created>
  <dc:creator>微软用户</dc:creator>
  <cp:lastModifiedBy>WPS_1695783598</cp:lastModifiedBy>
  <cp:lastPrinted>2024-04-28T01:25:00Z</cp:lastPrinted>
  <dcterms:modified xsi:type="dcterms:W3CDTF">2024-04-30T06:58:45Z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A008EE3FE7DE4C4094F1D6CABA4F4097_13</vt:lpwstr>
  </property>
</Properties>
</file>