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spacing w:val="-20"/>
          <w:sz w:val="40"/>
        </w:rPr>
      </w:pPr>
    </w:p>
    <w:p>
      <w:pPr>
        <w:spacing w:line="580" w:lineRule="auto"/>
        <w:jc w:val="center"/>
        <w:rPr>
          <w:rFonts w:ascii="仿宋_GB2312" w:hAnsi="仿宋_GB2312" w:eastAsia="仿宋_GB2312" w:cs="仿宋_GB2312"/>
          <w:b/>
          <w:sz w:val="40"/>
        </w:rPr>
      </w:pPr>
      <w:r>
        <w:rPr>
          <w:rFonts w:ascii="宋体" w:hAnsi="宋体" w:eastAsia="宋体" w:cs="宋体"/>
          <w:b/>
          <w:bCs w:val="0"/>
          <w:spacing w:val="-20"/>
          <w:sz w:val="40"/>
        </w:rPr>
        <w:t>巨鹿县</w:t>
      </w:r>
      <w:r>
        <w:rPr>
          <w:rFonts w:hint="eastAsia" w:asciiTheme="majorEastAsia" w:hAnsiTheme="majorEastAsia" w:eastAsiaTheme="majorEastAsia" w:cstheme="majorEastAsia"/>
          <w:b/>
          <w:bCs w:val="0"/>
          <w:sz w:val="40"/>
          <w:szCs w:val="40"/>
          <w:lang w:val="en-US" w:eastAsia="zh-CN"/>
        </w:rPr>
        <w:t>基本公共卫生服务</w:t>
      </w:r>
      <w:r>
        <w:rPr>
          <w:rFonts w:ascii="宋体" w:hAnsi="宋体" w:eastAsia="宋体" w:cs="宋体"/>
          <w:b/>
          <w:sz w:val="40"/>
        </w:rPr>
        <w:t>项目重点自评绩效报告</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hint="eastAsia"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760" w:lineRule="auto"/>
        <w:ind w:firstLine="655" w:firstLineChars="234"/>
        <w:jc w:val="both"/>
        <w:rPr>
          <w:rFonts w:ascii="仿宋_GB2312" w:hAnsi="仿宋_GB2312" w:eastAsia="仿宋_GB2312" w:cs="仿宋_GB2312"/>
          <w:sz w:val="28"/>
          <w:u w:val="single"/>
        </w:rPr>
      </w:pPr>
      <w:r>
        <w:rPr>
          <w:rFonts w:ascii="宋体" w:hAnsi="宋体" w:eastAsia="宋体" w:cs="宋体"/>
          <w:sz w:val="28"/>
          <w:u w:val="single"/>
        </w:rPr>
        <w:t>项</w:t>
      </w:r>
      <w:r>
        <w:rPr>
          <w:rFonts w:ascii="仿宋_GB2312" w:hAnsi="仿宋_GB2312" w:eastAsia="仿宋_GB2312" w:cs="仿宋_GB2312"/>
          <w:sz w:val="28"/>
          <w:u w:val="single"/>
        </w:rPr>
        <w:t xml:space="preserve"> </w:t>
      </w:r>
      <w:r>
        <w:rPr>
          <w:rFonts w:ascii="宋体" w:hAnsi="宋体" w:eastAsia="宋体" w:cs="宋体"/>
          <w:sz w:val="28"/>
          <w:u w:val="single"/>
        </w:rPr>
        <w:t>目</w:t>
      </w:r>
      <w:r>
        <w:rPr>
          <w:rFonts w:ascii="仿宋_GB2312" w:hAnsi="仿宋_GB2312" w:eastAsia="仿宋_GB2312" w:cs="仿宋_GB2312"/>
          <w:sz w:val="28"/>
          <w:u w:val="single"/>
        </w:rPr>
        <w:t xml:space="preserve"> </w:t>
      </w:r>
      <w:r>
        <w:rPr>
          <w:rFonts w:ascii="宋体" w:hAnsi="宋体" w:eastAsia="宋体" w:cs="宋体"/>
          <w:sz w:val="28"/>
          <w:u w:val="single"/>
        </w:rPr>
        <w:t>名</w:t>
      </w:r>
      <w:r>
        <w:rPr>
          <w:rFonts w:ascii="仿宋_GB2312" w:hAnsi="仿宋_GB2312" w:eastAsia="仿宋_GB2312" w:cs="仿宋_GB2312"/>
          <w:sz w:val="28"/>
          <w:u w:val="single"/>
        </w:rPr>
        <w:t xml:space="preserve"> </w:t>
      </w:r>
      <w:r>
        <w:rPr>
          <w:rFonts w:ascii="宋体" w:hAnsi="宋体" w:eastAsia="宋体" w:cs="宋体"/>
          <w:sz w:val="28"/>
          <w:u w:val="single"/>
        </w:rPr>
        <w:t>称：</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hint="eastAsia" w:ascii="仿宋" w:hAnsi="仿宋" w:eastAsia="仿宋" w:cs="仿宋"/>
          <w:sz w:val="28"/>
          <w:u w:val="single"/>
          <w:lang w:val="en-US" w:eastAsia="zh-CN"/>
        </w:rPr>
        <w:t xml:space="preserve"> 原12类</w:t>
      </w:r>
      <w:r>
        <w:rPr>
          <w:rFonts w:hint="eastAsia" w:ascii="仿宋" w:hAnsi="仿宋" w:eastAsia="仿宋" w:cs="仿宋"/>
          <w:sz w:val="28"/>
          <w:u w:val="single"/>
        </w:rPr>
        <w:t>基本公共卫生项目</w:t>
      </w:r>
    </w:p>
    <w:p>
      <w:pPr>
        <w:spacing w:line="760" w:lineRule="auto"/>
        <w:ind w:firstLine="655" w:firstLineChars="234"/>
        <w:rPr>
          <w:rFonts w:hint="eastAsia" w:ascii="仿宋_GB2312" w:hAnsi="仿宋_GB2312" w:eastAsia="仿宋_GB2312" w:cs="仿宋_GB2312"/>
          <w:sz w:val="28"/>
          <w:u w:val="single"/>
          <w:lang w:val="en-US" w:eastAsia="zh-CN"/>
        </w:rPr>
      </w:pPr>
      <w:r>
        <w:rPr>
          <w:rFonts w:ascii="宋体" w:hAnsi="宋体" w:eastAsia="宋体" w:cs="宋体"/>
          <w:sz w:val="28"/>
          <w:u w:val="single"/>
        </w:rPr>
        <w:t>项目实施单位：</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巨鹿县卫生健康局</w:t>
      </w:r>
    </w:p>
    <w:p>
      <w:pPr>
        <w:spacing w:line="760" w:lineRule="auto"/>
        <w:ind w:firstLine="655" w:firstLineChars="234"/>
        <w:rPr>
          <w:rFonts w:ascii="仿宋_GB2312" w:hAnsi="仿宋_GB2312" w:eastAsia="仿宋_GB2312" w:cs="仿宋_GB2312"/>
          <w:sz w:val="28"/>
          <w:u w:val="single"/>
        </w:rPr>
      </w:pPr>
      <w:r>
        <w:rPr>
          <w:rFonts w:ascii="宋体" w:hAnsi="宋体" w:eastAsia="宋体" w:cs="宋体"/>
          <w:sz w:val="28"/>
          <w:u w:val="single"/>
        </w:rPr>
        <w:t>项目总金额：</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2818.84</w:t>
      </w:r>
      <w:r>
        <w:rPr>
          <w:rFonts w:ascii="宋体" w:hAnsi="宋体" w:eastAsia="宋体" w:cs="宋体"/>
          <w:sz w:val="28"/>
          <w:u w:val="single"/>
        </w:rPr>
        <w:t>万元</w:t>
      </w:r>
    </w:p>
    <w:p>
      <w:pPr>
        <w:spacing w:line="760" w:lineRule="auto"/>
        <w:ind w:firstLine="655" w:firstLineChars="234"/>
        <w:rPr>
          <w:rFonts w:ascii="仿宋_GB2312" w:hAnsi="仿宋_GB2312" w:eastAsia="仿宋_GB2312" w:cs="仿宋_GB2312"/>
          <w:sz w:val="28"/>
          <w:u w:val="single"/>
        </w:rPr>
      </w:pPr>
      <w:r>
        <w:rPr>
          <w:rFonts w:ascii="宋体" w:hAnsi="宋体" w:eastAsia="宋体" w:cs="宋体"/>
          <w:sz w:val="28"/>
          <w:u w:val="single"/>
        </w:rPr>
        <w:t>评</w:t>
      </w:r>
      <w:r>
        <w:rPr>
          <w:rFonts w:ascii="仿宋_GB2312" w:hAnsi="仿宋_GB2312" w:eastAsia="仿宋_GB2312" w:cs="仿宋_GB2312"/>
          <w:sz w:val="28"/>
          <w:u w:val="single"/>
        </w:rPr>
        <w:t xml:space="preserve"> </w:t>
      </w:r>
      <w:r>
        <w:rPr>
          <w:rFonts w:ascii="宋体" w:hAnsi="宋体" w:eastAsia="宋体" w:cs="宋体"/>
          <w:sz w:val="28"/>
          <w:u w:val="single"/>
        </w:rPr>
        <w:t>价</w:t>
      </w:r>
      <w:r>
        <w:rPr>
          <w:rFonts w:ascii="仿宋_GB2312" w:hAnsi="仿宋_GB2312" w:eastAsia="仿宋_GB2312" w:cs="仿宋_GB2312"/>
          <w:sz w:val="28"/>
          <w:u w:val="single"/>
        </w:rPr>
        <w:t xml:space="preserve"> </w:t>
      </w:r>
      <w:r>
        <w:rPr>
          <w:rFonts w:ascii="宋体" w:hAnsi="宋体" w:eastAsia="宋体" w:cs="宋体"/>
          <w:sz w:val="28"/>
          <w:u w:val="single"/>
        </w:rPr>
        <w:t>年</w:t>
      </w:r>
      <w:r>
        <w:rPr>
          <w:rFonts w:ascii="仿宋_GB2312" w:hAnsi="仿宋_GB2312" w:eastAsia="仿宋_GB2312" w:cs="仿宋_GB2312"/>
          <w:sz w:val="28"/>
          <w:u w:val="single"/>
        </w:rPr>
        <w:t xml:space="preserve"> </w:t>
      </w:r>
      <w:r>
        <w:rPr>
          <w:rFonts w:ascii="宋体" w:hAnsi="宋体" w:eastAsia="宋体" w:cs="宋体"/>
          <w:sz w:val="28"/>
          <w:u w:val="single"/>
        </w:rPr>
        <w:t>度：</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202</w:t>
      </w:r>
      <w:r>
        <w:rPr>
          <w:rFonts w:hint="eastAsia" w:ascii="仿宋_GB2312" w:hAnsi="仿宋_GB2312" w:eastAsia="仿宋_GB2312" w:cs="仿宋_GB2312"/>
          <w:sz w:val="28"/>
          <w:u w:val="single"/>
          <w:lang w:val="en-US" w:eastAsia="zh-CN"/>
        </w:rPr>
        <w:t>3</w:t>
      </w:r>
      <w:r>
        <w:rPr>
          <w:rFonts w:ascii="宋体" w:hAnsi="宋体" w:eastAsia="宋体" w:cs="宋体"/>
          <w:sz w:val="28"/>
          <w:u w:val="single"/>
        </w:rPr>
        <w:t>年度</w:t>
      </w:r>
    </w:p>
    <w:p>
      <w:pPr>
        <w:spacing w:line="760" w:lineRule="auto"/>
        <w:ind w:firstLine="655" w:firstLineChars="234"/>
        <w:rPr>
          <w:rFonts w:ascii="仿宋_GB2312" w:hAnsi="仿宋_GB2312" w:eastAsia="仿宋_GB2312" w:cs="仿宋_GB2312"/>
          <w:sz w:val="28"/>
          <w:u w:val="single"/>
        </w:rPr>
      </w:pPr>
      <w:r>
        <w:rPr>
          <w:rFonts w:ascii="宋体" w:hAnsi="宋体" w:eastAsia="宋体" w:cs="宋体"/>
          <w:sz w:val="28"/>
          <w:u w:val="single"/>
        </w:rPr>
        <w:t>评价组组长：</w:t>
      </w:r>
      <w:r>
        <w:rPr>
          <w:rFonts w:hint="eastAsia" w:ascii="宋体" w:hAnsi="宋体" w:eastAsia="宋体" w:cs="宋体"/>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苗晓静</w:t>
      </w:r>
    </w:p>
    <w:p>
      <w:pPr>
        <w:spacing w:line="760" w:lineRule="auto"/>
        <w:ind w:firstLine="655" w:firstLineChars="234"/>
        <w:rPr>
          <w:rFonts w:ascii="仿宋_GB2312" w:hAnsi="仿宋_GB2312" w:eastAsia="仿宋_GB2312" w:cs="仿宋_GB2312"/>
        </w:rPr>
      </w:pPr>
      <w:r>
        <w:rPr>
          <w:rFonts w:ascii="宋体" w:hAnsi="宋体" w:eastAsia="宋体" w:cs="宋体"/>
          <w:sz w:val="28"/>
          <w:u w:val="single"/>
        </w:rPr>
        <w:t>评价组成员：</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张瑞强    夏乐婷</w:t>
      </w:r>
    </w:p>
    <w:p>
      <w:pPr>
        <w:rPr>
          <w:rFonts w:hint="eastAsia"/>
        </w:rPr>
      </w:pPr>
    </w:p>
    <w:p>
      <w:pPr>
        <w:rPr>
          <w:rFonts w:hint="eastAsia"/>
        </w:rPr>
      </w:pPr>
    </w:p>
    <w:p>
      <w:pPr>
        <w:spacing w:line="580" w:lineRule="auto"/>
        <w:ind w:firstLine="643"/>
        <w:rPr>
          <w:rFonts w:ascii="宋体" w:hAnsi="宋体" w:eastAsia="宋体" w:cs="宋体"/>
          <w:b/>
          <w:sz w:val="32"/>
        </w:rPr>
      </w:pPr>
    </w:p>
    <w:p>
      <w:pPr>
        <w:spacing w:line="580" w:lineRule="auto"/>
        <w:ind w:firstLine="643"/>
        <w:rPr>
          <w:rFonts w:ascii="宋体" w:hAnsi="宋体" w:eastAsia="宋体" w:cs="宋体"/>
          <w:b/>
          <w:sz w:val="32"/>
        </w:rPr>
      </w:pP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一、项目概况</w:t>
      </w:r>
    </w:p>
    <w:p>
      <w:pPr>
        <w:rPr>
          <w:rFonts w:hint="eastAsia" w:ascii="仿宋" w:hAnsi="仿宋" w:eastAsia="仿宋" w:cs="仿宋"/>
          <w:b/>
          <w:bCs/>
          <w:sz w:val="32"/>
          <w:szCs w:val="32"/>
        </w:rPr>
      </w:pPr>
      <w:r>
        <w:rPr>
          <w:rFonts w:hint="eastAsia" w:ascii="仿宋" w:hAnsi="仿宋" w:eastAsia="仿宋" w:cs="仿宋"/>
          <w:b/>
          <w:bCs/>
          <w:sz w:val="32"/>
          <w:szCs w:val="32"/>
        </w:rPr>
        <w:t>（一）项目单位基本情况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基本公共卫生项目实施单位包括巨鹿县医院、巨鹿县妇幼保健院、巨鹿县中医院和十个乡镇卫生院。基本公共卫生项目实施单位承担全县基本公共卫生项目。</w:t>
      </w:r>
    </w:p>
    <w:p>
      <w:pPr>
        <w:rPr>
          <w:rFonts w:hint="eastAsia" w:ascii="仿宋" w:hAnsi="仿宋" w:eastAsia="仿宋" w:cs="仿宋"/>
          <w:b/>
          <w:bCs/>
          <w:sz w:val="32"/>
          <w:szCs w:val="32"/>
        </w:rPr>
      </w:pPr>
      <w:r>
        <w:rPr>
          <w:rFonts w:hint="eastAsia" w:ascii="仿宋" w:hAnsi="仿宋" w:eastAsia="仿宋" w:cs="仿宋"/>
          <w:b/>
          <w:bCs/>
          <w:sz w:val="32"/>
          <w:szCs w:val="32"/>
        </w:rPr>
        <w:t>（二）项目基本情况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2023年原12类基本公共卫生项目资金2818.84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通过开展居民健康档案管理，健康教育服务，预防接种，传染病及突发公共卫生事件报告和处理，0-6儿童管理，孕产妇健康管理，65岁以老年人健康管理，严重精神障碍患者管理，卫生监督协管、高血压健康管理、糖尿病规范管理、肺结核患者管理、中医药服务等基本公共卫生服务项目，对影响居民健康的主要卫生问题实施干预，减少主要健康危险因素，有效预防和控制主要传染病及慢性病，提高居民整体健康水平。 </w:t>
      </w:r>
    </w:p>
    <w:p>
      <w:pPr>
        <w:rPr>
          <w:rFonts w:hint="eastAsia" w:ascii="仿宋" w:hAnsi="仿宋" w:eastAsia="仿宋" w:cs="仿宋"/>
          <w:b/>
          <w:bCs/>
          <w:sz w:val="32"/>
          <w:szCs w:val="32"/>
        </w:rPr>
      </w:pPr>
      <w:r>
        <w:rPr>
          <w:rFonts w:hint="eastAsia" w:ascii="仿宋" w:hAnsi="仿宋" w:eastAsia="仿宋" w:cs="仿宋"/>
          <w:b/>
          <w:bCs/>
          <w:sz w:val="32"/>
          <w:szCs w:val="32"/>
        </w:rPr>
        <w:t>二、项目实施情况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w:t>
      </w:r>
      <w:r>
        <w:rPr>
          <w:rFonts w:hint="eastAsia" w:ascii="仿宋" w:hAnsi="仿宋" w:eastAsia="仿宋" w:cs="仿宋"/>
          <w:sz w:val="32"/>
          <w:szCs w:val="32"/>
        </w:rPr>
        <w:t>根据《国家基本公共卫生服务项目规范》及省市有关文件要求，成立以主管县长为组长的基本公共卫生服务项目领导小组，县政府出台了《关于建立国家基本公共卫生服务项目协调工作机制的通知》，明确工作协调机制，制定《巨鹿县20</w:t>
      </w:r>
      <w:r>
        <w:rPr>
          <w:rFonts w:hint="eastAsia" w:ascii="仿宋" w:hAnsi="仿宋" w:eastAsia="仿宋" w:cs="仿宋"/>
          <w:sz w:val="32"/>
          <w:szCs w:val="32"/>
          <w:lang w:val="en-US" w:eastAsia="zh-CN"/>
        </w:rPr>
        <w:t>23</w:t>
      </w:r>
      <w:r>
        <w:rPr>
          <w:rFonts w:hint="eastAsia" w:ascii="仿宋" w:hAnsi="仿宋" w:eastAsia="仿宋" w:cs="仿宋"/>
          <w:sz w:val="32"/>
          <w:szCs w:val="32"/>
        </w:rPr>
        <w:t>年度基本公共卫生服务项目实施方案》，明确各分项年度目标，将各级、各单位的工作作出具体分工，确定各项目机构有资质的管理人员分管各项公共卫生服务内容。二是成立了由卫健局和各业务指导单位相关人员组成的基本公共卫生项目绩效考评小组，进行了年度考核，对卫生院进行排名，落实奖惩，对卫生院公共卫生工作起到促进作用，提高了职工的工作积极性。</w:t>
      </w:r>
      <w:r>
        <w:rPr>
          <w:rFonts w:hint="eastAsia" w:ascii="仿宋" w:hAnsi="仿宋" w:eastAsia="仿宋" w:cs="仿宋"/>
          <w:sz w:val="32"/>
          <w:szCs w:val="32"/>
          <w:lang w:eastAsia="zh-CN"/>
        </w:rPr>
        <w:t>通过制定实施方案、计划，实行绩效考核等措施，基本公共卫生工作得到落实，各项目机构均完成了工作任务。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资金分配按照人口及工作量等进行测算，严格按照完成的数量、质量及考核结果进行分配。项目经费实行专帐管理，专款专用。202</w:t>
      </w:r>
      <w:r>
        <w:rPr>
          <w:rFonts w:hint="eastAsia" w:ascii="仿宋" w:hAnsi="仿宋" w:eastAsia="仿宋" w:cs="仿宋"/>
          <w:sz w:val="32"/>
          <w:szCs w:val="32"/>
          <w:lang w:val="en-US" w:eastAsia="zh-CN"/>
        </w:rPr>
        <w:t>3</w:t>
      </w:r>
      <w:r>
        <w:rPr>
          <w:rFonts w:hint="eastAsia" w:ascii="仿宋" w:hAnsi="仿宋" w:eastAsia="仿宋" w:cs="仿宋"/>
          <w:sz w:val="32"/>
          <w:szCs w:val="32"/>
        </w:rPr>
        <w:t>年到位原12类基本公共卫生服务项目资金</w:t>
      </w:r>
      <w:r>
        <w:rPr>
          <w:rFonts w:hint="eastAsia" w:ascii="仿宋" w:hAnsi="仿宋" w:eastAsia="仿宋" w:cs="仿宋"/>
          <w:sz w:val="32"/>
          <w:szCs w:val="32"/>
          <w:lang w:val="en-US" w:eastAsia="zh-CN"/>
        </w:rPr>
        <w:t>2818.8400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我县常住人口34.</w:t>
      </w:r>
      <w:r>
        <w:rPr>
          <w:rFonts w:hint="eastAsia" w:ascii="仿宋" w:hAnsi="仿宋" w:eastAsia="仿宋" w:cs="仿宋"/>
          <w:sz w:val="32"/>
          <w:szCs w:val="32"/>
          <w:lang w:val="en-US" w:eastAsia="zh-CN"/>
        </w:rPr>
        <w:t>4600</w:t>
      </w:r>
      <w:r>
        <w:rPr>
          <w:rFonts w:hint="eastAsia" w:ascii="仿宋" w:hAnsi="仿宋" w:eastAsia="仿宋" w:cs="仿宋"/>
          <w:sz w:val="32"/>
          <w:szCs w:val="32"/>
        </w:rPr>
        <w:t>万人，按人均</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81.8</w:t>
      </w:r>
      <w:r>
        <w:rPr>
          <w:rFonts w:hint="eastAsia" w:ascii="仿宋" w:hAnsi="仿宋" w:eastAsia="仿宋" w:cs="仿宋"/>
          <w:sz w:val="32"/>
          <w:szCs w:val="32"/>
        </w:rPr>
        <w:t>元</w:t>
      </w:r>
      <w:r>
        <w:rPr>
          <w:rFonts w:hint="eastAsia" w:ascii="仿宋" w:hAnsi="仿宋" w:eastAsia="仿宋" w:cs="仿宋"/>
          <w:sz w:val="32"/>
          <w:szCs w:val="32"/>
          <w:lang w:eastAsia="zh-CN"/>
        </w:rPr>
        <w:t>拨付</w:t>
      </w:r>
      <w:r>
        <w:rPr>
          <w:rFonts w:hint="eastAsia" w:ascii="仿宋" w:hAnsi="仿宋" w:eastAsia="仿宋" w:cs="仿宋"/>
          <w:sz w:val="32"/>
          <w:szCs w:val="32"/>
        </w:rPr>
        <w:t>，其中中央资金</w:t>
      </w:r>
      <w:r>
        <w:rPr>
          <w:rFonts w:hint="eastAsia" w:ascii="仿宋" w:hAnsi="仿宋" w:eastAsia="仿宋" w:cs="仿宋"/>
          <w:sz w:val="32"/>
          <w:szCs w:val="32"/>
          <w:lang w:val="en-US" w:eastAsia="zh-CN"/>
        </w:rPr>
        <w:t>1685.7400</w:t>
      </w:r>
      <w:r>
        <w:rPr>
          <w:rFonts w:hint="eastAsia" w:ascii="仿宋" w:hAnsi="仿宋" w:eastAsia="仿宋" w:cs="仿宋"/>
          <w:sz w:val="32"/>
          <w:szCs w:val="32"/>
        </w:rPr>
        <w:t>万元，省级资金</w:t>
      </w:r>
      <w:r>
        <w:rPr>
          <w:rFonts w:hint="eastAsia" w:ascii="仿宋" w:hAnsi="仿宋" w:eastAsia="仿宋" w:cs="仿宋"/>
          <w:sz w:val="32"/>
          <w:szCs w:val="32"/>
          <w:lang w:val="en-US" w:eastAsia="zh-CN"/>
        </w:rPr>
        <w:t>551.3600</w:t>
      </w:r>
      <w:r>
        <w:rPr>
          <w:rFonts w:hint="eastAsia" w:ascii="仿宋" w:hAnsi="仿宋" w:eastAsia="仿宋" w:cs="仿宋"/>
          <w:sz w:val="32"/>
          <w:szCs w:val="32"/>
        </w:rPr>
        <w:t>万元，县级资金</w:t>
      </w:r>
      <w:r>
        <w:rPr>
          <w:rFonts w:hint="eastAsia" w:ascii="仿宋" w:hAnsi="仿宋" w:eastAsia="仿宋" w:cs="仿宋"/>
          <w:sz w:val="32"/>
          <w:szCs w:val="32"/>
          <w:lang w:val="en-US" w:eastAsia="zh-CN"/>
        </w:rPr>
        <w:t>581.7400</w:t>
      </w:r>
      <w:r>
        <w:rPr>
          <w:rFonts w:hint="eastAsia" w:ascii="仿宋" w:hAnsi="仿宋" w:eastAsia="仿宋" w:cs="仿宋"/>
          <w:sz w:val="32"/>
          <w:szCs w:val="32"/>
        </w:rPr>
        <w:t>万元。根据202</w:t>
      </w:r>
      <w:r>
        <w:rPr>
          <w:rFonts w:hint="eastAsia" w:ascii="仿宋" w:hAnsi="仿宋" w:eastAsia="仿宋" w:cs="仿宋"/>
          <w:sz w:val="32"/>
          <w:szCs w:val="32"/>
          <w:lang w:val="en-US" w:eastAsia="zh-CN"/>
        </w:rPr>
        <w:t>3</w:t>
      </w:r>
      <w:r>
        <w:rPr>
          <w:rFonts w:hint="eastAsia" w:ascii="仿宋" w:hAnsi="仿宋" w:eastAsia="仿宋" w:cs="仿宋"/>
          <w:sz w:val="32"/>
          <w:szCs w:val="32"/>
        </w:rPr>
        <w:t>年巨鹿县基本公卫资金分配方案，其中，</w:t>
      </w:r>
      <w:r>
        <w:rPr>
          <w:rFonts w:hint="eastAsia" w:ascii="仿宋" w:hAnsi="仿宋" w:eastAsia="仿宋" w:cs="仿宋"/>
          <w:sz w:val="32"/>
          <w:szCs w:val="32"/>
          <w:lang w:eastAsia="zh-CN"/>
        </w:rPr>
        <w:t>用于绩效资金为</w:t>
      </w:r>
      <w:r>
        <w:rPr>
          <w:rFonts w:hint="eastAsia" w:ascii="仿宋" w:hAnsi="仿宋" w:eastAsia="仿宋" w:cs="仿宋"/>
          <w:sz w:val="32"/>
          <w:szCs w:val="32"/>
          <w:lang w:val="en-US" w:eastAsia="zh-CN"/>
        </w:rPr>
        <w:t>140.9420万元，</w:t>
      </w:r>
      <w:r>
        <w:rPr>
          <w:rFonts w:hint="eastAsia" w:ascii="仿宋" w:hAnsi="仿宋" w:eastAsia="仿宋" w:cs="仿宋"/>
          <w:sz w:val="32"/>
          <w:szCs w:val="32"/>
        </w:rPr>
        <w:t>用于优化孕产妇资金为70万元，用于城镇基本公共卫生服务资金为</w:t>
      </w:r>
      <w:r>
        <w:rPr>
          <w:rFonts w:hint="eastAsia" w:ascii="仿宋" w:hAnsi="仿宋" w:eastAsia="仿宋" w:cs="仿宋"/>
          <w:sz w:val="32"/>
          <w:szCs w:val="32"/>
          <w:lang w:val="en-US" w:eastAsia="zh-CN"/>
        </w:rPr>
        <w:t>302.7160</w:t>
      </w:r>
      <w:r>
        <w:rPr>
          <w:rFonts w:hint="eastAsia" w:ascii="仿宋" w:hAnsi="仿宋" w:eastAsia="仿宋" w:cs="仿宋"/>
          <w:sz w:val="32"/>
          <w:szCs w:val="32"/>
        </w:rPr>
        <w:t>万元，用于乡镇基本公共卫生服务资金为</w:t>
      </w:r>
      <w:r>
        <w:rPr>
          <w:rFonts w:hint="eastAsia" w:ascii="仿宋" w:hAnsi="仿宋" w:eastAsia="仿宋" w:cs="仿宋"/>
          <w:sz w:val="32"/>
          <w:szCs w:val="32"/>
          <w:lang w:val="en-US" w:eastAsia="zh-CN"/>
        </w:rPr>
        <w:t>2305.1820</w:t>
      </w:r>
      <w:r>
        <w:rPr>
          <w:rFonts w:hint="eastAsia" w:ascii="仿宋" w:hAnsi="仿宋" w:eastAsia="仿宋" w:cs="仿宋"/>
          <w:sz w:val="32"/>
          <w:szCs w:val="32"/>
        </w:rPr>
        <w:t>万元；乡镇基本公卫资金中，卫生院资金占总额的60%为</w:t>
      </w:r>
      <w:r>
        <w:rPr>
          <w:rFonts w:hint="eastAsia" w:ascii="仿宋" w:hAnsi="仿宋" w:eastAsia="仿宋" w:cs="仿宋"/>
          <w:sz w:val="32"/>
          <w:szCs w:val="32"/>
          <w:lang w:val="en-US" w:eastAsia="zh-CN"/>
        </w:rPr>
        <w:t>1383.1092</w:t>
      </w:r>
      <w:r>
        <w:rPr>
          <w:rFonts w:hint="eastAsia" w:ascii="仿宋" w:hAnsi="仿宋" w:eastAsia="仿宋" w:cs="仿宋"/>
          <w:sz w:val="32"/>
          <w:szCs w:val="32"/>
        </w:rPr>
        <w:t>万元，村卫生室资金占总额的40%为</w:t>
      </w:r>
      <w:r>
        <w:rPr>
          <w:rFonts w:hint="eastAsia" w:ascii="仿宋" w:hAnsi="仿宋" w:eastAsia="仿宋" w:cs="仿宋"/>
          <w:sz w:val="32"/>
          <w:szCs w:val="32"/>
          <w:lang w:val="en-US" w:eastAsia="zh-CN"/>
        </w:rPr>
        <w:t>922.0728</w:t>
      </w:r>
      <w:r>
        <w:rPr>
          <w:rFonts w:hint="eastAsia" w:ascii="仿宋" w:hAnsi="仿宋" w:eastAsia="仿宋" w:cs="仿宋"/>
          <w:sz w:val="32"/>
          <w:szCs w:val="32"/>
        </w:rPr>
        <w:t>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年原12类基本公共卫生服务资金已按照资金分配方案全部支出。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原12类基本公共卫生服务资金已按照资金分配方案支出完成，保障了基本公共卫生项目的顺利实施。</w:t>
      </w:r>
    </w:p>
    <w:p>
      <w:pPr>
        <w:rPr>
          <w:rFonts w:hint="eastAsia" w:ascii="仿宋" w:hAnsi="仿宋" w:eastAsia="仿宋" w:cs="仿宋"/>
          <w:b/>
          <w:bCs/>
          <w:sz w:val="32"/>
          <w:szCs w:val="32"/>
        </w:rPr>
      </w:pPr>
      <w:r>
        <w:rPr>
          <w:rFonts w:hint="eastAsia" w:ascii="仿宋" w:hAnsi="仿宋" w:eastAsia="仿宋" w:cs="仿宋"/>
          <w:b/>
          <w:bCs/>
          <w:sz w:val="32"/>
          <w:szCs w:val="32"/>
        </w:rPr>
        <w:t>三、绩效评价工作情况</w:t>
      </w:r>
    </w:p>
    <w:p>
      <w:pPr>
        <w:rPr>
          <w:rFonts w:hint="eastAsia" w:ascii="仿宋" w:hAnsi="仿宋" w:eastAsia="仿宋" w:cs="仿宋"/>
          <w:b/>
          <w:bCs/>
          <w:sz w:val="32"/>
          <w:szCs w:val="32"/>
        </w:rPr>
      </w:pPr>
      <w:r>
        <w:rPr>
          <w:rFonts w:hint="eastAsia" w:ascii="仿宋" w:hAnsi="仿宋" w:eastAsia="仿宋" w:cs="仿宋"/>
          <w:b/>
          <w:bCs/>
          <w:sz w:val="32"/>
          <w:szCs w:val="32"/>
        </w:rPr>
        <w:t>（一）评价目的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为了加强基本公共卫生专项资金的使用管理，有效的对单位</w:t>
      </w:r>
    </w:p>
    <w:p>
      <w:pPr>
        <w:rPr>
          <w:rFonts w:hint="eastAsia" w:ascii="仿宋" w:hAnsi="仿宋" w:eastAsia="仿宋" w:cs="仿宋"/>
          <w:sz w:val="32"/>
          <w:szCs w:val="32"/>
        </w:rPr>
      </w:pPr>
      <w:r>
        <w:rPr>
          <w:rFonts w:hint="eastAsia" w:ascii="仿宋" w:hAnsi="仿宋" w:eastAsia="仿宋" w:cs="仿宋"/>
          <w:sz w:val="32"/>
          <w:szCs w:val="32"/>
        </w:rPr>
        <w:t>基本公共卫生服务项目绩效管理进行复核，全面掌握基本公共卫生项目工作完成情况，掌握资金的使用情况、项目进度以及实施效率，并及时发现项目执行过程中存在的问题、困难，强化绩效自评结果应用，加强项目管理，减少不合理支出、无效支出，提高财政资金使用效益，促进基本公共卫生资金合理使用，进一步提高基本公共卫生服务水平。</w:t>
      </w:r>
    </w:p>
    <w:p>
      <w:pPr>
        <w:rPr>
          <w:rFonts w:hint="eastAsia" w:ascii="仿宋" w:hAnsi="仿宋" w:eastAsia="仿宋" w:cs="仿宋"/>
          <w:b/>
          <w:bCs/>
          <w:sz w:val="32"/>
          <w:szCs w:val="32"/>
        </w:rPr>
      </w:pPr>
      <w:r>
        <w:rPr>
          <w:rFonts w:hint="eastAsia" w:ascii="仿宋" w:hAnsi="仿宋" w:eastAsia="仿宋" w:cs="仿宋"/>
          <w:b/>
          <w:bCs/>
          <w:sz w:val="32"/>
          <w:szCs w:val="32"/>
        </w:rPr>
        <w:t>（二）评价指标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年度绩效目标设定为：</w:t>
      </w:r>
      <w:r>
        <w:rPr>
          <w:rFonts w:hint="eastAsia" w:ascii="仿宋" w:hAnsi="仿宋" w:eastAsia="仿宋" w:cs="仿宋"/>
          <w:b w:val="0"/>
          <w:bCs w:val="0"/>
          <w:color w:val="363636"/>
          <w:kern w:val="0"/>
          <w:sz w:val="32"/>
          <w:szCs w:val="32"/>
          <w:lang w:val="en-US" w:eastAsia="zh-CN" w:bidi="ar"/>
        </w:rPr>
        <w:t>居民电子档案建档率94.97%；居民规范化电子健康档案覆盖率达到88.55%，电子健康档案开放率≥90%；免疫规划疫苗接种率90%，其他一类疫苗接种全程合格率达到国家规定要求；7岁以下儿童健康管理率分别92.61%；</w:t>
      </w:r>
      <w:r>
        <w:rPr>
          <w:rFonts w:hint="eastAsia" w:ascii="仿宋" w:hAnsi="仿宋" w:eastAsia="仿宋" w:cs="仿宋"/>
          <w:b w:val="0"/>
          <w:bCs w:val="0"/>
          <w:color w:val="363636"/>
          <w:kern w:val="0"/>
          <w:sz w:val="32"/>
          <w:szCs w:val="32"/>
          <w:highlight w:val="none"/>
          <w:lang w:val="en-US" w:eastAsia="zh-CN" w:bidi="ar"/>
        </w:rPr>
        <w:t>0—6岁儿童眼保健和视力检查覆盖率92.61%，3岁以下儿童系统管理率达到93.04%，</w:t>
      </w:r>
      <w:r>
        <w:rPr>
          <w:rFonts w:hint="eastAsia" w:ascii="仿宋" w:hAnsi="仿宋" w:eastAsia="仿宋" w:cs="仿宋"/>
          <w:b w:val="0"/>
          <w:bCs w:val="0"/>
          <w:color w:val="363636"/>
          <w:kern w:val="0"/>
          <w:sz w:val="32"/>
          <w:szCs w:val="32"/>
          <w:lang w:val="en-US" w:eastAsia="zh-CN" w:bidi="ar"/>
        </w:rPr>
        <w:t>孕产妇系统管理率93.96%，产后访视率94.26%。65岁以上老年人规范健康服务率64.13%。高血压病患者规范管理服务率74.9%，2型糖尿病患者规范管理服务率65.02%，严重精神障碍患者规范管理率达96.73%，肺结核患者健康管理率100%，65岁以上老年人中医药健康管理率70.12%，0～36个月儿童中医药健康管理服务率80%；传染病疫情报告率100%，突发公共卫生事件报告率达到100%，卫生监督协管信息报告达到100%。</w:t>
      </w:r>
    </w:p>
    <w:p>
      <w:pPr>
        <w:jc w:val="left"/>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评价依据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《国家基本公共卫生服务规范（第三版）》、《</w:t>
      </w:r>
      <w:r>
        <w:rPr>
          <w:rFonts w:hint="eastAsia" w:ascii="仿宋" w:hAnsi="仿宋" w:eastAsia="仿宋" w:cs="仿宋"/>
          <w:sz w:val="32"/>
          <w:szCs w:val="32"/>
          <w:lang w:val="en-US" w:eastAsia="zh-CN"/>
        </w:rPr>
        <w:t>巨鹿县</w:t>
      </w:r>
      <w:r>
        <w:rPr>
          <w:rFonts w:hint="eastAsia" w:ascii="仿宋" w:hAnsi="仿宋" w:eastAsia="仿宋" w:cs="仿宋"/>
          <w:sz w:val="32"/>
          <w:szCs w:val="32"/>
        </w:rPr>
        <w:t>基本公共卫生服务项目绩效考核实施办法》</w:t>
      </w:r>
    </w:p>
    <w:p>
      <w:pP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评价的主要方法及等级设定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1、数量指标：该项目数量指标清晰明确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2、质量指标：达到预先设定的指标值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3、社会效益指标：城乡居民公共卫生差距不断缩小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、可持续影响指标：居民健康素养水平不断提高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、群众满意度指标：服务对象满意度不断提高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、预算执行率指标：预算执行率分值100</w:t>
      </w:r>
      <w:r>
        <w:rPr>
          <w:rFonts w:hint="eastAsia" w:ascii="仿宋" w:hAnsi="仿宋" w:eastAsia="仿宋" w:cs="仿宋"/>
          <w:sz w:val="32"/>
          <w:szCs w:val="32"/>
          <w:lang w:eastAsia="zh-CN"/>
        </w:rPr>
        <w:t>。</w:t>
      </w:r>
    </w:p>
    <w:p>
      <w:pPr>
        <w:rPr>
          <w:rFonts w:hint="eastAsia" w:ascii="仿宋" w:hAnsi="仿宋" w:eastAsia="仿宋" w:cs="仿宋"/>
          <w:b/>
          <w:bCs/>
          <w:sz w:val="32"/>
          <w:szCs w:val="32"/>
        </w:rPr>
      </w:pPr>
      <w:r>
        <w:rPr>
          <w:rFonts w:hint="eastAsia" w:ascii="仿宋" w:hAnsi="仿宋" w:eastAsia="仿宋" w:cs="仿宋"/>
          <w:b/>
          <w:bCs/>
          <w:sz w:val="32"/>
          <w:szCs w:val="32"/>
        </w:rPr>
        <w:t>四、绩效评价指标体系及得分情况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1、数量指标（分值设定22分，得分22分）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适龄儿童国家免疫规划疫苗接种率90%；0-6儿童眼保健和视力检查覆盖率92.61%；孕产妇系统管理率</w:t>
      </w:r>
      <w:r>
        <w:rPr>
          <w:rFonts w:hint="eastAsia" w:ascii="仿宋" w:hAnsi="仿宋" w:eastAsia="仿宋" w:cs="仿宋"/>
          <w:b w:val="0"/>
          <w:bCs w:val="0"/>
          <w:color w:val="363636"/>
          <w:kern w:val="0"/>
          <w:sz w:val="32"/>
          <w:szCs w:val="32"/>
          <w:lang w:val="en-US" w:eastAsia="zh-CN" w:bidi="ar"/>
        </w:rPr>
        <w:t>93.96</w:t>
      </w:r>
      <w:r>
        <w:rPr>
          <w:rFonts w:hint="eastAsia" w:ascii="仿宋" w:hAnsi="仿宋" w:eastAsia="仿宋" w:cs="仿宋"/>
          <w:sz w:val="32"/>
          <w:szCs w:val="32"/>
          <w:lang w:val="en-US" w:eastAsia="zh-CN"/>
        </w:rPr>
        <w:t>%；高血压患者管理人数31120人；2型糖尿病患者管理人数11520人；老年人中医药健康管理率70.12%；儿童中医药健康管理率80%；</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2、质量指标（分值设定28分，得分28分）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居民规范化电子健康档案覆盖率88.55%；高血压患者基层规范管理服务率74.9%；2型糖尿病患者基层规范管理服务率65.02%；65岁以上老年人城乡社区规范健康管理服务率64.13%；居家严重精神障碍患者健康管理率96.73%；肺结核患者管理率100%；传染病和突发公共卫生事件报告率100%。</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3、社会效益指标（分值设定20分，得分20分）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作为我国基本医疗卫生服务的重要组成部分，基本公共卫生各服务项目人群覆盖率均有较大幅度增长，服务广覆盖的目标基本达成，重点人群健康管理水平提升明显，健康管理效果显现。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4、可持续影响指标（分值设定10分，得分10分）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居民对基本公共卫生服务的获得感逐步提高，基层医疗卫生机构服务能力不断提升，基本公共卫生服务项目的全面实施是向“全民健康覆盖”目标迈进的重要举措。</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5、满意度指标（分值设定10分，得分8分）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群众满意度指标：通过向社会公众发放问卷，发放问卷50份，收回50份，满意度为98%。</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6、预算执行率（分值设定10分，得分10分）</w:t>
      </w:r>
    </w:p>
    <w:p>
      <w:pPr>
        <w:pStyle w:val="4"/>
        <w:shd w:val="clear" w:color="auto" w:fill="FFFFFF"/>
        <w:spacing w:before="0" w:beforeAutospacing="0" w:after="0" w:afterAutospacing="0" w:line="480" w:lineRule="auto"/>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2023年该项目下达财政预算资金2818.8400万元，实际支出2818.8400万元，全部用于2023年基本公共卫生项目，预算执行率100%。</w:t>
      </w:r>
    </w:p>
    <w:p>
      <w:pPr>
        <w:pStyle w:val="4"/>
        <w:shd w:val="clear" w:color="auto" w:fill="FFFFFF"/>
        <w:spacing w:before="0" w:beforeAutospacing="0" w:after="0" w:afterAutospacing="0" w:line="480" w:lineRule="auto"/>
        <w:ind w:firstLine="640" w:firstLineChars="200"/>
        <w:rPr>
          <w:rFonts w:hint="eastAsia" w:asciiTheme="majorEastAsia" w:hAnsiTheme="majorEastAsia" w:eastAsiaTheme="majorEastAsia" w:cstheme="majorEastAsia"/>
          <w:b/>
          <w:color w:val="000000"/>
          <w:sz w:val="40"/>
          <w:szCs w:val="40"/>
          <w:u w:val="single"/>
          <w:lang w:val="en-US" w:eastAsia="zh-CN"/>
        </w:rPr>
      </w:pPr>
      <w:r>
        <w:rPr>
          <w:rFonts w:hint="eastAsia" w:ascii="仿宋" w:hAnsi="仿宋" w:eastAsia="仿宋" w:cs="仿宋"/>
          <w:kern w:val="2"/>
          <w:sz w:val="32"/>
          <w:szCs w:val="32"/>
        </w:rPr>
        <w:t>20</w:t>
      </w:r>
      <w:r>
        <w:rPr>
          <w:rFonts w:hint="eastAsia" w:ascii="仿宋" w:hAnsi="仿宋" w:eastAsia="仿宋" w:cs="仿宋"/>
          <w:kern w:val="2"/>
          <w:sz w:val="32"/>
          <w:szCs w:val="32"/>
          <w:lang w:val="en-US" w:eastAsia="zh-CN"/>
        </w:rPr>
        <w:t>23</w:t>
      </w:r>
      <w:r>
        <w:rPr>
          <w:rFonts w:hint="eastAsia" w:ascii="仿宋" w:hAnsi="仿宋" w:eastAsia="仿宋" w:cs="仿宋"/>
          <w:kern w:val="2"/>
          <w:sz w:val="32"/>
          <w:szCs w:val="32"/>
        </w:rPr>
        <w:t>年底，卫健局组织疾控中心、妇幼院、中医院等专业机构对各项目机构进行了考核和自评，通过</w:t>
      </w:r>
      <w:r>
        <w:rPr>
          <w:rFonts w:hint="eastAsia" w:ascii="仿宋" w:hAnsi="仿宋" w:eastAsia="仿宋" w:cs="仿宋"/>
          <w:kern w:val="2"/>
          <w:sz w:val="32"/>
          <w:szCs w:val="32"/>
          <w:lang w:eastAsia="zh-CN"/>
        </w:rPr>
        <w:t>202</w:t>
      </w: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一年来的工作，基本公共卫生服务能力得到提升，基本公共卫生服务项目得到较好落实，老百姓获得感不断增强，群众满意度不断提高。人民群众健康意识进一步得到增强，使人人享受到基本公共卫生服务带来的健康实惠。20</w:t>
      </w:r>
      <w:r>
        <w:rPr>
          <w:rFonts w:hint="eastAsia" w:ascii="仿宋" w:hAnsi="仿宋" w:eastAsia="仿宋" w:cs="仿宋"/>
          <w:kern w:val="2"/>
          <w:sz w:val="32"/>
          <w:szCs w:val="32"/>
          <w:lang w:val="en-US" w:eastAsia="zh-CN"/>
        </w:rPr>
        <w:t>23</w:t>
      </w:r>
      <w:r>
        <w:rPr>
          <w:rFonts w:hint="eastAsia" w:ascii="仿宋" w:hAnsi="仿宋" w:eastAsia="仿宋" w:cs="仿宋"/>
          <w:kern w:val="2"/>
          <w:sz w:val="32"/>
          <w:szCs w:val="32"/>
        </w:rPr>
        <w:t>年项目的开展，资金支出的管理、使用、</w:t>
      </w:r>
      <w:r>
        <w:rPr>
          <w:rFonts w:hint="eastAsia" w:ascii="仿宋" w:hAnsi="仿宋" w:eastAsia="仿宋" w:cs="仿宋"/>
          <w:kern w:val="2"/>
          <w:sz w:val="32"/>
          <w:szCs w:val="32"/>
          <w:lang w:eastAsia="zh-CN"/>
        </w:rPr>
        <w:t>绩效</w:t>
      </w:r>
      <w:r>
        <w:rPr>
          <w:rFonts w:hint="eastAsia" w:ascii="仿宋" w:hAnsi="仿宋" w:eastAsia="仿宋" w:cs="仿宋"/>
          <w:kern w:val="2"/>
          <w:sz w:val="32"/>
          <w:szCs w:val="32"/>
        </w:rPr>
        <w:t>自评结</w:t>
      </w:r>
      <w:r>
        <w:rPr>
          <w:rFonts w:hint="eastAsia" w:ascii="仿宋" w:hAnsi="仿宋" w:eastAsia="仿宋" w:cs="仿宋"/>
          <w:kern w:val="2"/>
          <w:sz w:val="32"/>
          <w:szCs w:val="32"/>
          <w:lang w:eastAsia="zh-CN"/>
        </w:rPr>
        <w:t>果</w:t>
      </w:r>
      <w:r>
        <w:rPr>
          <w:rFonts w:hint="eastAsia" w:ascii="仿宋" w:hAnsi="仿宋" w:eastAsia="仿宋" w:cs="仿宋"/>
          <w:kern w:val="2"/>
          <w:sz w:val="32"/>
          <w:szCs w:val="32"/>
        </w:rPr>
        <w:t>为：</w:t>
      </w:r>
      <w:r>
        <w:rPr>
          <w:rFonts w:hint="eastAsia" w:ascii="仿宋" w:hAnsi="仿宋" w:eastAsia="仿宋" w:cs="仿宋"/>
          <w:kern w:val="2"/>
          <w:sz w:val="32"/>
          <w:szCs w:val="32"/>
          <w:lang w:val="en-US" w:eastAsia="zh-CN"/>
        </w:rPr>
        <w:t>98分</w:t>
      </w:r>
      <w:r>
        <w:rPr>
          <w:rFonts w:hint="eastAsia" w:ascii="仿宋" w:hAnsi="仿宋" w:eastAsia="仿宋" w:cs="仿宋"/>
          <w:color w:val="333333"/>
          <w:sz w:val="32"/>
          <w:szCs w:val="32"/>
        </w:rPr>
        <w:t>。</w:t>
      </w:r>
    </w:p>
    <w:p>
      <w:pPr>
        <w:spacing w:line="580" w:lineRule="auto"/>
        <w:jc w:val="center"/>
        <w:rPr>
          <w:rFonts w:hint="eastAsia" w:ascii="宋体" w:hAnsi="宋体" w:eastAsia="宋体" w:cs="宋体"/>
          <w:b/>
          <w:color w:val="000000"/>
          <w:sz w:val="40"/>
          <w:szCs w:val="40"/>
          <w:u w:val="single"/>
        </w:rPr>
      </w:pPr>
      <w:r>
        <w:rPr>
          <w:rFonts w:hint="eastAsia" w:asciiTheme="majorEastAsia" w:hAnsiTheme="majorEastAsia" w:eastAsiaTheme="majorEastAsia" w:cstheme="majorEastAsia"/>
          <w:b/>
          <w:color w:val="000000"/>
          <w:sz w:val="40"/>
          <w:szCs w:val="40"/>
          <w:u w:val="single"/>
          <w:lang w:val="en-US" w:eastAsia="zh-CN"/>
        </w:rPr>
        <w:t>基本公共卫生</w:t>
      </w:r>
      <w:r>
        <w:rPr>
          <w:rFonts w:ascii="宋体" w:hAnsi="宋体" w:eastAsia="宋体" w:cs="宋体"/>
          <w:b/>
          <w:color w:val="000000"/>
          <w:sz w:val="40"/>
          <w:szCs w:val="40"/>
          <w:u w:val="single"/>
        </w:rPr>
        <w:t>项目财政重点绩效评价指标表</w:t>
      </w:r>
    </w:p>
    <w:p>
      <w:pPr>
        <w:spacing w:line="400" w:lineRule="exact"/>
        <w:jc w:val="center"/>
        <w:rPr>
          <w:rFonts w:hint="eastAsia" w:ascii="宋体" w:hAnsi="宋体" w:eastAsia="宋体" w:cs="宋体"/>
          <w:b/>
          <w:sz w:val="40"/>
          <w:szCs w:val="40"/>
        </w:rPr>
      </w:pPr>
    </w:p>
    <w:tbl>
      <w:tblPr>
        <w:tblStyle w:val="5"/>
        <w:tblW w:w="8930" w:type="dxa"/>
        <w:tblInd w:w="2" w:type="dxa"/>
        <w:tblLayout w:type="autofit"/>
        <w:tblCellMar>
          <w:top w:w="0" w:type="dxa"/>
          <w:left w:w="10" w:type="dxa"/>
          <w:bottom w:w="0" w:type="dxa"/>
          <w:right w:w="10" w:type="dxa"/>
        </w:tblCellMar>
      </w:tblPr>
      <w:tblGrid>
        <w:gridCol w:w="958"/>
        <w:gridCol w:w="674"/>
        <w:gridCol w:w="2083"/>
        <w:gridCol w:w="545"/>
        <w:gridCol w:w="3972"/>
        <w:gridCol w:w="698"/>
      </w:tblGrid>
      <w:tr>
        <w:tblPrEx>
          <w:tblCellMar>
            <w:top w:w="0" w:type="dxa"/>
            <w:left w:w="10" w:type="dxa"/>
            <w:bottom w:w="0" w:type="dxa"/>
            <w:right w:w="10" w:type="dxa"/>
          </w:tblCellMar>
        </w:tblPrEx>
        <w:trPr>
          <w:trHeight w:val="585" w:hRule="atLeast"/>
        </w:trPr>
        <w:tc>
          <w:tcPr>
            <w:tcW w:w="958" w:type="dxa"/>
            <w:tcBorders>
              <w:top w:val="single" w:color="auto" w:sz="4" w:space="0"/>
              <w:left w:val="single" w:color="000000" w:sz="4" w:space="0"/>
              <w:bottom w:val="single" w:color="000000" w:sz="4" w:space="0"/>
              <w:right w:val="single" w:color="000000" w:sz="0" w:space="0"/>
            </w:tcBorders>
            <w:shd w:val="clear" w:color="000000" w:fill="FFFFFF"/>
            <w:tcMar>
              <w:left w:w="12" w:type="dxa"/>
              <w:right w:w="12" w:type="dxa"/>
            </w:tcMar>
            <w:vAlign w:val="center"/>
          </w:tcPr>
          <w:p>
            <w:pPr>
              <w:spacing w:line="400" w:lineRule="exact"/>
              <w:jc w:val="center"/>
              <w:rPr>
                <w:rFonts w:hint="eastAsia" w:ascii="宋体" w:hAnsi="宋体" w:eastAsia="宋体" w:cs="宋体"/>
                <w:b/>
                <w:color w:val="000000"/>
                <w:sz w:val="24"/>
                <w:u w:val="single"/>
              </w:rPr>
            </w:pPr>
            <w:r>
              <w:rPr>
                <w:rFonts w:ascii="宋体" w:hAnsi="宋体" w:eastAsia="宋体" w:cs="宋体"/>
                <w:b/>
                <w:color w:val="000000"/>
                <w:sz w:val="24"/>
                <w:u w:val="single"/>
              </w:rPr>
              <w:t>一级</w:t>
            </w:r>
          </w:p>
          <w:p>
            <w:pPr>
              <w:spacing w:line="400" w:lineRule="exact"/>
              <w:jc w:val="center"/>
            </w:pPr>
            <w:r>
              <w:rPr>
                <w:rFonts w:ascii="宋体" w:hAnsi="宋体" w:eastAsia="宋体" w:cs="宋体"/>
                <w:b/>
                <w:color w:val="000000"/>
                <w:sz w:val="24"/>
                <w:u w:val="single"/>
              </w:rPr>
              <w:t>指标</w:t>
            </w:r>
          </w:p>
        </w:tc>
        <w:tc>
          <w:tcPr>
            <w:tcW w:w="674"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二级指标</w:t>
            </w:r>
          </w:p>
        </w:tc>
        <w:tc>
          <w:tcPr>
            <w:tcW w:w="2083"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pPr>
            <w:r>
              <w:rPr>
                <w:rFonts w:ascii="宋体" w:hAnsi="宋体" w:eastAsia="宋体" w:cs="宋体"/>
                <w:b/>
                <w:color w:val="000000"/>
                <w:sz w:val="24"/>
                <w:u w:val="single"/>
              </w:rPr>
              <w:t>三级指标</w:t>
            </w:r>
          </w:p>
        </w:tc>
        <w:tc>
          <w:tcPr>
            <w:tcW w:w="545" w:type="dxa"/>
            <w:vMerge w:val="restart"/>
            <w:tcBorders>
              <w:top w:val="single" w:color="auto"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分值</w:t>
            </w:r>
          </w:p>
        </w:tc>
        <w:tc>
          <w:tcPr>
            <w:tcW w:w="3972"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指标说明</w:t>
            </w:r>
          </w:p>
        </w:tc>
        <w:tc>
          <w:tcPr>
            <w:tcW w:w="698"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得分</w:t>
            </w:r>
          </w:p>
        </w:tc>
      </w:tr>
      <w:tr>
        <w:tblPrEx>
          <w:tblCellMar>
            <w:top w:w="0" w:type="dxa"/>
            <w:left w:w="10" w:type="dxa"/>
            <w:bottom w:w="0" w:type="dxa"/>
            <w:right w:w="1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545"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r>
      <w:tr>
        <w:tblPrEx>
          <w:tblCellMar>
            <w:top w:w="0" w:type="dxa"/>
            <w:left w:w="10" w:type="dxa"/>
            <w:bottom w:w="0" w:type="dxa"/>
            <w:right w:w="1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“工作活动”设置（</w:t>
            </w:r>
            <w:r>
              <w:rPr>
                <w:rFonts w:hint="eastAsia" w:ascii="宋体" w:hAnsi="宋体" w:eastAsia="宋体" w:cs="宋体"/>
                <w:color w:val="000000"/>
                <w:sz w:val="22"/>
                <w:szCs w:val="22"/>
                <w:u w:val="single"/>
                <w:lang w:val="en-US" w:eastAsia="zh-CN"/>
              </w:rPr>
              <w:t>40</w:t>
            </w:r>
            <w:r>
              <w:rPr>
                <w:rFonts w:hint="eastAsia" w:ascii="宋体" w:hAnsi="宋体" w:eastAsia="宋体" w:cs="宋体"/>
                <w:color w:val="000000"/>
                <w:sz w:val="22"/>
                <w:szCs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项目立项情况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有市政府相关政策、规划、任务等文件得</w:t>
            </w:r>
            <w:r>
              <w:rPr>
                <w:rFonts w:hint="eastAsia" w:ascii="宋体" w:hAnsi="宋体" w:eastAsia="宋体" w:cs="宋体"/>
                <w:color w:val="000000"/>
                <w:sz w:val="22"/>
                <w:szCs w:val="22"/>
                <w:u w:val="single"/>
                <w:lang w:val="en-US" w:eastAsia="zh-CN"/>
              </w:rPr>
              <w:t>10</w:t>
            </w:r>
            <w:r>
              <w:rPr>
                <w:rFonts w:hint="eastAsia" w:ascii="宋体" w:hAnsi="宋体" w:eastAsia="宋体" w:cs="宋体"/>
                <w:color w:val="000000"/>
                <w:sz w:val="22"/>
                <w:szCs w:val="22"/>
                <w:u w:val="single"/>
              </w:rPr>
              <w:t>分；无不得分。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r>
      <w:tr>
        <w:tblPrEx>
          <w:tblCellMar>
            <w:top w:w="0" w:type="dxa"/>
            <w:left w:w="10" w:type="dxa"/>
            <w:bottom w:w="0" w:type="dxa"/>
            <w:right w:w="10" w:type="dxa"/>
          </w:tblCellMar>
        </w:tblPrEx>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rPr>
            </w:pPr>
            <w:r>
              <w:rPr>
                <w:rFonts w:hint="eastAsia" w:ascii="宋体" w:hAnsi="宋体" w:eastAsia="宋体" w:cs="宋体"/>
                <w:color w:val="000000"/>
                <w:sz w:val="22"/>
                <w:szCs w:val="22"/>
                <w:u w:val="single"/>
              </w:rPr>
              <w:t>项目活动与职责</w:t>
            </w:r>
          </w:p>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相关性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工作活动与部门职责、工作规划和重点工作相关，工作活动项下确定的预算项目合理</w:t>
            </w:r>
            <w:r>
              <w:rPr>
                <w:rFonts w:hint="eastAsia" w:ascii="宋体" w:hAnsi="宋体" w:eastAsia="宋体" w:cs="宋体"/>
                <w:color w:val="000000"/>
                <w:sz w:val="22"/>
                <w:szCs w:val="22"/>
                <w:u w:val="single"/>
                <w:lang w:eastAsia="zh-CN"/>
              </w:rPr>
              <w:t>，</w:t>
            </w:r>
            <w:r>
              <w:rPr>
                <w:rFonts w:hint="eastAsia" w:ascii="宋体" w:hAnsi="宋体" w:eastAsia="宋体" w:cs="宋体"/>
                <w:color w:val="000000"/>
                <w:sz w:val="22"/>
                <w:szCs w:val="22"/>
                <w:u w:val="single"/>
              </w:rPr>
              <w:t>得</w:t>
            </w:r>
            <w:r>
              <w:rPr>
                <w:rFonts w:hint="eastAsia" w:ascii="宋体" w:hAnsi="宋体" w:eastAsia="宋体" w:cs="宋体"/>
                <w:color w:val="000000"/>
                <w:sz w:val="22"/>
                <w:szCs w:val="22"/>
                <w:u w:val="single"/>
                <w:lang w:val="en-US" w:eastAsia="zh-CN"/>
              </w:rPr>
              <w:t>5</w:t>
            </w:r>
            <w:r>
              <w:rPr>
                <w:rFonts w:hint="eastAsia" w:ascii="宋体" w:hAnsi="宋体" w:eastAsia="宋体" w:cs="宋体"/>
                <w:color w:val="000000"/>
                <w:sz w:val="22"/>
                <w:szCs w:val="22"/>
                <w:u w:val="single"/>
              </w:rPr>
              <w:t>分</w:t>
            </w:r>
            <w:r>
              <w:rPr>
                <w:rFonts w:hint="eastAsia" w:ascii="宋体" w:hAnsi="宋体" w:eastAsia="宋体" w:cs="宋体"/>
                <w:color w:val="000000"/>
                <w:sz w:val="22"/>
                <w:szCs w:val="22"/>
                <w:u w:val="single"/>
                <w:lang w:eastAsia="zh-CN"/>
              </w:rPr>
              <w:t>；</w:t>
            </w:r>
            <w:r>
              <w:rPr>
                <w:rFonts w:hint="eastAsia" w:ascii="宋体" w:hAnsi="宋体" w:eastAsia="宋体" w:cs="宋体"/>
                <w:color w:val="000000"/>
                <w:sz w:val="22"/>
                <w:szCs w:val="22"/>
                <w:u w:val="single"/>
              </w:rPr>
              <w:t>与工作活动密切相关，工作活动和项目预算安排合理，得</w:t>
            </w:r>
            <w:r>
              <w:rPr>
                <w:rFonts w:hint="eastAsia" w:ascii="宋体" w:hAnsi="宋体" w:eastAsia="宋体" w:cs="宋体"/>
                <w:color w:val="000000"/>
                <w:sz w:val="22"/>
                <w:szCs w:val="22"/>
                <w:u w:val="single"/>
                <w:lang w:val="en-US" w:eastAsia="zh-CN"/>
              </w:rPr>
              <w:t>5</w:t>
            </w:r>
            <w:r>
              <w:rPr>
                <w:rFonts w:hint="eastAsia" w:ascii="宋体" w:hAnsi="宋体" w:eastAsia="宋体" w:cs="宋体"/>
                <w:color w:val="000000"/>
                <w:sz w:val="22"/>
                <w:szCs w:val="22"/>
                <w:u w:val="single"/>
              </w:rPr>
              <w:t>分；否则不得分。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r>
      <w:tr>
        <w:tblPrEx>
          <w:tblCellMar>
            <w:top w:w="0" w:type="dxa"/>
            <w:left w:w="10" w:type="dxa"/>
            <w:bottom w:w="0" w:type="dxa"/>
            <w:right w:w="10" w:type="dxa"/>
          </w:tblCellMar>
        </w:tblPrEx>
        <w:trPr>
          <w:trHeight w:val="370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绩效自评情况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rPr>
            </w:pPr>
            <w:r>
              <w:rPr>
                <w:rFonts w:hint="eastAsia" w:ascii="宋体" w:hAnsi="宋体" w:eastAsia="宋体" w:cs="宋体"/>
                <w:color w:val="000000"/>
                <w:sz w:val="22"/>
                <w:szCs w:val="22"/>
                <w:u w:val="single"/>
              </w:rPr>
              <w:t>项目设立绩效目标</w:t>
            </w:r>
          </w:p>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合理性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①是否将项目绩效目标细化分解为具体的绩效指标；</w:t>
            </w:r>
            <w:r>
              <w:rPr>
                <w:rFonts w:hint="eastAsia" w:ascii="宋体" w:hAnsi="宋体" w:eastAsia="宋体" w:cs="宋体"/>
                <w:color w:val="000000"/>
                <w:sz w:val="22"/>
                <w:szCs w:val="22"/>
                <w:u w:val="single"/>
              </w:rPr>
              <w:br w:type="textWrapping"/>
            </w:r>
            <w:r>
              <w:rPr>
                <w:rFonts w:hint="eastAsia" w:ascii="宋体" w:hAnsi="宋体" w:eastAsia="宋体" w:cs="宋体"/>
                <w:color w:val="000000"/>
                <w:sz w:val="22"/>
                <w:szCs w:val="22"/>
                <w:u w:val="single"/>
              </w:rPr>
              <w:t>②是否通过清晰、可衡量的指标值予以体现；</w:t>
            </w:r>
            <w:r>
              <w:rPr>
                <w:rFonts w:hint="eastAsia" w:ascii="宋体" w:hAnsi="宋体" w:eastAsia="宋体" w:cs="宋体"/>
                <w:color w:val="000000"/>
                <w:sz w:val="22"/>
                <w:szCs w:val="22"/>
                <w:u w:val="single"/>
              </w:rPr>
              <w:br w:type="textWrapping"/>
            </w:r>
            <w:r>
              <w:rPr>
                <w:rFonts w:hint="eastAsia" w:ascii="宋体" w:hAnsi="宋体" w:eastAsia="宋体" w:cs="宋体"/>
                <w:color w:val="000000"/>
                <w:sz w:val="22"/>
                <w:szCs w:val="22"/>
                <w:u w:val="single"/>
              </w:rPr>
              <w:t>③是否与项目年度任务数或计划数相对应；</w:t>
            </w:r>
            <w:r>
              <w:rPr>
                <w:rFonts w:hint="eastAsia" w:ascii="宋体" w:hAnsi="宋体" w:eastAsia="宋体" w:cs="宋体"/>
                <w:color w:val="000000"/>
                <w:sz w:val="22"/>
                <w:szCs w:val="22"/>
                <w:u w:val="single"/>
              </w:rPr>
              <w:br w:type="textWrapping"/>
            </w:r>
            <w:r>
              <w:rPr>
                <w:rFonts w:hint="eastAsia" w:ascii="宋体" w:hAnsi="宋体" w:eastAsia="宋体" w:cs="宋体"/>
                <w:color w:val="000000"/>
                <w:sz w:val="22"/>
                <w:szCs w:val="22"/>
                <w:u w:val="single"/>
              </w:rPr>
              <w:t>④是否与预算确定的项目投资额或资金量相匹配。</w:t>
            </w:r>
            <w:r>
              <w:rPr>
                <w:rFonts w:hint="eastAsia" w:ascii="宋体" w:hAnsi="宋体" w:eastAsia="宋体" w:cs="宋体"/>
                <w:color w:val="000000"/>
                <w:sz w:val="22"/>
                <w:szCs w:val="22"/>
                <w:u w:val="single"/>
              </w:rPr>
              <w:br w:type="textWrapping"/>
            </w:r>
            <w:r>
              <w:rPr>
                <w:rFonts w:hint="eastAsia" w:ascii="宋体" w:hAnsi="宋体" w:eastAsia="宋体" w:cs="宋体"/>
                <w:color w:val="000000"/>
                <w:sz w:val="22"/>
                <w:szCs w:val="22"/>
                <w:u w:val="single"/>
              </w:rPr>
              <w:t>缺少一项扣</w:t>
            </w:r>
            <w:r>
              <w:rPr>
                <w:rFonts w:hint="eastAsia" w:ascii="宋体" w:hAnsi="宋体" w:eastAsia="宋体" w:cs="宋体"/>
                <w:color w:val="000000"/>
                <w:sz w:val="22"/>
                <w:szCs w:val="22"/>
                <w:u w:val="single"/>
                <w:lang w:val="en-US" w:eastAsia="zh-CN"/>
              </w:rPr>
              <w:t>2.5</w:t>
            </w:r>
            <w:r>
              <w:rPr>
                <w:rFonts w:hint="eastAsia" w:ascii="宋体" w:hAnsi="宋体" w:eastAsia="宋体" w:cs="宋体"/>
                <w:color w:val="000000"/>
                <w:sz w:val="22"/>
                <w:szCs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r>
      <w:tr>
        <w:tblPrEx>
          <w:tblCellMar>
            <w:top w:w="0" w:type="dxa"/>
            <w:left w:w="10" w:type="dxa"/>
            <w:bottom w:w="0" w:type="dxa"/>
            <w:right w:w="10" w:type="dxa"/>
          </w:tblCellMar>
        </w:tblPrEx>
        <w:trPr>
          <w:trHeight w:val="146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自评报告情况</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rPr>
                <w:rFonts w:hint="eastAsia" w:ascii="宋体" w:hAnsi="宋体" w:eastAsia="宋体" w:cs="宋体"/>
                <w:sz w:val="22"/>
                <w:szCs w:val="22"/>
              </w:rPr>
            </w:pPr>
            <w:r>
              <w:rPr>
                <w:rFonts w:hint="eastAsia" w:ascii="宋体" w:hAnsi="宋体" w:eastAsia="宋体" w:cs="宋体"/>
                <w:color w:val="000000"/>
                <w:sz w:val="22"/>
                <w:szCs w:val="22"/>
                <w:u w:val="single"/>
              </w:rPr>
              <w:t>是否有绩效评价报告，报告是否依据充分、内容真实完整。每存在一项问题扣</w:t>
            </w:r>
            <w:r>
              <w:rPr>
                <w:rFonts w:hint="eastAsia" w:ascii="宋体" w:hAnsi="宋体" w:eastAsia="宋体" w:cs="宋体"/>
                <w:color w:val="000000"/>
                <w:sz w:val="22"/>
                <w:szCs w:val="22"/>
                <w:u w:val="single"/>
                <w:lang w:val="en-US" w:eastAsia="zh-CN"/>
              </w:rPr>
              <w:t>5</w:t>
            </w:r>
            <w:r>
              <w:rPr>
                <w:rFonts w:hint="eastAsia" w:ascii="宋体" w:hAnsi="宋体" w:eastAsia="宋体" w:cs="宋体"/>
                <w:color w:val="000000"/>
                <w:sz w:val="22"/>
                <w:szCs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r>
      <w:tr>
        <w:tblPrEx>
          <w:tblCellMar>
            <w:top w:w="0" w:type="dxa"/>
            <w:left w:w="10" w:type="dxa"/>
            <w:bottom w:w="0" w:type="dxa"/>
            <w:right w:w="10" w:type="dxa"/>
          </w:tblCellMar>
        </w:tblPrEx>
        <w:trPr>
          <w:trHeight w:val="1358"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“工作活动”管理（</w:t>
            </w:r>
            <w:r>
              <w:rPr>
                <w:rFonts w:hint="eastAsia" w:ascii="宋体" w:hAnsi="宋体" w:eastAsia="宋体" w:cs="宋体"/>
                <w:color w:val="000000"/>
                <w:sz w:val="22"/>
                <w:szCs w:val="22"/>
                <w:u w:val="single"/>
                <w:lang w:val="en-US" w:eastAsia="zh-CN"/>
              </w:rPr>
              <w:t>25</w:t>
            </w:r>
            <w:r>
              <w:rPr>
                <w:rFonts w:hint="eastAsia" w:ascii="宋体" w:hAnsi="宋体" w:eastAsia="宋体" w:cs="宋体"/>
                <w:color w:val="000000"/>
                <w:sz w:val="22"/>
                <w:szCs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资金管理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预算调整率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预算调整率=（预算调整数/预算数）×100%。预算调整率每大于1%扣</w:t>
            </w:r>
            <w:r>
              <w:rPr>
                <w:rFonts w:hint="eastAsia" w:ascii="宋体" w:hAnsi="宋体" w:eastAsia="宋体" w:cs="宋体"/>
                <w:color w:val="000000"/>
                <w:sz w:val="22"/>
                <w:szCs w:val="22"/>
                <w:u w:val="single"/>
                <w:lang w:val="en-US" w:eastAsia="zh-CN"/>
              </w:rPr>
              <w:t>5</w:t>
            </w:r>
            <w:r>
              <w:rPr>
                <w:rFonts w:hint="eastAsia" w:ascii="宋体" w:hAnsi="宋体" w:eastAsia="宋体" w:cs="宋体"/>
                <w:color w:val="000000"/>
                <w:sz w:val="22"/>
                <w:szCs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r>
      <w:tr>
        <w:tblPrEx>
          <w:tblCellMar>
            <w:top w:w="0" w:type="dxa"/>
            <w:left w:w="10" w:type="dxa"/>
            <w:bottom w:w="0" w:type="dxa"/>
            <w:right w:w="10" w:type="dxa"/>
          </w:tblCellMar>
        </w:tblPrEx>
        <w:trPr>
          <w:trHeight w:val="1799"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auto" w:fill="auto"/>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项目资金使用是否符合国家财经法规及相关的财务管理制度规定，资金支出程序是否规范,报账手续是否齐全。每存在一项不合规问题扣</w:t>
            </w:r>
            <w:r>
              <w:rPr>
                <w:rFonts w:hint="eastAsia" w:ascii="宋体" w:hAnsi="宋体" w:eastAsia="宋体" w:cs="宋体"/>
                <w:color w:val="000000"/>
                <w:sz w:val="22"/>
                <w:szCs w:val="22"/>
                <w:u w:val="single"/>
                <w:lang w:eastAsia="zh-CN"/>
              </w:rPr>
              <w:t>5</w:t>
            </w:r>
            <w:r>
              <w:rPr>
                <w:rFonts w:hint="eastAsia" w:ascii="宋体" w:hAnsi="宋体" w:eastAsia="宋体" w:cs="宋体"/>
                <w:color w:val="000000"/>
                <w:sz w:val="22"/>
                <w:szCs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r>
      <w:tr>
        <w:tblPrEx>
          <w:tblCellMar>
            <w:top w:w="0" w:type="dxa"/>
            <w:left w:w="10" w:type="dxa"/>
            <w:bottom w:w="0" w:type="dxa"/>
            <w:right w:w="10" w:type="dxa"/>
          </w:tblCellMar>
        </w:tblPrEx>
        <w:trPr>
          <w:trHeight w:val="1825"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会计核算规范性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会计核算是否符合《会计法》、《政府会计制度》、《会计基础工作规范》等法律法规和相关制度规定。每存在一项不合规问题扣</w:t>
            </w:r>
            <w:r>
              <w:rPr>
                <w:rFonts w:hint="eastAsia" w:ascii="宋体" w:hAnsi="宋体" w:eastAsia="宋体" w:cs="宋体"/>
                <w:color w:val="000000"/>
                <w:sz w:val="22"/>
                <w:szCs w:val="22"/>
                <w:u w:val="single"/>
                <w:lang w:eastAsia="zh-CN"/>
              </w:rPr>
              <w:t>5</w:t>
            </w:r>
            <w:r>
              <w:rPr>
                <w:rFonts w:hint="eastAsia" w:ascii="宋体" w:hAnsi="宋体" w:eastAsia="宋体" w:cs="宋体"/>
                <w:color w:val="000000"/>
                <w:sz w:val="22"/>
                <w:szCs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r>
      <w:tr>
        <w:tblPrEx>
          <w:tblCellMar>
            <w:top w:w="0" w:type="dxa"/>
            <w:left w:w="10" w:type="dxa"/>
            <w:bottom w:w="0" w:type="dxa"/>
            <w:right w:w="10" w:type="dxa"/>
          </w:tblCellMar>
        </w:tblPrEx>
        <w:trPr>
          <w:trHeight w:val="1740"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项目管理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项目责任机制是否健全</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是否建立责任机制，项目管理和责任落实到有关人。每存在一项问题扣</w:t>
            </w:r>
            <w:r>
              <w:rPr>
                <w:rFonts w:hint="eastAsia" w:ascii="宋体" w:hAnsi="宋体" w:eastAsia="宋体" w:cs="宋体"/>
                <w:color w:val="000000"/>
                <w:sz w:val="22"/>
                <w:szCs w:val="22"/>
                <w:u w:val="single"/>
                <w:lang w:eastAsia="zh-CN"/>
              </w:rPr>
              <w:t>5</w:t>
            </w:r>
            <w:r>
              <w:rPr>
                <w:rFonts w:hint="eastAsia" w:ascii="宋体" w:hAnsi="宋体" w:eastAsia="宋体" w:cs="宋体"/>
                <w:color w:val="000000"/>
                <w:sz w:val="22"/>
                <w:szCs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r>
      <w:tr>
        <w:tblPrEx>
          <w:tblCellMar>
            <w:top w:w="0" w:type="dxa"/>
            <w:left w:w="10" w:type="dxa"/>
            <w:bottom w:w="0" w:type="dxa"/>
            <w:right w:w="10" w:type="dxa"/>
          </w:tblCellMar>
        </w:tblPrEx>
        <w:trPr>
          <w:trHeight w:val="1791"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管理制度健全性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r>
              <w:rPr>
                <w:rFonts w:hint="eastAsia" w:ascii="宋体" w:hAnsi="宋体" w:eastAsia="宋体" w:cs="宋体"/>
                <w:color w:val="000000"/>
                <w:sz w:val="22"/>
                <w:szCs w:val="22"/>
                <w:u w:val="single"/>
              </w:rPr>
              <w:t>制定管理制度和措施（包括财务制度）是否明确、清晰、具有可操作性，能否保障工作活动顺利实施。每缺少一项制度扣</w:t>
            </w:r>
            <w:r>
              <w:rPr>
                <w:rFonts w:hint="eastAsia" w:ascii="宋体" w:hAnsi="宋体" w:eastAsia="宋体" w:cs="宋体"/>
                <w:color w:val="000000"/>
                <w:sz w:val="22"/>
                <w:szCs w:val="22"/>
                <w:u w:val="single"/>
                <w:lang w:eastAsia="zh-CN"/>
              </w:rPr>
              <w:t>5</w:t>
            </w:r>
            <w:r>
              <w:rPr>
                <w:rFonts w:hint="eastAsia" w:ascii="宋体" w:hAnsi="宋体" w:eastAsia="宋体" w:cs="宋体"/>
                <w:color w:val="000000"/>
                <w:sz w:val="22"/>
                <w:szCs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r>
      <w:tr>
        <w:tblPrEx>
          <w:tblCellMar>
            <w:top w:w="0" w:type="dxa"/>
            <w:left w:w="10" w:type="dxa"/>
            <w:bottom w:w="0" w:type="dxa"/>
            <w:right w:w="10" w:type="dxa"/>
          </w:tblCellMar>
        </w:tblPrEx>
        <w:trPr>
          <w:trHeight w:val="90" w:hRule="atLeast"/>
        </w:trPr>
        <w:tc>
          <w:tcPr>
            <w:tcW w:w="958"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“工作活动”产出（</w:t>
            </w:r>
            <w:r>
              <w:rPr>
                <w:rFonts w:hint="eastAsia" w:ascii="宋体" w:hAnsi="宋体" w:eastAsia="宋体" w:cs="宋体"/>
                <w:color w:val="000000"/>
                <w:sz w:val="22"/>
                <w:szCs w:val="22"/>
                <w:u w:val="single"/>
                <w:lang w:val="en-US" w:eastAsia="zh-CN"/>
              </w:rPr>
              <w:t>30</w:t>
            </w:r>
            <w:r>
              <w:rPr>
                <w:rFonts w:hint="eastAsia" w:ascii="宋体" w:hAnsi="宋体" w:eastAsia="宋体" w:cs="宋体"/>
                <w:color w:val="000000"/>
                <w:sz w:val="22"/>
                <w:szCs w:val="22"/>
                <w:u w:val="single"/>
              </w:rPr>
              <w:t>分）</w:t>
            </w:r>
          </w:p>
        </w:tc>
        <w:tc>
          <w:tcPr>
            <w:tcW w:w="674" w:type="dxa"/>
            <w:vMerge w:val="restart"/>
            <w:tcBorders>
              <w:top w:val="single" w:color="000000" w:sz="4" w:space="0"/>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数量指标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指标1</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适龄儿童国家免疫规划疫苗接种率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指标2</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0-6儿童眼保健和视力检查覆盖率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指标3</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孕产妇系统管理率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lang w:eastAsia="zh-CN"/>
              </w:rPr>
            </w:pPr>
            <w:r>
              <w:rPr>
                <w:rFonts w:hint="eastAsia" w:ascii="宋体" w:hAnsi="宋体" w:eastAsia="宋体" w:cs="宋体"/>
                <w:color w:val="000000"/>
                <w:sz w:val="22"/>
                <w:szCs w:val="22"/>
                <w:u w:val="single"/>
              </w:rPr>
              <w:t>指标</w:t>
            </w:r>
            <w:r>
              <w:rPr>
                <w:rFonts w:hint="eastAsia" w:ascii="宋体" w:hAnsi="宋体" w:eastAsia="宋体" w:cs="宋体"/>
                <w:color w:val="000000"/>
                <w:sz w:val="22"/>
                <w:szCs w:val="22"/>
                <w:u w:val="single"/>
                <w:lang w:val="en-US" w:eastAsia="zh-CN"/>
              </w:rPr>
              <w:t>4</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高血压患者管理率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lang w:eastAsia="zh-CN"/>
              </w:rPr>
            </w:pPr>
            <w:r>
              <w:rPr>
                <w:rFonts w:hint="eastAsia" w:ascii="宋体" w:hAnsi="宋体" w:eastAsia="宋体" w:cs="宋体"/>
                <w:color w:val="000000"/>
                <w:sz w:val="22"/>
                <w:szCs w:val="22"/>
                <w:u w:val="single"/>
              </w:rPr>
              <w:t>指标</w:t>
            </w:r>
            <w:r>
              <w:rPr>
                <w:rFonts w:hint="eastAsia" w:ascii="宋体" w:hAnsi="宋体" w:eastAsia="宋体" w:cs="宋体"/>
                <w:color w:val="000000"/>
                <w:sz w:val="22"/>
                <w:szCs w:val="22"/>
                <w:u w:val="single"/>
                <w:lang w:val="en-US" w:eastAsia="zh-CN"/>
              </w:rPr>
              <w:t>5</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2型糖尿病患者管理率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lang w:eastAsia="zh-CN"/>
              </w:rPr>
            </w:pPr>
            <w:r>
              <w:rPr>
                <w:rFonts w:hint="eastAsia" w:ascii="宋体" w:hAnsi="宋体" w:eastAsia="宋体" w:cs="宋体"/>
                <w:color w:val="000000"/>
                <w:sz w:val="22"/>
                <w:szCs w:val="22"/>
                <w:u w:val="single"/>
              </w:rPr>
              <w:t>指标</w:t>
            </w:r>
            <w:r>
              <w:rPr>
                <w:rFonts w:hint="eastAsia" w:ascii="宋体" w:hAnsi="宋体" w:eastAsia="宋体" w:cs="宋体"/>
                <w:color w:val="000000"/>
                <w:sz w:val="22"/>
                <w:szCs w:val="22"/>
                <w:u w:val="single"/>
                <w:lang w:val="en-US" w:eastAsia="zh-CN"/>
              </w:rPr>
              <w:t>6</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老年人中医药健康管理率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lang w:eastAsia="zh-CN"/>
              </w:rPr>
            </w:pPr>
            <w:r>
              <w:rPr>
                <w:rFonts w:hint="eastAsia" w:ascii="宋体" w:hAnsi="宋体" w:eastAsia="宋体" w:cs="宋体"/>
                <w:color w:val="000000"/>
                <w:sz w:val="22"/>
                <w:szCs w:val="22"/>
                <w:u w:val="single"/>
              </w:rPr>
              <w:t>指标</w:t>
            </w:r>
            <w:r>
              <w:rPr>
                <w:rFonts w:hint="eastAsia" w:ascii="宋体" w:hAnsi="宋体" w:eastAsia="宋体" w:cs="宋体"/>
                <w:color w:val="000000"/>
                <w:sz w:val="22"/>
                <w:szCs w:val="22"/>
                <w:u w:val="single"/>
                <w:lang w:val="en-US" w:eastAsia="zh-CN"/>
              </w:rPr>
              <w:t>7</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儿童中医药健康管理率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642"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restart"/>
            <w:tcBorders>
              <w:top w:val="single" w:color="000000" w:sz="4" w:space="0"/>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质量指标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指标1</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居民规范化电子健康档案覆盖率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48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指标2</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高血压患者基层规范管理服务率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622"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指标3</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2型糖尿病患者基层规范管理服务率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9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指标4</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65岁以上老年人城乡社区规范健康管理服务率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9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rPr>
            </w:pPr>
            <w:r>
              <w:rPr>
                <w:rFonts w:hint="eastAsia" w:ascii="宋体" w:hAnsi="宋体" w:eastAsia="宋体" w:cs="宋体"/>
                <w:color w:val="000000"/>
                <w:sz w:val="22"/>
                <w:szCs w:val="22"/>
                <w:u w:val="single"/>
              </w:rPr>
              <w:t>指标</w:t>
            </w:r>
            <w:r>
              <w:rPr>
                <w:rFonts w:hint="eastAsia" w:ascii="宋体" w:hAnsi="宋体" w:eastAsia="宋体" w:cs="宋体"/>
                <w:color w:val="000000"/>
                <w:sz w:val="22"/>
                <w:szCs w:val="22"/>
                <w:u w:val="single"/>
                <w:lang w:val="en-US" w:eastAsia="zh-CN"/>
              </w:rPr>
              <w:t>5</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居家严重精神障碍患者健康管理率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9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rPr>
            </w:pPr>
            <w:r>
              <w:rPr>
                <w:rFonts w:hint="eastAsia" w:ascii="宋体" w:hAnsi="宋体" w:eastAsia="宋体" w:cs="宋体"/>
                <w:color w:val="000000"/>
                <w:sz w:val="22"/>
                <w:szCs w:val="22"/>
                <w:u w:val="single"/>
              </w:rPr>
              <w:t>指标</w:t>
            </w:r>
            <w:r>
              <w:rPr>
                <w:rFonts w:hint="eastAsia" w:ascii="宋体" w:hAnsi="宋体" w:eastAsia="宋体" w:cs="宋体"/>
                <w:color w:val="000000"/>
                <w:sz w:val="22"/>
                <w:szCs w:val="22"/>
                <w:u w:val="single"/>
                <w:lang w:val="en-US" w:eastAsia="zh-CN"/>
              </w:rPr>
              <w:t>6</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肺结核患者管理率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9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vMerge w:val="continue"/>
            <w:tcBorders>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szCs w:val="22"/>
                <w:u w:val="single"/>
              </w:rPr>
            </w:pPr>
            <w:r>
              <w:rPr>
                <w:rFonts w:hint="eastAsia" w:ascii="宋体" w:hAnsi="宋体" w:eastAsia="宋体" w:cs="宋体"/>
                <w:color w:val="000000"/>
                <w:sz w:val="22"/>
                <w:szCs w:val="22"/>
                <w:u w:val="single"/>
              </w:rPr>
              <w:t>指标</w:t>
            </w:r>
            <w:r>
              <w:rPr>
                <w:rFonts w:hint="eastAsia" w:ascii="宋体" w:hAnsi="宋体" w:eastAsia="宋体" w:cs="宋体"/>
                <w:color w:val="000000"/>
                <w:sz w:val="22"/>
                <w:szCs w:val="22"/>
                <w:u w:val="single"/>
                <w:lang w:val="en-US" w:eastAsia="zh-CN"/>
              </w:rPr>
              <w:t>7</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传染病和突发公共卫生事件报告率</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586"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时效指标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指标1</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项目完成时间</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r>
      <w:tr>
        <w:tblPrEx>
          <w:tblCellMar>
            <w:top w:w="0" w:type="dxa"/>
            <w:left w:w="10" w:type="dxa"/>
            <w:bottom w:w="0" w:type="dxa"/>
            <w:right w:w="10" w:type="dxa"/>
          </w:tblCellMar>
        </w:tblPrEx>
        <w:trPr>
          <w:trHeight w:val="405" w:hRule="atLeast"/>
        </w:trPr>
        <w:tc>
          <w:tcPr>
            <w:tcW w:w="958" w:type="dxa"/>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“工作活动”效果（</w:t>
            </w:r>
            <w:r>
              <w:rPr>
                <w:rFonts w:hint="eastAsia" w:ascii="宋体" w:hAnsi="宋体" w:eastAsia="宋体" w:cs="宋体"/>
                <w:color w:val="000000"/>
                <w:sz w:val="22"/>
                <w:szCs w:val="22"/>
                <w:u w:val="single"/>
                <w:lang w:eastAsia="zh-CN"/>
              </w:rPr>
              <w:t>5</w:t>
            </w:r>
            <w:r>
              <w:rPr>
                <w:rFonts w:hint="eastAsia" w:ascii="宋体" w:hAnsi="宋体" w:eastAsia="宋体" w:cs="宋体"/>
                <w:color w:val="000000"/>
                <w:sz w:val="22"/>
                <w:szCs w:val="22"/>
                <w:u w:val="single"/>
              </w:rPr>
              <w:t>分）</w:t>
            </w:r>
          </w:p>
        </w:tc>
        <w:tc>
          <w:tcPr>
            <w:tcW w:w="674" w:type="dxa"/>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满意度</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指标1</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服务对象满意度</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r>
      <w:tr>
        <w:tblPrEx>
          <w:tblCellMar>
            <w:top w:w="0" w:type="dxa"/>
            <w:left w:w="10" w:type="dxa"/>
            <w:bottom w:w="0" w:type="dxa"/>
            <w:right w:w="10" w:type="dxa"/>
          </w:tblCellMar>
        </w:tblPrEx>
        <w:trPr>
          <w:trHeight w:val="559"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ind w:firstLine="220"/>
              <w:rPr>
                <w:rFonts w:hint="eastAsia" w:ascii="宋体" w:hAnsi="宋体" w:eastAsia="宋体" w:cs="宋体"/>
                <w:sz w:val="22"/>
                <w:szCs w:val="22"/>
              </w:rPr>
            </w:pPr>
            <w:r>
              <w:rPr>
                <w:rFonts w:hint="eastAsia" w:ascii="宋体" w:hAnsi="宋体" w:eastAsia="宋体" w:cs="宋体"/>
                <w:color w:val="000000"/>
                <w:sz w:val="22"/>
                <w:szCs w:val="22"/>
                <w:u w:val="single"/>
              </w:rPr>
              <w:t>合计</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u w:val="single"/>
              </w:rPr>
              <w:t>100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98</w:t>
            </w:r>
          </w:p>
        </w:tc>
      </w:tr>
    </w:tbl>
    <w:p/>
    <w:p>
      <w:pPr>
        <w:bidi w:val="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宋体" w:hAnsi="宋体" w:eastAsia="宋体" w:cs="宋体"/>
          <w:b w:val="0"/>
          <w:bCs w:val="0"/>
          <w:color w:val="000000"/>
          <w:sz w:val="32"/>
          <w:szCs w:val="32"/>
          <w:lang w:val="en-US" w:eastAsia="zh-CN"/>
        </w:rPr>
      </w:pPr>
      <w:bookmarkStart w:id="0" w:name="_Toc2634_WPSOffice_Level1"/>
      <w:r>
        <w:rPr>
          <w:rFonts w:hint="eastAsia" w:ascii="宋体" w:hAnsi="宋体" w:eastAsia="宋体" w:cs="宋体"/>
          <w:b w:val="0"/>
          <w:bCs w:val="0"/>
          <w:color w:val="000000"/>
          <w:sz w:val="32"/>
          <w:szCs w:val="32"/>
          <w:lang w:val="en-US" w:eastAsia="zh-CN"/>
        </w:rPr>
        <w:t>五、评价分析</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宋体" w:cs="宋体"/>
          <w:color w:val="000000"/>
          <w:sz w:val="32"/>
          <w:szCs w:val="32"/>
          <w:lang w:val="en-US" w:eastAsia="zh-CN"/>
        </w:rPr>
      </w:pPr>
      <w:bookmarkStart w:id="1" w:name="_Toc18513_WPSOffice_Level2"/>
      <w:r>
        <w:rPr>
          <w:rFonts w:hint="eastAsia" w:ascii="宋体" w:hAnsi="宋体" w:eastAsia="宋体" w:cs="宋体"/>
          <w:color w:val="000000"/>
          <w:sz w:val="32"/>
          <w:szCs w:val="32"/>
          <w:lang w:val="en-US" w:eastAsia="zh-CN"/>
        </w:rPr>
        <w:t>（一）主要扣分事项及原因分析</w:t>
      </w:r>
      <w:bookmarkEnd w:id="1"/>
    </w:p>
    <w:p>
      <w:pPr>
        <w:pStyle w:val="2"/>
        <w:rPr>
          <w:rFonts w:hint="default" w:ascii="宋体" w:hAnsi="宋体" w:eastAsia="宋体" w:cs="宋体"/>
          <w:sz w:val="32"/>
          <w:szCs w:val="32"/>
          <w:lang w:val="en-US" w:eastAsia="zh-CN"/>
        </w:rPr>
      </w:pPr>
      <w:r>
        <w:rPr>
          <w:rFonts w:hint="eastAsia" w:ascii="宋体" w:hAnsi="宋体" w:eastAsia="宋体" w:cs="宋体"/>
          <w:color w:val="000000"/>
          <w:sz w:val="32"/>
          <w:szCs w:val="32"/>
          <w:lang w:val="en-US" w:eastAsia="zh-CN"/>
        </w:rPr>
        <w:t>居民满意度有待提高，扣分原因为公共卫生服务宣传力度有待提高.</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宋体" w:hAnsi="宋体" w:eastAsia="宋体" w:cs="宋体"/>
          <w:b w:val="0"/>
          <w:bCs w:val="0"/>
          <w:color w:val="000000"/>
          <w:sz w:val="32"/>
          <w:szCs w:val="32"/>
          <w:lang w:val="en-US" w:eastAsia="zh-CN"/>
        </w:rPr>
      </w:pPr>
      <w:bookmarkStart w:id="2" w:name="_Toc11279_WPSOffice_Level1"/>
      <w:r>
        <w:rPr>
          <w:rFonts w:hint="eastAsia" w:ascii="宋体" w:hAnsi="宋体" w:eastAsia="宋体" w:cs="宋体"/>
          <w:b w:val="0"/>
          <w:bCs w:val="0"/>
          <w:color w:val="000000"/>
          <w:sz w:val="32"/>
          <w:szCs w:val="32"/>
          <w:lang w:val="en-US" w:eastAsia="zh-CN"/>
        </w:rPr>
        <w:t>意见及建议</w:t>
      </w:r>
      <w:bookmarkEnd w:id="2"/>
    </w:p>
    <w:p>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进一步加大宣传力度，多进行多种途径宣传，使国家基本公共服务更加深入人心.</w:t>
      </w:r>
    </w:p>
    <w:p>
      <w:pPr>
        <w:pageBreakBefore w:val="0"/>
        <w:kinsoku/>
        <w:wordWrap/>
        <w:overflowPunct/>
        <w:topLinePunct w:val="0"/>
        <w:autoSpaceDE/>
        <w:autoSpaceDN/>
        <w:bidi w:val="0"/>
        <w:adjustRightInd/>
        <w:snapToGrid/>
        <w:spacing w:line="560" w:lineRule="exact"/>
        <w:rPr>
          <w:rFonts w:hint="eastAsia" w:ascii="宋体" w:hAnsi="宋体" w:eastAsia="宋体" w:cs="宋体"/>
          <w:color w:val="000000"/>
          <w:sz w:val="32"/>
          <w:szCs w:val="32"/>
          <w:lang w:val="en-US" w:eastAsia="zh-CN"/>
        </w:rPr>
      </w:pPr>
      <w:bookmarkStart w:id="3" w:name="_GoBack"/>
      <w:bookmarkEnd w:id="3"/>
    </w:p>
    <w:p>
      <w:pPr>
        <w:pageBreakBefore w:val="0"/>
        <w:kinsoku/>
        <w:wordWrap/>
        <w:overflowPunct/>
        <w:topLinePunct w:val="0"/>
        <w:autoSpaceDE/>
        <w:autoSpaceDN/>
        <w:bidi w:val="0"/>
        <w:adjustRightInd/>
        <w:snapToGrid/>
        <w:spacing w:line="560" w:lineRule="exact"/>
        <w:ind w:firstLine="5760" w:firstLineChars="1800"/>
        <w:rPr>
          <w:rFonts w:hint="eastAsia" w:ascii="宋体" w:hAnsi="宋体" w:eastAsia="宋体" w:cs="宋体"/>
          <w:color w:val="000000"/>
          <w:sz w:val="32"/>
          <w:szCs w:val="32"/>
          <w:lang w:val="en-US" w:eastAsia="zh-CN"/>
        </w:rPr>
      </w:pPr>
    </w:p>
    <w:p>
      <w:pPr>
        <w:pageBreakBefore w:val="0"/>
        <w:kinsoku/>
        <w:wordWrap/>
        <w:overflowPunct/>
        <w:topLinePunct w:val="0"/>
        <w:autoSpaceDE/>
        <w:autoSpaceDN/>
        <w:bidi w:val="0"/>
        <w:adjustRightInd/>
        <w:snapToGrid/>
        <w:spacing w:line="560" w:lineRule="exact"/>
        <w:ind w:firstLine="5760" w:firstLineChars="1800"/>
        <w:rPr>
          <w:rFonts w:hint="eastAsia" w:ascii="宋体" w:hAnsi="宋体" w:eastAsia="宋体" w:cs="宋体"/>
          <w:color w:val="000000"/>
          <w:sz w:val="32"/>
          <w:szCs w:val="32"/>
          <w:lang w:val="en-US" w:eastAsia="zh-CN"/>
        </w:rPr>
      </w:pPr>
    </w:p>
    <w:p>
      <w:pPr>
        <w:pageBreakBefore w:val="0"/>
        <w:kinsoku/>
        <w:wordWrap/>
        <w:overflowPunct/>
        <w:topLinePunct w:val="0"/>
        <w:autoSpaceDE/>
        <w:autoSpaceDN/>
        <w:bidi w:val="0"/>
        <w:adjustRightInd/>
        <w:snapToGrid/>
        <w:spacing w:line="560" w:lineRule="exact"/>
        <w:ind w:firstLine="5760" w:firstLineChars="18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2024年4月29日</w:t>
      </w:r>
    </w:p>
    <w:p>
      <w:pPr>
        <w:bidi w:val="0"/>
        <w:ind w:firstLine="459" w:firstLineChars="0"/>
        <w:jc w:val="left"/>
        <w:rPr>
          <w:rFonts w:hint="eastAsia"/>
          <w:lang w:val="en-US" w:eastAsia="zh-CN"/>
        </w:rPr>
      </w:pPr>
    </w:p>
    <w:sectPr>
      <w:pgSz w:w="11906" w:h="16838"/>
      <w:pgMar w:top="1797" w:right="1474" w:bottom="17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4F2C5"/>
    <w:multiLevelType w:val="singleLevel"/>
    <w:tmpl w:val="F2A4F2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8"/>
    <w:rsid w:val="00050449"/>
    <w:rsid w:val="00261376"/>
    <w:rsid w:val="003976B8"/>
    <w:rsid w:val="003F21B7"/>
    <w:rsid w:val="003F78DF"/>
    <w:rsid w:val="00457A38"/>
    <w:rsid w:val="0075675E"/>
    <w:rsid w:val="0091038B"/>
    <w:rsid w:val="00BC46B3"/>
    <w:rsid w:val="00C70768"/>
    <w:rsid w:val="00D32B48"/>
    <w:rsid w:val="00DA418C"/>
    <w:rsid w:val="00F30547"/>
    <w:rsid w:val="06464485"/>
    <w:rsid w:val="06AC3957"/>
    <w:rsid w:val="148326A0"/>
    <w:rsid w:val="173D2FF7"/>
    <w:rsid w:val="18EA4E33"/>
    <w:rsid w:val="20354483"/>
    <w:rsid w:val="36366D0C"/>
    <w:rsid w:val="3BE91D19"/>
    <w:rsid w:val="3D7E21AD"/>
    <w:rsid w:val="442F7C33"/>
    <w:rsid w:val="44306617"/>
    <w:rsid w:val="45047420"/>
    <w:rsid w:val="4E021D30"/>
    <w:rsid w:val="55897B01"/>
    <w:rsid w:val="56FB3FE0"/>
    <w:rsid w:val="589D39F9"/>
    <w:rsid w:val="58C15219"/>
    <w:rsid w:val="62E22C7C"/>
    <w:rsid w:val="646348AA"/>
    <w:rsid w:val="647A64AA"/>
    <w:rsid w:val="650F38EE"/>
    <w:rsid w:val="66481FA6"/>
    <w:rsid w:val="6E121EED"/>
    <w:rsid w:val="72933A9F"/>
    <w:rsid w:val="73640E29"/>
    <w:rsid w:val="73EF2697"/>
    <w:rsid w:val="74864B01"/>
    <w:rsid w:val="7C46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600" w:lineRule="exact"/>
      <w:ind w:firstLine="560" w:firstLineChars="200"/>
      <w:textAlignment w:val="center"/>
    </w:pPr>
    <w:rPr>
      <w:rFonts w:ascii="宋体" w:hAnsi="宋体"/>
      <w:color w:val="FF0000"/>
      <w:sz w:val="28"/>
      <w:szCs w:val="2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209</Words>
  <Characters>1197</Characters>
  <Lines>9</Lines>
  <Paragraphs>2</Paragraphs>
  <TotalTime>1</TotalTime>
  <ScaleCrop>false</ScaleCrop>
  <LinksUpToDate>false</LinksUpToDate>
  <CharactersWithSpaces>1404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2023-02-21T09:42:00Z</dcterms:created>
  <dc:creator>微软用户</dc:creator>
  <cp:lastModifiedBy>HP</cp:lastModifiedBy>
  <dcterms:modified xsi:type="dcterms:W3CDTF">2024-05-09T08:39:25Z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DD706E74E80447D2A213F0DE5056B920</vt:lpwstr>
  </property>
</Properties>
</file>