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附件4：</w:t>
      </w:r>
    </w:p>
    <w:tbl>
      <w:tblPr>
        <w:tblStyle w:val="6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674"/>
        <w:gridCol w:w="2083"/>
        <w:gridCol w:w="545"/>
        <w:gridCol w:w="3557"/>
        <w:gridCol w:w="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3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0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44"/>
                <w:szCs w:val="44"/>
                <w:lang w:eastAsia="zh-CN"/>
              </w:rPr>
              <w:t>巨鹿县小额信贷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40"/>
                <w:szCs w:val="48"/>
                <w:lang w:val="en-US" w:eastAsia="zh-CN"/>
              </w:rPr>
              <w:t>项目重点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0"/>
                <w:szCs w:val="48"/>
              </w:rPr>
              <w:t>绩效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40"/>
                <w:szCs w:val="48"/>
                <w:lang w:val="en-US" w:eastAsia="zh-CN"/>
              </w:rPr>
              <w:t>自评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0"/>
                <w:szCs w:val="48"/>
              </w:rPr>
              <w:t>报告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小额信贷贴息项目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40"/>
                <w:szCs w:val="4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项目实施单位：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u w:val="single"/>
                <w:lang w:val="en-US" w:eastAsia="zh-CN"/>
              </w:rPr>
              <w:t xml:space="preserve">                  巨鹿县乡村振兴局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8"/>
                <w:szCs w:val="28"/>
                <w:u w:val="none"/>
              </w:rPr>
              <w:t>项目总金额：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u w:val="single"/>
                <w:lang w:val="en-US" w:eastAsia="zh-CN"/>
              </w:rPr>
              <w:t>85.7485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万元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度：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2023年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8"/>
                <w:szCs w:val="28"/>
                <w:u w:val="none"/>
                <w:lang w:val="en-US" w:eastAsia="zh-CN"/>
              </w:rPr>
              <w:t>评价组组长：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李红锋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8"/>
                <w:szCs w:val="28"/>
                <w:u w:val="none"/>
                <w:lang w:val="en-US" w:eastAsia="zh-CN"/>
              </w:rPr>
              <w:t>评价组成员：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郭欣荣      张腾发</w:t>
            </w:r>
            <w:bookmarkStart w:id="101" w:name="_GoBack"/>
            <w:bookmarkEnd w:id="10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  <w:bookmarkStart w:id="0" w:name="_Toc7470_WPSOffice_Level1"/>
            <w:bookmarkStart w:id="1" w:name="_Toc5909_WPSOffice_Level1"/>
          </w:p>
          <w:p>
            <w:pPr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bookmarkEnd w:id="0"/>
          <w:bookmarkEnd w:id="1"/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</w:pPr>
            <w:bookmarkStart w:id="2" w:name="_Toc4013"/>
            <w:bookmarkStart w:id="3" w:name="_Toc13153"/>
            <w:bookmarkStart w:id="4" w:name="_Toc30335"/>
            <w:bookmarkStart w:id="5" w:name="_Toc18334"/>
            <w:bookmarkStart w:id="6" w:name="_Toc11301"/>
            <w:bookmarkStart w:id="7" w:name="_Toc2245"/>
            <w:bookmarkStart w:id="8" w:name="_Toc16913"/>
            <w:bookmarkStart w:id="9" w:name="_Toc23411"/>
            <w:bookmarkStart w:id="10" w:name="_Toc9525"/>
            <w:bookmarkStart w:id="11" w:name="_Toc6314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一、项目概况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bookmarkStart w:id="12" w:name="_Toc22285"/>
            <w:bookmarkStart w:id="13" w:name="_Toc30895"/>
            <w:bookmarkStart w:id="14" w:name="_Toc24784"/>
            <w:bookmarkStart w:id="15" w:name="_Toc19370"/>
            <w:bookmarkStart w:id="16" w:name="_Toc15831"/>
            <w:bookmarkStart w:id="17" w:name="_Toc937"/>
            <w:bookmarkStart w:id="18" w:name="_Toc23957"/>
            <w:bookmarkStart w:id="19" w:name="_Toc32742"/>
            <w:bookmarkStart w:id="20" w:name="_Toc19963"/>
            <w:bookmarkStart w:id="21" w:name="_Toc22453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（一）项目单位基本情况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600" w:firstLineChars="200"/>
              <w:textAlignment w:val="auto"/>
              <w:rPr>
                <w:rFonts w:hint="eastAsia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在县委、县政府的正确领导下，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我局坚持以人民为中心，以“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群众满意、银行满意、政府满意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”为目标，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按照“先付后贴”的原则，</w:t>
            </w:r>
            <w:r>
              <w:rPr>
                <w:rStyle w:val="10"/>
                <w:rFonts w:hint="eastAsia" w:ascii="仿宋_GB2312" w:hAnsi="仿宋_GB2312" w:eastAsia="仿宋_GB2312"/>
                <w:color w:val="auto"/>
                <w:kern w:val="2"/>
                <w:sz w:val="32"/>
                <w:szCs w:val="32"/>
                <w:lang w:val="en-US" w:eastAsia="zh-CN"/>
              </w:rPr>
              <w:t>积极落实贴息政策落到实处，组织乡村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开展小额信贷贴息业务，对符合条件的还贷群众做到了应贴尽贴。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bookmarkStart w:id="22" w:name="_Toc15167"/>
            <w:bookmarkStart w:id="23" w:name="_Toc8843"/>
            <w:bookmarkStart w:id="24" w:name="_Toc29308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项目基本情况</w:t>
            </w:r>
            <w:bookmarkEnd w:id="22"/>
            <w:bookmarkEnd w:id="23"/>
            <w:bookmarkEnd w:id="24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2023年安排贴息资金85.7485万元，实际完成贴息85.7485万元184户。极大地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eastAsia="zh-CN"/>
              </w:rPr>
              <w:t>减轻了农户利息负担，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从思想上增加农户发展经营意识和内生动力，让群众发展产业意愿能够实现，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eastAsia="zh-CN"/>
              </w:rPr>
              <w:t>稳定增加了贫困群众收入，为巩固拓展脱贫攻坚成果，接续推进乡村振兴打下夯实基础。</w:t>
            </w:r>
            <w:bookmarkStart w:id="25" w:name="_Toc24191"/>
            <w:bookmarkStart w:id="26" w:name="_Toc32656"/>
            <w:bookmarkStart w:id="27" w:name="_Toc26594"/>
            <w:bookmarkStart w:id="28" w:name="_Toc27552"/>
          </w:p>
          <w:bookmarkEnd w:id="25"/>
          <w:bookmarkEnd w:id="26"/>
          <w:bookmarkEnd w:id="27"/>
          <w:bookmarkEnd w:id="28"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</w:pPr>
            <w:bookmarkStart w:id="29" w:name="_Toc17782"/>
            <w:bookmarkStart w:id="30" w:name="_Toc7839"/>
            <w:bookmarkStart w:id="31" w:name="_Toc2988"/>
            <w:bookmarkStart w:id="32" w:name="_Toc26109"/>
            <w:bookmarkStart w:id="33" w:name="_Toc28908"/>
            <w:bookmarkStart w:id="34" w:name="_Toc12860"/>
            <w:bookmarkStart w:id="35" w:name="_Toc18992"/>
            <w:bookmarkStart w:id="36" w:name="_Toc14644"/>
            <w:bookmarkStart w:id="37" w:name="_Toc6781"/>
            <w:bookmarkStart w:id="38" w:name="_Toc4859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二、项目实施情况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600" w:firstLineChars="200"/>
              <w:textAlignment w:val="auto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</w:pPr>
            <w:bookmarkStart w:id="39" w:name="_Toc10651"/>
            <w:bookmarkStart w:id="40" w:name="_Toc21501"/>
            <w:bookmarkStart w:id="41" w:name="_Toc5215"/>
            <w:bookmarkStart w:id="42" w:name="_Toc12150"/>
            <w:bookmarkStart w:id="43" w:name="_Toc6451"/>
            <w:bookmarkStart w:id="44" w:name="_Toc20904"/>
            <w:bookmarkStart w:id="45" w:name="_Toc5317"/>
            <w:bookmarkStart w:id="46" w:name="_Toc26855"/>
            <w:bookmarkStart w:id="47" w:name="_Toc29800"/>
            <w:bookmarkStart w:id="48" w:name="_Toc18915"/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为提高小额信贷贴息精准度和服务质量，县乡村振兴局组织全县乡村干部，对已经还清小额信贷农户逐户开展贴息验收工作，在贷款户完善手续递交申请的前提下，安排专人实地查验，对贷款资金使用、项目效益以及存在问题等情况进行细致了解，并将贴息情况在项目村公示公告后，按照贷款全额贴息。对符合条件且公示期满无异议的，直接将贴息资金打到农户卡上，做到应贴尽贴，调动了贫困群众还贷积极性。随着小额信贷普惠性发展，极大激发了群众通过发展产业增收意识加强，有力地推动了小额信贷全面、健康、规范、有序发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三、绩效评价工作情况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lang w:val="en-US" w:eastAsia="zh-CN"/>
              </w:rPr>
            </w:pPr>
            <w:bookmarkStart w:id="49" w:name="_Toc4056"/>
            <w:bookmarkStart w:id="50" w:name="_Toc5105"/>
            <w:bookmarkStart w:id="51" w:name="_Toc15730"/>
            <w:bookmarkStart w:id="52" w:name="_Toc17355"/>
            <w:bookmarkStart w:id="53" w:name="_Toc7570"/>
            <w:bookmarkStart w:id="54" w:name="_Toc25600"/>
            <w:bookmarkStart w:id="55" w:name="_Toc23608"/>
            <w:bookmarkStart w:id="56" w:name="_Toc8077"/>
            <w:bookmarkStart w:id="57" w:name="_Toc22771"/>
            <w:bookmarkStart w:id="58" w:name="_Toc14742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lang w:val="en-US" w:eastAsia="zh-CN"/>
              </w:rPr>
              <w:t>（一）评价目的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600" w:firstLineChars="200"/>
              <w:textAlignment w:val="auto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通过专项资金的绩效评价，了解项目执行情况，分析项目绩效目标的实现情况和项目社会经济效益、环境影响、可持续影响等情况，发现问题，总结经验，提出改进意见和建议，为加强财政资金管理，规范财政支出行为，提高财政资金的使用效益和项目管理水平，更合理安排专项资金提供决策参考依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highlight w:val="none"/>
                <w:lang w:val="en-US" w:eastAsia="zh-CN"/>
              </w:rPr>
            </w:pPr>
            <w:bookmarkStart w:id="59" w:name="_Toc27346"/>
            <w:bookmarkStart w:id="60" w:name="_Toc16971"/>
            <w:bookmarkStart w:id="61" w:name="_Toc18502"/>
            <w:bookmarkStart w:id="62" w:name="_Toc8288"/>
            <w:bookmarkStart w:id="63" w:name="_Toc30351"/>
            <w:bookmarkStart w:id="64" w:name="_Toc16121"/>
            <w:bookmarkStart w:id="65" w:name="_Toc27199"/>
            <w:bookmarkStart w:id="66" w:name="_Toc3910"/>
            <w:bookmarkStart w:id="67" w:name="_Toc22727"/>
            <w:bookmarkStart w:id="68" w:name="_Toc25746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highlight w:val="none"/>
                <w:lang w:val="en-US" w:eastAsia="zh-CN"/>
              </w:rPr>
              <w:t>评价指标</w:t>
            </w:r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Start w:id="69" w:name="_Toc32306"/>
            <w:bookmarkStart w:id="70" w:name="_Toc5304"/>
            <w:bookmarkStart w:id="71" w:name="_Toc12572"/>
            <w:bookmarkStart w:id="72" w:name="_Toc19154"/>
            <w:bookmarkStart w:id="73" w:name="_Toc5587"/>
            <w:bookmarkStart w:id="74" w:name="_Toc19068"/>
            <w:bookmarkStart w:id="75" w:name="_Toc25343"/>
            <w:bookmarkStart w:id="76" w:name="_Toc23270"/>
            <w:bookmarkStart w:id="77" w:name="_Toc32241"/>
            <w:bookmarkStart w:id="78" w:name="_Toc11684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600" w:firstLineChars="200"/>
              <w:textAlignment w:val="auto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绩效评价的指标包括：专项资金绩效目标的设定情况，资金投入和使用情况，为实现绩效目标制定的制度、采取的措施，绩效目标的实现程度及效果，影响目标实现的因素，绩效评价的其他内容。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评价依据</w:t>
            </w:r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</w:p>
          <w:p>
            <w:pPr>
              <w:spacing w:after="500" w:line="288" w:lineRule="auto"/>
              <w:ind w:firstLine="540" w:firstLineChars="200"/>
              <w:rPr>
                <w:rFonts w:ascii="微软雅黑" w:hAnsi="微软雅黑" w:eastAsia="微软雅黑" w:cs="仿宋"/>
                <w:sz w:val="27"/>
                <w:szCs w:val="32"/>
              </w:rPr>
            </w:pPr>
            <w:r>
              <w:rPr>
                <w:rFonts w:ascii="微软雅黑" w:hAnsi="微软雅黑" w:eastAsia="微软雅黑" w:cs="仿宋"/>
                <w:sz w:val="27"/>
                <w:szCs w:val="32"/>
              </w:rPr>
              <w:t>1</w:t>
            </w:r>
            <w:r>
              <w:rPr>
                <w:rFonts w:hint="eastAsia" w:ascii="微软雅黑" w:hAnsi="微软雅黑" w:eastAsia="微软雅黑" w:cs="仿宋"/>
                <w:sz w:val="27"/>
                <w:szCs w:val="32"/>
              </w:rPr>
              <w:t>、《中共中央</w:t>
            </w:r>
            <w:r>
              <w:rPr>
                <w:rFonts w:ascii="微软雅黑" w:hAnsi="微软雅黑" w:eastAsia="微软雅黑" w:cs="仿宋"/>
                <w:sz w:val="27"/>
                <w:szCs w:val="32"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sz w:val="27"/>
                <w:szCs w:val="32"/>
              </w:rPr>
              <w:t>国务院关于全面实施预算绩效管理的意见》（中发〔</w:t>
            </w:r>
            <w:r>
              <w:rPr>
                <w:rFonts w:ascii="微软雅黑" w:hAnsi="微软雅黑" w:eastAsia="微软雅黑" w:cs="仿宋"/>
                <w:sz w:val="27"/>
                <w:szCs w:val="32"/>
              </w:rPr>
              <w:t>2018</w:t>
            </w:r>
            <w:r>
              <w:rPr>
                <w:rFonts w:hint="eastAsia" w:ascii="微软雅黑" w:hAnsi="微软雅黑" w:eastAsia="微软雅黑" w:cs="仿宋"/>
                <w:sz w:val="27"/>
                <w:szCs w:val="32"/>
              </w:rPr>
              <w:t>〕</w:t>
            </w:r>
            <w:r>
              <w:rPr>
                <w:rFonts w:ascii="微软雅黑" w:hAnsi="微软雅黑" w:eastAsia="微软雅黑" w:cs="仿宋"/>
                <w:sz w:val="27"/>
                <w:szCs w:val="32"/>
              </w:rPr>
              <w:t>34</w:t>
            </w:r>
            <w:r>
              <w:rPr>
                <w:rFonts w:hint="eastAsia" w:ascii="微软雅黑" w:hAnsi="微软雅黑" w:eastAsia="微软雅黑" w:cs="仿宋"/>
                <w:sz w:val="27"/>
                <w:szCs w:val="32"/>
              </w:rPr>
              <w:t>号）</w:t>
            </w:r>
          </w:p>
          <w:p>
            <w:pPr>
              <w:spacing w:after="500" w:line="288" w:lineRule="auto"/>
              <w:ind w:firstLine="540" w:firstLineChars="200"/>
              <w:rPr>
                <w:rFonts w:ascii="微软雅黑" w:hAnsi="微软雅黑" w:eastAsia="微软雅黑" w:cs="仿宋"/>
                <w:sz w:val="27"/>
                <w:szCs w:val="32"/>
              </w:rPr>
            </w:pPr>
            <w:r>
              <w:rPr>
                <w:rFonts w:ascii="微软雅黑" w:hAnsi="微软雅黑" w:eastAsia="微软雅黑" w:cs="仿宋"/>
                <w:sz w:val="27"/>
                <w:szCs w:val="32"/>
              </w:rPr>
              <w:t>2</w:t>
            </w:r>
            <w:r>
              <w:rPr>
                <w:rFonts w:hint="eastAsia" w:ascii="微软雅黑" w:hAnsi="微软雅黑" w:eastAsia="微软雅黑" w:cs="仿宋"/>
                <w:sz w:val="27"/>
                <w:szCs w:val="32"/>
              </w:rPr>
              <w:t>、财政部《财政支出绩效评价管理实施暂行办法》（财预〔</w:t>
            </w:r>
            <w:r>
              <w:rPr>
                <w:rFonts w:ascii="微软雅黑" w:hAnsi="微软雅黑" w:eastAsia="微软雅黑" w:cs="仿宋"/>
                <w:sz w:val="27"/>
                <w:szCs w:val="32"/>
              </w:rPr>
              <w:t>2011</w:t>
            </w:r>
            <w:r>
              <w:rPr>
                <w:rFonts w:hint="eastAsia" w:ascii="微软雅黑" w:hAnsi="微软雅黑" w:eastAsia="微软雅黑" w:cs="仿宋"/>
                <w:sz w:val="27"/>
                <w:szCs w:val="32"/>
              </w:rPr>
              <w:t>〕</w:t>
            </w:r>
            <w:r>
              <w:rPr>
                <w:rFonts w:ascii="微软雅黑" w:hAnsi="微软雅黑" w:eastAsia="微软雅黑" w:cs="仿宋"/>
                <w:sz w:val="27"/>
                <w:szCs w:val="32"/>
              </w:rPr>
              <w:t>285</w:t>
            </w:r>
            <w:r>
              <w:rPr>
                <w:rFonts w:hint="eastAsia" w:ascii="微软雅黑" w:hAnsi="微软雅黑" w:eastAsia="微软雅黑" w:cs="仿宋"/>
                <w:sz w:val="27"/>
                <w:szCs w:val="32"/>
              </w:rPr>
              <w:t>号）；</w:t>
            </w:r>
          </w:p>
          <w:p>
            <w:pPr>
              <w:spacing w:after="500" w:line="288" w:lineRule="auto"/>
              <w:ind w:firstLine="540" w:firstLineChars="200"/>
              <w:rPr>
                <w:rFonts w:hint="eastAsia" w:ascii="微软雅黑" w:hAnsi="微软雅黑" w:eastAsia="微软雅黑" w:cs="仿宋"/>
                <w:sz w:val="27"/>
                <w:szCs w:val="32"/>
              </w:rPr>
            </w:pPr>
            <w:r>
              <w:rPr>
                <w:rFonts w:ascii="微软雅黑" w:hAnsi="微软雅黑" w:eastAsia="微软雅黑" w:cs="仿宋"/>
                <w:sz w:val="27"/>
                <w:szCs w:val="32"/>
              </w:rPr>
              <w:t>3</w:t>
            </w:r>
            <w:r>
              <w:rPr>
                <w:rFonts w:hint="eastAsia" w:ascii="微软雅黑" w:hAnsi="微软雅黑" w:eastAsia="微软雅黑" w:cs="仿宋"/>
                <w:sz w:val="27"/>
                <w:szCs w:val="32"/>
              </w:rPr>
              <w:t>、财政部《预算绩效管理工作规划（</w:t>
            </w:r>
            <w:r>
              <w:rPr>
                <w:rFonts w:ascii="微软雅黑" w:hAnsi="微软雅黑" w:eastAsia="微软雅黑" w:cs="仿宋"/>
                <w:sz w:val="27"/>
                <w:szCs w:val="32"/>
              </w:rPr>
              <w:t>2012-2015</w:t>
            </w:r>
            <w:r>
              <w:rPr>
                <w:rFonts w:hint="eastAsia" w:ascii="微软雅黑" w:hAnsi="微软雅黑" w:eastAsia="微软雅黑" w:cs="仿宋"/>
                <w:sz w:val="27"/>
                <w:szCs w:val="32"/>
              </w:rPr>
              <w:t>）》（财预〔</w:t>
            </w:r>
            <w:r>
              <w:rPr>
                <w:rFonts w:ascii="微软雅黑" w:hAnsi="微软雅黑" w:eastAsia="微软雅黑" w:cs="仿宋"/>
                <w:sz w:val="27"/>
                <w:szCs w:val="32"/>
              </w:rPr>
              <w:t>2012</w:t>
            </w:r>
            <w:r>
              <w:rPr>
                <w:rFonts w:hint="eastAsia" w:ascii="微软雅黑" w:hAnsi="微软雅黑" w:eastAsia="微软雅黑" w:cs="仿宋"/>
                <w:sz w:val="27"/>
                <w:szCs w:val="32"/>
              </w:rPr>
              <w:t>〕</w:t>
            </w:r>
            <w:r>
              <w:rPr>
                <w:rFonts w:ascii="微软雅黑" w:hAnsi="微软雅黑" w:eastAsia="微软雅黑" w:cs="仿宋"/>
                <w:sz w:val="27"/>
                <w:szCs w:val="32"/>
              </w:rPr>
              <w:t>396</w:t>
            </w:r>
            <w:r>
              <w:rPr>
                <w:rFonts w:hint="eastAsia" w:ascii="微软雅黑" w:hAnsi="微软雅黑" w:eastAsia="微软雅黑" w:cs="仿宋"/>
                <w:sz w:val="27"/>
                <w:szCs w:val="32"/>
              </w:rPr>
              <w:t>号）</w:t>
            </w:r>
            <w:bookmarkStart w:id="79" w:name="_Toc7393"/>
            <w:bookmarkStart w:id="80" w:name="_Toc12940"/>
            <w:bookmarkStart w:id="81" w:name="_Toc1868"/>
            <w:bookmarkStart w:id="82" w:name="_Toc24302"/>
            <w:bookmarkStart w:id="83" w:name="_Toc13179"/>
            <w:bookmarkStart w:id="84" w:name="_Toc11243"/>
            <w:bookmarkStart w:id="85" w:name="_Toc22038"/>
            <w:bookmarkStart w:id="86" w:name="_Toc9401"/>
            <w:bookmarkStart w:id="87" w:name="_Toc6747"/>
            <w:bookmarkStart w:id="88" w:name="_Toc26780"/>
          </w:p>
          <w:p>
            <w:pPr>
              <w:spacing w:after="500" w:line="288" w:lineRule="auto"/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（四）评价的主要方法及等级设定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</w:p>
          <w:p>
            <w:pPr>
              <w:ind w:firstLine="600" w:firstLineChars="200"/>
              <w:rPr>
                <w:rFonts w:hint="eastAsia" w:ascii="仿宋" w:hAnsi="仿宋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本次绩效评价指标体系由产出指标、效益指标、满意度指标、预算执行率四大一级指标，</w:t>
            </w:r>
          </w:p>
          <w:p>
            <w:pPr>
              <w:ind w:firstLine="600" w:firstLineChars="200"/>
              <w:rPr>
                <w:rFonts w:hint="default" w:ascii="仿宋" w:hAnsi="仿宋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二级指标由数量指标、质量指标、时效指标、社会效益指标、可持续影响指标、满意度指标、预算执行率7项指标。</w:t>
            </w:r>
          </w:p>
          <w:p>
            <w:pPr>
              <w:rPr>
                <w:rFonts w:hint="default" w:ascii="仿宋" w:hAnsi="仿宋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三级指标作为最终的量化考核对象，评价指标总分为100分，其中产出指标共计50分，效益指标30分，满意度指标10分，预算执行率指标10分。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89" w:name="_Toc10113"/>
            <w:bookmarkStart w:id="90" w:name="_Toc28621"/>
            <w:bookmarkStart w:id="91" w:name="_Toc20748"/>
            <w:bookmarkStart w:id="92" w:name="_Toc6105"/>
            <w:bookmarkStart w:id="93" w:name="_Toc18842"/>
            <w:bookmarkStart w:id="94" w:name="_Toc22222"/>
            <w:bookmarkStart w:id="95" w:name="_Toc17025"/>
            <w:bookmarkStart w:id="96" w:name="_Toc5623"/>
            <w:bookmarkStart w:id="97" w:name="_Toc30508"/>
            <w:bookmarkStart w:id="98" w:name="_Toc21014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四、绩效评价指标体系及得分情况</w:t>
            </w:r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XX项目重点绩效自评指标表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一级指标 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三级指标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“工作活动”设置（*分）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项目立项情况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是否符合市政府经济和社会总体发展规划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有市政府相关政策、规划、任务等文件得*分；无不得分。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项目活动与职责相关性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工作活动与部门职责、工作规划和重点工作相关，工作活动项下确定的预算项目合理，与工作活动密切相关，工作活动和项目预算安排合理，得*分；否则不得分。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绩效自评情况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项目设立绩效目标合理性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①是否将项目绩效目标细化分解为具体的绩效指标；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②是否通过清晰、可衡量的指标值予以体现；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③是否与项目年度任务数或计划数相对应；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④是否与预算确定的项目投资额或资金量相匹配。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缺少一项扣*分,扣完为止。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自评报告情况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是否有绩效评价报告，报告是否依据充分、内容真实完整；数据准确、分析透彻。每存在一项问题扣*分，扣完为止。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“工作活动”管理（*分）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预算调整率=（预算调整数/预算数）×100%。预算调整率每大于1%扣*分，扣完为止。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项目资金使用是否符合国家财经法规及相关的财务管理制度规定，资金支出程序是否规范,报账手续是否齐全。每存在一项不合规问题扣*分，扣完为止。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会计核算规范性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会计核算是否符合《会计法》、《政府会计制度》、《会计基础工作规范》等法律法规和相关制度规定。每存在一项不合规问题扣*分，扣完为止。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项目责任机制是否健全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是否建立责任机制，项目管理和责任落实到有关人。每存在一项问题扣*分，扣完为止。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制定管理制度和措施（包括财务制度）是否明确、清晰、具有可操作性，能否保障工作活动顺利实施。每缺少一项制度扣*分，扣完为止。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“工作活动”产出（*分）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受益建档立卡贫困户数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受益建档立卡贫困户数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完成，得满分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截止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年底，完工项目初步验收率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截止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年底，完工项目初步验收率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得满分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工程验收合格率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工程验收合格率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得满分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已建工程是否存在质量问题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已建工程是否存在质量问题，全部合格得满分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指标4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截止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年底，资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完成比例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截止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年底，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完成比例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得满分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“工作活动”效果（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满意度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服务对象满意度指标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得满分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bookmarkStart w:id="99" w:name="_Toc2634_WPSOffice_Level1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五、评价分析</w:t>
      </w:r>
      <w:bookmarkEnd w:id="99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bookmarkStart w:id="100" w:name="_Toc11279_WPSOffice_Level1"/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2023年安排</w:t>
      </w:r>
      <w:r>
        <w:rPr>
          <w:rFonts w:hint="eastAsia" w:ascii="仿宋" w:hAnsi="仿宋" w:eastAsia="仿宋" w:cs="Times New Roman"/>
          <w:color w:val="auto"/>
          <w:sz w:val="30"/>
          <w:szCs w:val="30"/>
          <w:lang w:val="en-US" w:eastAsia="zh-CN"/>
        </w:rPr>
        <w:t>85.7485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万元用于小额信贷贴息资金，到年底实际完成85.7485万元，完成率100％，原因为当年列支资金是按贷款户全年使用贷款利息测算的，实际上部分脱贫户未使用够年限，造成部分剩余资金。</w:t>
      </w:r>
    </w:p>
    <w:bookmarkEnd w:id="10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2024年6月24日</w:t>
      </w: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2154" w:right="1474" w:bottom="1984" w:left="1587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DFC7E"/>
    <w:multiLevelType w:val="singleLevel"/>
    <w:tmpl w:val="403DFC7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ZThjNjY0MDA5NTZlMDRmMDNlNzE2N2FmNjdmMTgifQ=="/>
  </w:docVars>
  <w:rsids>
    <w:rsidRoot w:val="07CC499B"/>
    <w:rsid w:val="00B60E03"/>
    <w:rsid w:val="01B67D1F"/>
    <w:rsid w:val="01CA2AF2"/>
    <w:rsid w:val="03274687"/>
    <w:rsid w:val="04064A0C"/>
    <w:rsid w:val="04321BCD"/>
    <w:rsid w:val="04FF4482"/>
    <w:rsid w:val="057A0A50"/>
    <w:rsid w:val="064C4C17"/>
    <w:rsid w:val="076C3175"/>
    <w:rsid w:val="07CC499B"/>
    <w:rsid w:val="0815567D"/>
    <w:rsid w:val="0909607F"/>
    <w:rsid w:val="09A64785"/>
    <w:rsid w:val="0A3B4E4B"/>
    <w:rsid w:val="0B601B06"/>
    <w:rsid w:val="0BEB58BF"/>
    <w:rsid w:val="0C15027B"/>
    <w:rsid w:val="0C3B2A49"/>
    <w:rsid w:val="0DAA4EE9"/>
    <w:rsid w:val="0E3117D9"/>
    <w:rsid w:val="102B0836"/>
    <w:rsid w:val="1064155D"/>
    <w:rsid w:val="1156122B"/>
    <w:rsid w:val="11F11891"/>
    <w:rsid w:val="12C35BB4"/>
    <w:rsid w:val="140849FA"/>
    <w:rsid w:val="14583EA3"/>
    <w:rsid w:val="151D09B5"/>
    <w:rsid w:val="1689469A"/>
    <w:rsid w:val="16DB1E7D"/>
    <w:rsid w:val="178C6C5A"/>
    <w:rsid w:val="17CD646A"/>
    <w:rsid w:val="18430EFE"/>
    <w:rsid w:val="184F3049"/>
    <w:rsid w:val="189F2CAE"/>
    <w:rsid w:val="1AA03612"/>
    <w:rsid w:val="1B3F225B"/>
    <w:rsid w:val="1B4269FF"/>
    <w:rsid w:val="1C672059"/>
    <w:rsid w:val="1C87152E"/>
    <w:rsid w:val="1D4B3C83"/>
    <w:rsid w:val="1D583313"/>
    <w:rsid w:val="1DBD7AB3"/>
    <w:rsid w:val="1E0B387E"/>
    <w:rsid w:val="1E1F69F3"/>
    <w:rsid w:val="21460607"/>
    <w:rsid w:val="21FF1E9B"/>
    <w:rsid w:val="23C1122C"/>
    <w:rsid w:val="243D751D"/>
    <w:rsid w:val="24522B03"/>
    <w:rsid w:val="25ED2FD4"/>
    <w:rsid w:val="264A346A"/>
    <w:rsid w:val="270A41B9"/>
    <w:rsid w:val="274B3C4E"/>
    <w:rsid w:val="281278A6"/>
    <w:rsid w:val="285356FD"/>
    <w:rsid w:val="288E37E0"/>
    <w:rsid w:val="290243B4"/>
    <w:rsid w:val="2A5C748F"/>
    <w:rsid w:val="2AA82CC7"/>
    <w:rsid w:val="2AF25BF8"/>
    <w:rsid w:val="2B10000E"/>
    <w:rsid w:val="2B2D56DA"/>
    <w:rsid w:val="2D391E20"/>
    <w:rsid w:val="30785FD3"/>
    <w:rsid w:val="31702E0D"/>
    <w:rsid w:val="33C32B3C"/>
    <w:rsid w:val="34E52524"/>
    <w:rsid w:val="35CA4ECD"/>
    <w:rsid w:val="35CE5164"/>
    <w:rsid w:val="35F07825"/>
    <w:rsid w:val="360C2FBA"/>
    <w:rsid w:val="363913FE"/>
    <w:rsid w:val="36D6548C"/>
    <w:rsid w:val="376918C7"/>
    <w:rsid w:val="37832AC7"/>
    <w:rsid w:val="38195BED"/>
    <w:rsid w:val="38EC1784"/>
    <w:rsid w:val="39B23A02"/>
    <w:rsid w:val="3A4766ED"/>
    <w:rsid w:val="3A713A3B"/>
    <w:rsid w:val="3AAB2217"/>
    <w:rsid w:val="3B626E83"/>
    <w:rsid w:val="3CAE49E3"/>
    <w:rsid w:val="3DAE40CB"/>
    <w:rsid w:val="3E7103A9"/>
    <w:rsid w:val="3E7E746E"/>
    <w:rsid w:val="3EBE2184"/>
    <w:rsid w:val="3F5912F8"/>
    <w:rsid w:val="3F9B4FC0"/>
    <w:rsid w:val="41B74B09"/>
    <w:rsid w:val="43DC781A"/>
    <w:rsid w:val="441C7555"/>
    <w:rsid w:val="450A0AA4"/>
    <w:rsid w:val="45236574"/>
    <w:rsid w:val="46434BE2"/>
    <w:rsid w:val="46AA6AA7"/>
    <w:rsid w:val="478E0E32"/>
    <w:rsid w:val="48A2447B"/>
    <w:rsid w:val="49430BD9"/>
    <w:rsid w:val="494625CA"/>
    <w:rsid w:val="4A2B1596"/>
    <w:rsid w:val="4BD23ED8"/>
    <w:rsid w:val="4C2846CD"/>
    <w:rsid w:val="4C7A4C55"/>
    <w:rsid w:val="4F6A54EE"/>
    <w:rsid w:val="4FDF6ED1"/>
    <w:rsid w:val="514C0EC5"/>
    <w:rsid w:val="51F50157"/>
    <w:rsid w:val="52866F20"/>
    <w:rsid w:val="52EE7A8B"/>
    <w:rsid w:val="535B290E"/>
    <w:rsid w:val="53F1208F"/>
    <w:rsid w:val="54DE5250"/>
    <w:rsid w:val="55495194"/>
    <w:rsid w:val="56115CEE"/>
    <w:rsid w:val="56D42516"/>
    <w:rsid w:val="56FE5044"/>
    <w:rsid w:val="57D72A8B"/>
    <w:rsid w:val="57E03285"/>
    <w:rsid w:val="5AE71036"/>
    <w:rsid w:val="5B5F30DA"/>
    <w:rsid w:val="5BAF6F84"/>
    <w:rsid w:val="5BE03A0F"/>
    <w:rsid w:val="5D5C7CBD"/>
    <w:rsid w:val="5DF86B3F"/>
    <w:rsid w:val="5F1C1ADB"/>
    <w:rsid w:val="60134031"/>
    <w:rsid w:val="60C120AA"/>
    <w:rsid w:val="6304094B"/>
    <w:rsid w:val="63AC2F39"/>
    <w:rsid w:val="64165E4C"/>
    <w:rsid w:val="6536013A"/>
    <w:rsid w:val="68DA698B"/>
    <w:rsid w:val="6A3E1F45"/>
    <w:rsid w:val="6C9F40F1"/>
    <w:rsid w:val="6CCC6D4C"/>
    <w:rsid w:val="6D5F4EC3"/>
    <w:rsid w:val="6E3F5A2C"/>
    <w:rsid w:val="7008088F"/>
    <w:rsid w:val="712634CC"/>
    <w:rsid w:val="71A3781D"/>
    <w:rsid w:val="724E698E"/>
    <w:rsid w:val="756501CF"/>
    <w:rsid w:val="771816DB"/>
    <w:rsid w:val="773F40B1"/>
    <w:rsid w:val="778F438E"/>
    <w:rsid w:val="7A055146"/>
    <w:rsid w:val="7A757A3F"/>
    <w:rsid w:val="7BA43E85"/>
    <w:rsid w:val="7C647BFE"/>
    <w:rsid w:val="7D9B64C3"/>
    <w:rsid w:val="7F3661BA"/>
    <w:rsid w:val="7FA8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600" w:lineRule="exact"/>
      <w:ind w:firstLine="560" w:firstLineChars="200"/>
      <w:textAlignment w:val="center"/>
    </w:pPr>
    <w:rPr>
      <w:rFonts w:ascii="宋体" w:hAnsi="宋体"/>
      <w:color w:val="FF0000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0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2102</Words>
  <Characters>2212</Characters>
  <Lines>0</Lines>
  <Paragraphs>0</Paragraphs>
  <TotalTime>0</TotalTime>
  <ScaleCrop>false</ScaleCrop>
  <LinksUpToDate>false</LinksUpToDate>
  <CharactersWithSpaces>2515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2021-07-20T09:00:00Z</dcterms:created>
  <dc:creator>user</dc:creator>
  <cp:lastModifiedBy>Administrator</cp:lastModifiedBy>
  <dcterms:modified xsi:type="dcterms:W3CDTF">2024-06-25T01:35:52Z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085D626F2A364468BC1E0D1B48EC2CF9_13</vt:lpwstr>
  </property>
</Properties>
</file>