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eastAsia="zh-CN"/>
        </w:rPr>
        <w:t>附件</w:t>
      </w:r>
      <w:r>
        <w:rPr>
          <w:rFonts w:hint="eastAsia" w:ascii="宋体" w:hAnsi="宋体" w:eastAsia="宋体" w:cs="宋体"/>
          <w:b w:val="0"/>
          <w:bCs w:val="0"/>
          <w:kern w:val="0"/>
          <w:sz w:val="28"/>
          <w:szCs w:val="28"/>
          <w:lang w:val="en-US" w:eastAsia="zh-CN"/>
        </w:rPr>
        <w:t>2</w:t>
      </w:r>
    </w:p>
    <w:p>
      <w:pPr>
        <w:widowControl/>
        <w:jc w:val="center"/>
        <w:rPr>
          <w:rFonts w:hint="eastAsia" w:ascii="宋体" w:hAnsi="宋体" w:eastAsia="宋体" w:cs="宋体"/>
          <w:b/>
          <w:bCs/>
          <w:kern w:val="0"/>
          <w:sz w:val="44"/>
          <w:szCs w:val="44"/>
          <w:lang w:val="en-US" w:eastAsia="zh-CN"/>
        </w:rPr>
      </w:pPr>
      <w:r>
        <w:rPr>
          <w:rFonts w:hint="eastAsia" w:ascii="宋体" w:hAnsi="宋体" w:eastAsia="宋体" w:cs="宋体"/>
          <w:b/>
          <w:bCs/>
          <w:kern w:val="0"/>
          <w:sz w:val="44"/>
          <w:szCs w:val="44"/>
          <w:lang w:eastAsia="zh-CN"/>
        </w:rPr>
        <w:t>巨鹿</w:t>
      </w:r>
      <w:r>
        <w:rPr>
          <w:rFonts w:hint="eastAsia" w:ascii="宋体" w:hAnsi="宋体" w:eastAsia="宋体" w:cs="宋体"/>
          <w:b/>
          <w:bCs/>
          <w:kern w:val="0"/>
          <w:sz w:val="44"/>
          <w:szCs w:val="44"/>
        </w:rPr>
        <w:t>县</w:t>
      </w:r>
      <w:r>
        <w:rPr>
          <w:rFonts w:hint="eastAsia" w:ascii="宋体" w:hAnsi="宋体" w:eastAsia="宋体" w:cs="宋体"/>
          <w:b/>
          <w:bCs/>
          <w:kern w:val="0"/>
          <w:sz w:val="44"/>
          <w:szCs w:val="44"/>
          <w:lang w:eastAsia="zh-CN"/>
        </w:rPr>
        <w:t>民政局</w:t>
      </w:r>
    </w:p>
    <w:p>
      <w:pPr>
        <w:widowControl/>
        <w:jc w:val="center"/>
        <w:rPr>
          <w:rFonts w:ascii="宋体" w:hAnsi="宋体" w:eastAsia="宋体" w:cs="宋体"/>
          <w:b/>
          <w:bCs/>
          <w:kern w:val="0"/>
          <w:sz w:val="44"/>
          <w:szCs w:val="44"/>
        </w:rPr>
      </w:pPr>
      <w:r>
        <w:rPr>
          <w:rFonts w:hint="eastAsia" w:ascii="宋体" w:hAnsi="宋体" w:eastAsia="宋体" w:cs="宋体"/>
          <w:b/>
          <w:bCs/>
          <w:kern w:val="0"/>
          <w:sz w:val="44"/>
          <w:szCs w:val="44"/>
        </w:rPr>
        <w:t>2021年年度</w:t>
      </w:r>
      <w:r>
        <w:rPr>
          <w:rFonts w:hint="eastAsia" w:ascii="宋体" w:hAnsi="宋体" w:eastAsia="宋体" w:cs="宋体"/>
          <w:b/>
          <w:bCs/>
          <w:kern w:val="0"/>
          <w:sz w:val="44"/>
          <w:szCs w:val="44"/>
          <w:lang w:eastAsia="zh-CN"/>
        </w:rPr>
        <w:t>城乡最低生活保障金</w:t>
      </w:r>
      <w:r>
        <w:rPr>
          <w:rFonts w:hint="eastAsia" w:ascii="宋体" w:hAnsi="宋体" w:eastAsia="宋体" w:cs="宋体"/>
          <w:b/>
          <w:bCs/>
          <w:kern w:val="0"/>
          <w:sz w:val="44"/>
          <w:szCs w:val="44"/>
        </w:rPr>
        <w:t>绩效评价</w:t>
      </w:r>
    </w:p>
    <w:p>
      <w:pPr>
        <w:widowControl/>
        <w:jc w:val="center"/>
        <w:rPr>
          <w:rFonts w:ascii="宋体" w:hAnsi="宋体" w:eastAsia="宋体" w:cs="宋体"/>
          <w:b/>
          <w:bCs/>
          <w:kern w:val="0"/>
          <w:sz w:val="44"/>
          <w:szCs w:val="44"/>
        </w:rPr>
      </w:pPr>
      <w:r>
        <w:rPr>
          <w:rFonts w:hint="eastAsia" w:ascii="宋体" w:hAnsi="宋体" w:eastAsia="宋体" w:cs="宋体"/>
          <w:b/>
          <w:bCs/>
          <w:kern w:val="0"/>
          <w:sz w:val="44"/>
          <w:szCs w:val="44"/>
        </w:rPr>
        <w:t>自评报告</w:t>
      </w:r>
    </w:p>
    <w:p>
      <w:pPr>
        <w:widowControl/>
        <w:rPr>
          <w:rFonts w:ascii="黑体" w:hAnsi="黑体" w:eastAsia="黑体" w:cs="宋体"/>
          <w:b/>
          <w:bCs/>
          <w:kern w:val="0"/>
          <w:sz w:val="44"/>
          <w:szCs w:val="44"/>
        </w:rPr>
      </w:pPr>
    </w:p>
    <w:p>
      <w:pPr>
        <w:pStyle w:val="14"/>
        <w:widowControl/>
        <w:numPr>
          <w:ilvl w:val="0"/>
          <w:numId w:val="1"/>
        </w:numPr>
        <w:ind w:firstLineChars="0"/>
        <w:rPr>
          <w:rFonts w:ascii="黑体" w:hAnsi="黑体" w:eastAsia="黑体" w:cs="宋体"/>
          <w:b/>
          <w:bCs/>
          <w:kern w:val="0"/>
          <w:sz w:val="32"/>
          <w:szCs w:val="32"/>
        </w:rPr>
      </w:pPr>
      <w:r>
        <w:rPr>
          <w:rFonts w:hint="eastAsia" w:ascii="黑体" w:hAnsi="黑体" w:eastAsia="黑体" w:cs="宋体"/>
          <w:b/>
          <w:bCs/>
          <w:kern w:val="0"/>
          <w:sz w:val="32"/>
          <w:szCs w:val="32"/>
        </w:rPr>
        <w:t>项目概况</w:t>
      </w:r>
    </w:p>
    <w:p>
      <w:pPr>
        <w:widowControl/>
        <w:rPr>
          <w:rFonts w:ascii="仿宋" w:hAnsi="仿宋" w:eastAsia="仿宋" w:cs="宋体"/>
          <w:kern w:val="0"/>
          <w:sz w:val="32"/>
          <w:szCs w:val="32"/>
        </w:rPr>
      </w:pPr>
      <w:r>
        <w:rPr>
          <w:rFonts w:hint="eastAsia" w:cs="宋体" w:asciiTheme="minorEastAsia" w:hAnsiTheme="minorEastAsia"/>
          <w:kern w:val="0"/>
          <w:sz w:val="32"/>
          <w:szCs w:val="32"/>
        </w:rPr>
        <w:t xml:space="preserve">  （</w:t>
      </w:r>
      <w:r>
        <w:rPr>
          <w:rFonts w:hint="eastAsia" w:ascii="仿宋" w:hAnsi="仿宋" w:eastAsia="仿宋" w:cs="宋体"/>
          <w:kern w:val="0"/>
          <w:sz w:val="32"/>
          <w:szCs w:val="32"/>
        </w:rPr>
        <w:t>一）政府战略规划或目标。</w:t>
      </w:r>
    </w:p>
    <w:p>
      <w:pPr>
        <w:pStyle w:val="4"/>
        <w:shd w:val="clear" w:color="auto" w:fill="FFFFFF"/>
        <w:spacing w:before="0" w:beforeAutospacing="0" w:after="0" w:afterAutospacing="0"/>
        <w:ind w:firstLine="160" w:firstLineChars="50"/>
        <w:rPr>
          <w:rFonts w:ascii="仿宋" w:hAnsi="仿宋" w:eastAsia="仿宋"/>
          <w:sz w:val="32"/>
          <w:szCs w:val="32"/>
        </w:rPr>
      </w:pPr>
      <w:r>
        <w:rPr>
          <w:rFonts w:hint="eastAsia" w:ascii="仿宋" w:hAnsi="仿宋" w:eastAsia="仿宋" w:cs="宋体"/>
          <w:kern w:val="0"/>
          <w:sz w:val="32"/>
          <w:szCs w:val="32"/>
        </w:rPr>
        <w:t xml:space="preserve">  </w:t>
      </w:r>
      <w:r>
        <w:rPr>
          <w:rFonts w:hint="eastAsia" w:ascii="仿宋" w:hAnsi="仿宋" w:eastAsia="仿宋"/>
          <w:sz w:val="32"/>
          <w:szCs w:val="32"/>
        </w:rPr>
        <w:t>为进一步提高困难群众救助工作管理服务水平和资金使用效益, 我局组织实施了202</w:t>
      </w:r>
      <w:r>
        <w:rPr>
          <w:rFonts w:hint="eastAsia" w:ascii="仿宋" w:hAnsi="仿宋" w:eastAsia="仿宋"/>
          <w:sz w:val="32"/>
          <w:szCs w:val="32"/>
          <w:lang w:val="en-US" w:eastAsia="zh-CN"/>
        </w:rPr>
        <w:t>1</w:t>
      </w:r>
      <w:r>
        <w:rPr>
          <w:rFonts w:hint="eastAsia" w:ascii="仿宋" w:hAnsi="仿宋" w:eastAsia="仿宋"/>
          <w:sz w:val="32"/>
          <w:szCs w:val="32"/>
        </w:rPr>
        <w:t>年度</w:t>
      </w:r>
      <w:r>
        <w:rPr>
          <w:rFonts w:hint="eastAsia" w:ascii="仿宋" w:hAnsi="仿宋" w:eastAsia="仿宋"/>
          <w:sz w:val="32"/>
          <w:szCs w:val="32"/>
          <w:lang w:eastAsia="zh-CN"/>
        </w:rPr>
        <w:t>城乡低保</w:t>
      </w:r>
      <w:r>
        <w:rPr>
          <w:rFonts w:hint="eastAsia" w:ascii="仿宋" w:hAnsi="仿宋" w:eastAsia="仿宋"/>
          <w:sz w:val="32"/>
          <w:szCs w:val="32"/>
        </w:rPr>
        <w:t>绩效评价工作，形成自评报告如下：</w:t>
      </w:r>
    </w:p>
    <w:p>
      <w:pPr>
        <w:widowControl/>
        <w:rPr>
          <w:rFonts w:ascii="仿宋" w:hAnsi="仿宋" w:eastAsia="仿宋" w:cs="宋体"/>
          <w:kern w:val="0"/>
          <w:sz w:val="32"/>
          <w:szCs w:val="32"/>
        </w:rPr>
      </w:pPr>
      <w:r>
        <w:rPr>
          <w:rFonts w:hint="eastAsia" w:ascii="仿宋" w:hAnsi="仿宋" w:eastAsia="仿宋" w:cs="宋体"/>
          <w:kern w:val="0"/>
          <w:sz w:val="32"/>
          <w:szCs w:val="32"/>
        </w:rPr>
        <w:t>（二）单位工作目标。</w:t>
      </w:r>
    </w:p>
    <w:p>
      <w:pPr>
        <w:pStyle w:val="4"/>
        <w:shd w:val="clear" w:color="auto" w:fill="FFFFFF"/>
        <w:spacing w:before="0" w:beforeAutospacing="0" w:after="0" w:afterAutospacing="0"/>
        <w:ind w:firstLine="640" w:firstLineChars="200"/>
        <w:rPr>
          <w:rFonts w:ascii="仿宋" w:hAnsi="仿宋" w:eastAsia="仿宋"/>
          <w:sz w:val="32"/>
          <w:szCs w:val="32"/>
        </w:rPr>
      </w:pPr>
      <w:r>
        <w:rPr>
          <w:rFonts w:hint="eastAsia" w:ascii="仿宋" w:hAnsi="仿宋" w:eastAsia="仿宋" w:cs="宋体"/>
          <w:kern w:val="0"/>
          <w:sz w:val="32"/>
          <w:szCs w:val="32"/>
        </w:rPr>
        <w:t xml:space="preserve">  </w:t>
      </w:r>
      <w:r>
        <w:rPr>
          <w:rFonts w:ascii="仿宋" w:hAnsi="仿宋" w:eastAsia="仿宋"/>
          <w:sz w:val="32"/>
          <w:szCs w:val="32"/>
        </w:rPr>
        <w:t>为推动深化绩效预算改革，强化绩效预算管理，</w:t>
      </w:r>
      <w:r>
        <w:rPr>
          <w:rFonts w:hint="eastAsia" w:ascii="仿宋" w:hAnsi="仿宋" w:eastAsia="仿宋"/>
          <w:sz w:val="32"/>
          <w:szCs w:val="32"/>
        </w:rPr>
        <w:t>202</w:t>
      </w:r>
      <w:r>
        <w:rPr>
          <w:rFonts w:hint="eastAsia" w:ascii="仿宋" w:hAnsi="仿宋" w:eastAsia="仿宋"/>
          <w:sz w:val="32"/>
          <w:szCs w:val="32"/>
          <w:lang w:val="en-US" w:eastAsia="zh-CN"/>
        </w:rPr>
        <w:t>1</w:t>
      </w:r>
      <w:r>
        <w:rPr>
          <w:rFonts w:ascii="仿宋" w:hAnsi="仿宋" w:eastAsia="仿宋"/>
          <w:sz w:val="32"/>
          <w:szCs w:val="32"/>
        </w:rPr>
        <w:t>年以来，</w:t>
      </w:r>
      <w:r>
        <w:rPr>
          <w:rFonts w:hint="eastAsia" w:ascii="仿宋" w:hAnsi="仿宋" w:eastAsia="仿宋"/>
          <w:sz w:val="32"/>
          <w:szCs w:val="32"/>
        </w:rPr>
        <w:t>我局认</w:t>
      </w:r>
      <w:r>
        <w:rPr>
          <w:rFonts w:ascii="仿宋" w:hAnsi="仿宋" w:eastAsia="仿宋"/>
          <w:sz w:val="32"/>
          <w:szCs w:val="32"/>
        </w:rPr>
        <w:t>真履行职责，全力做好对困难群体救助工作，财政部门努力筹措资金，较好地保障了救助活动开展，受到困难群体、社会各界普遍好评，对保障民生、促进社会和谐稳定发挥了重要作用，有力地助推了扶贫攻坚。今后需通过深化绩效预算改革，加强绩效监督评价，进一步提高救助管理水平，更多更好惠及困难群体，为全面建成小康社会、</w:t>
      </w:r>
      <w:r>
        <w:rPr>
          <w:rFonts w:hint="eastAsia" w:ascii="仿宋" w:hAnsi="仿宋" w:eastAsia="仿宋"/>
          <w:sz w:val="32"/>
          <w:szCs w:val="32"/>
        </w:rPr>
        <w:t>对困难群众开展</w:t>
      </w:r>
      <w:r>
        <w:rPr>
          <w:rFonts w:ascii="仿宋" w:hAnsi="仿宋" w:eastAsia="仿宋"/>
          <w:sz w:val="32"/>
          <w:szCs w:val="32"/>
        </w:rPr>
        <w:t>做出新的努力。</w:t>
      </w:r>
    </w:p>
    <w:p>
      <w:pPr>
        <w:widowControl/>
        <w:rPr>
          <w:rFonts w:ascii="仿宋" w:hAnsi="仿宋" w:eastAsia="仿宋" w:cs="宋体"/>
          <w:kern w:val="0"/>
          <w:sz w:val="32"/>
          <w:szCs w:val="32"/>
        </w:rPr>
      </w:pPr>
      <w:r>
        <w:rPr>
          <w:rFonts w:hint="eastAsia" w:ascii="仿宋" w:hAnsi="仿宋" w:eastAsia="仿宋" w:cs="宋体"/>
          <w:kern w:val="0"/>
          <w:sz w:val="32"/>
          <w:szCs w:val="32"/>
        </w:rPr>
        <w:t>（三）工作活动(项目)基本情况。</w:t>
      </w:r>
    </w:p>
    <w:p>
      <w:pPr>
        <w:pStyle w:val="4"/>
        <w:shd w:val="clear" w:color="auto" w:fill="FFFFFF"/>
        <w:spacing w:before="0" w:beforeAutospacing="0" w:after="0" w:afterAutospacing="0"/>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202</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城乡低保</w:t>
      </w:r>
      <w:r>
        <w:rPr>
          <w:rFonts w:hint="eastAsia" w:ascii="仿宋" w:hAnsi="仿宋" w:eastAsia="仿宋"/>
          <w:color w:val="auto"/>
          <w:sz w:val="32"/>
          <w:szCs w:val="32"/>
          <w:highlight w:val="none"/>
        </w:rPr>
        <w:t>救助资金</w:t>
      </w:r>
      <w:r>
        <w:rPr>
          <w:rFonts w:hint="eastAsia" w:ascii="仿宋" w:hAnsi="仿宋" w:eastAsia="仿宋"/>
          <w:color w:val="auto"/>
          <w:sz w:val="32"/>
          <w:szCs w:val="32"/>
          <w:highlight w:val="none"/>
          <w:lang w:eastAsia="zh-CN"/>
        </w:rPr>
        <w:t>共计收入</w:t>
      </w:r>
      <w:r>
        <w:rPr>
          <w:rFonts w:hint="eastAsia" w:ascii="仿宋" w:hAnsi="仿宋" w:eastAsia="仿宋"/>
          <w:color w:val="auto"/>
          <w:sz w:val="32"/>
          <w:szCs w:val="32"/>
          <w:highlight w:val="none"/>
        </w:rPr>
        <w:t>1215</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7</w:t>
      </w:r>
      <w:r>
        <w:rPr>
          <w:rFonts w:hint="eastAsia" w:ascii="仿宋" w:hAnsi="仿宋" w:eastAsia="仿宋"/>
          <w:color w:val="auto"/>
          <w:sz w:val="32"/>
          <w:szCs w:val="32"/>
          <w:highlight w:val="none"/>
          <w:lang w:val="en-US" w:eastAsia="zh-CN"/>
        </w:rPr>
        <w:t>8</w:t>
      </w:r>
      <w:r>
        <w:rPr>
          <w:rFonts w:hint="eastAsia" w:ascii="仿宋" w:hAnsi="仿宋" w:eastAsia="仿宋"/>
          <w:color w:val="auto"/>
          <w:sz w:val="32"/>
          <w:szCs w:val="32"/>
          <w:highlight w:val="none"/>
        </w:rPr>
        <w:t>万元</w:t>
      </w:r>
      <w:r>
        <w:rPr>
          <w:rFonts w:ascii="仿宋" w:hAnsi="仿宋" w:eastAsia="仿宋"/>
          <w:color w:val="auto"/>
          <w:sz w:val="32"/>
          <w:szCs w:val="32"/>
          <w:highlight w:val="none"/>
        </w:rPr>
        <w:t>，</w:t>
      </w:r>
      <w:r>
        <w:rPr>
          <w:rFonts w:hint="eastAsia" w:ascii="仿宋" w:hAnsi="仿宋" w:eastAsia="仿宋"/>
          <w:color w:val="auto"/>
          <w:sz w:val="32"/>
          <w:szCs w:val="32"/>
          <w:highlight w:val="none"/>
        </w:rPr>
        <w:t>其中上级拨付中央财政</w:t>
      </w:r>
      <w:r>
        <w:rPr>
          <w:rFonts w:hint="eastAsia" w:ascii="仿宋" w:hAnsi="仿宋" w:eastAsia="仿宋"/>
          <w:color w:val="auto"/>
          <w:sz w:val="32"/>
          <w:szCs w:val="32"/>
          <w:highlight w:val="none"/>
          <w:lang w:eastAsia="zh-CN"/>
        </w:rPr>
        <w:t>城乡低保</w:t>
      </w:r>
      <w:r>
        <w:rPr>
          <w:rFonts w:hint="eastAsia" w:ascii="仿宋" w:hAnsi="仿宋" w:eastAsia="仿宋"/>
          <w:color w:val="auto"/>
          <w:sz w:val="32"/>
          <w:szCs w:val="32"/>
          <w:highlight w:val="none"/>
        </w:rPr>
        <w:t>资金</w:t>
      </w:r>
      <w:r>
        <w:rPr>
          <w:rFonts w:hint="eastAsia" w:ascii="仿宋" w:hAnsi="仿宋" w:eastAsia="仿宋"/>
          <w:color w:val="auto"/>
          <w:sz w:val="32"/>
          <w:szCs w:val="32"/>
          <w:highlight w:val="none"/>
          <w:lang w:val="en-US" w:eastAsia="zh-CN"/>
        </w:rPr>
        <w:t>1106</w:t>
      </w:r>
      <w:r>
        <w:rPr>
          <w:rFonts w:hint="eastAsia" w:ascii="仿宋" w:hAnsi="仿宋" w:eastAsia="仿宋"/>
          <w:color w:val="auto"/>
          <w:sz w:val="32"/>
          <w:szCs w:val="32"/>
          <w:highlight w:val="none"/>
        </w:rPr>
        <w:t>万元，上级拨付省级财政</w:t>
      </w:r>
      <w:r>
        <w:rPr>
          <w:rFonts w:hint="eastAsia" w:ascii="仿宋" w:hAnsi="仿宋" w:eastAsia="仿宋"/>
          <w:color w:val="auto"/>
          <w:sz w:val="32"/>
          <w:szCs w:val="32"/>
          <w:highlight w:val="none"/>
          <w:lang w:eastAsia="zh-CN"/>
        </w:rPr>
        <w:t>城乡低保</w:t>
      </w:r>
      <w:r>
        <w:rPr>
          <w:rFonts w:hint="eastAsia" w:ascii="仿宋" w:hAnsi="仿宋" w:eastAsia="仿宋"/>
          <w:color w:val="auto"/>
          <w:sz w:val="32"/>
          <w:szCs w:val="32"/>
          <w:highlight w:val="none"/>
        </w:rPr>
        <w:t>资金</w:t>
      </w:r>
      <w:r>
        <w:rPr>
          <w:rFonts w:hint="eastAsia" w:ascii="仿宋" w:hAnsi="仿宋" w:eastAsia="仿宋"/>
          <w:color w:val="auto"/>
          <w:sz w:val="32"/>
          <w:szCs w:val="32"/>
          <w:highlight w:val="none"/>
          <w:lang w:val="en-US" w:eastAsia="zh-CN"/>
        </w:rPr>
        <w:t>109.78</w:t>
      </w:r>
      <w:r>
        <w:rPr>
          <w:rFonts w:hint="eastAsia" w:ascii="仿宋" w:hAnsi="仿宋" w:eastAsia="仿宋"/>
          <w:color w:val="auto"/>
          <w:sz w:val="32"/>
          <w:szCs w:val="32"/>
          <w:highlight w:val="none"/>
        </w:rPr>
        <w:t>万元，本年支出1215</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7</w:t>
      </w:r>
      <w:r>
        <w:rPr>
          <w:rFonts w:hint="eastAsia" w:ascii="仿宋" w:hAnsi="仿宋" w:eastAsia="仿宋"/>
          <w:color w:val="auto"/>
          <w:sz w:val="32"/>
          <w:szCs w:val="32"/>
          <w:highlight w:val="none"/>
          <w:lang w:val="en-US" w:eastAsia="zh-CN"/>
        </w:rPr>
        <w:t>8</w:t>
      </w:r>
      <w:r>
        <w:rPr>
          <w:rFonts w:hint="eastAsia" w:ascii="仿宋" w:hAnsi="仿宋" w:eastAsia="仿宋"/>
          <w:color w:val="auto"/>
          <w:sz w:val="32"/>
          <w:szCs w:val="32"/>
          <w:highlight w:val="none"/>
        </w:rPr>
        <w:t>万元。资金投入合理、落实到位，全部资金用于对符合条件的</w:t>
      </w:r>
      <w:r>
        <w:rPr>
          <w:rFonts w:hint="eastAsia" w:ascii="仿宋" w:hAnsi="仿宋" w:eastAsia="仿宋"/>
          <w:color w:val="auto"/>
          <w:sz w:val="32"/>
          <w:szCs w:val="32"/>
          <w:highlight w:val="none"/>
          <w:lang w:eastAsia="zh-CN"/>
        </w:rPr>
        <w:t>城乡低保困难群众</w:t>
      </w:r>
      <w:r>
        <w:rPr>
          <w:rFonts w:hint="eastAsia" w:ascii="仿宋" w:hAnsi="仿宋" w:eastAsia="仿宋"/>
          <w:color w:val="auto"/>
          <w:sz w:val="32"/>
          <w:szCs w:val="32"/>
          <w:highlight w:val="none"/>
        </w:rPr>
        <w:t>发放基本生活补助。</w:t>
      </w:r>
    </w:p>
    <w:p>
      <w:pPr>
        <w:widowControl/>
        <w:numPr>
          <w:ilvl w:val="0"/>
          <w:numId w:val="2"/>
        </w:numPr>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工作活动(项目)的可行性、必要性、有效性及其论证过程。</w:t>
      </w:r>
    </w:p>
    <w:p>
      <w:pPr>
        <w:widowControl/>
        <w:numPr>
          <w:ilvl w:val="0"/>
          <w:numId w:val="0"/>
        </w:numPr>
        <w:ind w:firstLine="640" w:firstLineChars="200"/>
        <w:rPr>
          <w:rFonts w:ascii="仿宋" w:hAnsi="仿宋" w:eastAsia="仿宋" w:cs="宋体"/>
          <w:color w:val="000000"/>
          <w:kern w:val="0"/>
          <w:sz w:val="32"/>
          <w:szCs w:val="32"/>
        </w:rPr>
      </w:pPr>
      <w:r>
        <w:rPr>
          <w:rFonts w:hint="eastAsia" w:ascii="仿宋" w:hAnsi="仿宋" w:eastAsia="仿宋"/>
          <w:sz w:val="32"/>
          <w:szCs w:val="32"/>
        </w:rPr>
        <w:t>扎实开展城乡低保清理整顿和社会救助兜底保障。</w:t>
      </w:r>
      <w:r>
        <w:rPr>
          <w:rFonts w:hint="eastAsia" w:ascii="仿宋" w:hAnsi="仿宋" w:eastAsia="仿宋"/>
          <w:sz w:val="32"/>
          <w:szCs w:val="32"/>
          <w:lang w:eastAsia="zh-CN"/>
        </w:rPr>
        <w:t>2021</w:t>
      </w:r>
      <w:r>
        <w:rPr>
          <w:rFonts w:hint="eastAsia" w:ascii="仿宋" w:hAnsi="仿宋" w:eastAsia="仿宋"/>
          <w:sz w:val="32"/>
          <w:szCs w:val="32"/>
        </w:rPr>
        <w:t>年，我们对全县农村低保和社会保障兜底对象进了全面清理整顿和动态管理，各地严格执行政策，通过100%入户调查、100%民主评议、100%公开公示、100%家庭经济收入核对，全面实现以户为单位精准识别对象，做到了动态管理下的应保尽保、应兜尽兜。</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二、工作活动(项目)绩效目标和指标设定情况</w:t>
      </w:r>
    </w:p>
    <w:p>
      <w:pPr>
        <w:widowControl/>
        <w:rPr>
          <w:rFonts w:hint="eastAsia" w:ascii="仿宋" w:hAnsi="仿宋" w:eastAsia="仿宋" w:cs="宋体"/>
          <w:kern w:val="0"/>
          <w:sz w:val="32"/>
          <w:szCs w:val="32"/>
        </w:rPr>
      </w:pPr>
      <w:r>
        <w:rPr>
          <w:rFonts w:hint="eastAsia" w:ascii="仿宋" w:hAnsi="仿宋" w:eastAsia="仿宋" w:cs="宋体"/>
          <w:kern w:val="0"/>
          <w:sz w:val="32"/>
          <w:szCs w:val="32"/>
        </w:rPr>
        <w:t xml:space="preserve"> （一）工作活动(项目)总目标、年度目标设定情况。</w:t>
      </w:r>
    </w:p>
    <w:p>
      <w:pPr>
        <w:pStyle w:val="4"/>
        <w:shd w:val="clear" w:color="auto" w:fill="FFFFFF"/>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切实做好重点民生实事工作。保障标准逐步提高，救助资金发放及时到位，救助有效，各项社会救助制度逐步完善，救助申报及审批程序总体趋于公平、公正、公开，救助政策宣传及实施不断推进，低收入群体对政策知晓率逐步提高，对社会救助政策及项目满意度较高，困难群众得到及时帮助，困难群体的基本生活有一定的改善。</w:t>
      </w:r>
      <w:r>
        <w:rPr>
          <w:rFonts w:hint="eastAsia" w:ascii="仿宋" w:hAnsi="仿宋" w:eastAsia="仿宋"/>
          <w:sz w:val="32"/>
          <w:szCs w:val="32"/>
          <w:lang w:eastAsia="zh-CN"/>
        </w:rPr>
        <w:t>城乡低保</w:t>
      </w:r>
      <w:r>
        <w:rPr>
          <w:rFonts w:hint="eastAsia" w:ascii="仿宋" w:hAnsi="仿宋" w:eastAsia="仿宋"/>
          <w:sz w:val="32"/>
          <w:szCs w:val="32"/>
        </w:rPr>
        <w:t>基本生活救助为维护社会稳定、社会和谐发挥了积极作用，取得了较好的社会效益。</w:t>
      </w:r>
    </w:p>
    <w:p>
      <w:pPr>
        <w:widowControl/>
        <w:rPr>
          <w:rFonts w:hint="eastAsia" w:ascii="仿宋" w:hAnsi="仿宋" w:eastAsia="仿宋" w:cs="宋体"/>
          <w:kern w:val="0"/>
          <w:sz w:val="32"/>
          <w:szCs w:val="32"/>
        </w:rPr>
      </w:pPr>
    </w:p>
    <w:p>
      <w:pPr>
        <w:widowControl/>
        <w:rPr>
          <w:rFonts w:ascii="仿宋" w:hAnsi="仿宋" w:eastAsia="仿宋" w:cs="宋体"/>
          <w:kern w:val="0"/>
          <w:sz w:val="32"/>
          <w:szCs w:val="32"/>
        </w:rPr>
      </w:pPr>
      <w:r>
        <w:rPr>
          <w:rFonts w:hint="eastAsia" w:ascii="仿宋" w:hAnsi="仿宋" w:eastAsia="仿宋" w:cs="宋体"/>
          <w:kern w:val="0"/>
          <w:sz w:val="32"/>
          <w:szCs w:val="32"/>
        </w:rPr>
        <w:t xml:space="preserve"> （二）工作活动(项目)绩效指标设定情况。</w:t>
      </w:r>
    </w:p>
    <w:p>
      <w:pPr>
        <w:pStyle w:val="4"/>
        <w:spacing w:before="0" w:beforeAutospacing="0" w:after="0" w:afterAutospacing="0" w:line="480" w:lineRule="auto"/>
        <w:ind w:firstLine="640" w:firstLineChars="200"/>
        <w:rPr>
          <w:rFonts w:ascii="仿宋" w:hAnsi="仿宋" w:eastAsia="仿宋"/>
          <w:sz w:val="32"/>
          <w:szCs w:val="32"/>
        </w:rPr>
      </w:pPr>
      <w:r>
        <w:rPr>
          <w:rFonts w:hint="eastAsia" w:ascii="仿宋" w:hAnsi="仿宋" w:eastAsia="仿宋" w:cs="宋体"/>
          <w:kern w:val="0"/>
          <w:sz w:val="32"/>
          <w:szCs w:val="32"/>
        </w:rPr>
        <w:t xml:space="preserve"> </w:t>
      </w:r>
      <w:r>
        <w:rPr>
          <w:rFonts w:hint="eastAsia" w:ascii="仿宋" w:hAnsi="仿宋" w:eastAsia="仿宋"/>
          <w:sz w:val="32"/>
          <w:szCs w:val="32"/>
        </w:rPr>
        <w:t>我县在审核困难群众基本生活救助上，严格按照《巨鹿县最低生活保障审核实施办法》要求，按不低于30%的比例进行入户核实。工作中坚持两手抓。一手严格按照社会救助政策落实救助对象，严把入口关，规范审批程序，工作中全面落实应保尽保、应就尽救。二手抓错保，采取全面经济核查的方式杜绝错保、骗保现象发生。注重工作方法做细群众思想工作。对已申请困难群众基本生活救助未获批准的，结合调查情况和家庭经济状况核对情况，及时给予告知，说明未获批准的原因，及时化解矛盾。对家庭突发变故，导致生活陷入困境的，未纳入保障序列的对象，通过主动发现机制及时纳入救助范围。对基层干部执行政策上，我县严格执行低保经办人员近亲属备案，最大限度的防治“人情保”“关系保”“政策保”等现象发生。</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三、工作活动(项目)实施绩效管理情况及取得成绩</w:t>
      </w:r>
    </w:p>
    <w:p>
      <w:pPr>
        <w:widowControl/>
        <w:ind w:left="320"/>
        <w:rPr>
          <w:rFonts w:hint="eastAsia" w:ascii="仿宋" w:hAnsi="仿宋" w:eastAsia="仿宋" w:cs="宋体"/>
          <w:kern w:val="0"/>
          <w:sz w:val="32"/>
          <w:szCs w:val="32"/>
        </w:rPr>
      </w:pPr>
      <w:r>
        <w:rPr>
          <w:rFonts w:hint="eastAsia" w:ascii="仿宋" w:hAnsi="仿宋" w:eastAsia="仿宋" w:cs="宋体"/>
          <w:kern w:val="0"/>
          <w:sz w:val="32"/>
          <w:szCs w:val="32"/>
        </w:rPr>
        <w:t>（一）计划制定和落实情况。</w:t>
      </w:r>
    </w:p>
    <w:p>
      <w:pPr>
        <w:widowControl/>
        <w:ind w:left="320"/>
        <w:rPr>
          <w:rFonts w:ascii="黑体" w:hAnsi="黑体" w:eastAsia="黑体" w:cs="宋体"/>
          <w:b/>
          <w:bCs/>
          <w:kern w:val="0"/>
          <w:sz w:val="32"/>
          <w:szCs w:val="32"/>
        </w:rPr>
      </w:pPr>
      <w:r>
        <w:rPr>
          <w:rFonts w:hint="eastAsia" w:ascii="仿宋" w:hAnsi="仿宋" w:eastAsia="仿宋"/>
          <w:sz w:val="32"/>
          <w:szCs w:val="32"/>
        </w:rPr>
        <w:t>今年按照民政部及省民政厅的安排部署，我们继续扎实开展农村低保清理整顿回头看及城市低保动态调整工作，加强城乡低保对象的动态管理，特别是农村低保去年被清退的、提出申请未批准的、因病或因残或其他因临时困难返贫的支出型贫困家庭和建档立卡贫困家庭，我们将根据“两不愁、三保障”的目标要求，进行重点甄别，将符合条件的对象及时纳入低保或社会保障兜底。同时对于因病因残因教而造成支出型贫困的家庭也可申请纳入农村低保。</w:t>
      </w:r>
    </w:p>
    <w:p>
      <w:pPr>
        <w:pStyle w:val="4"/>
        <w:numPr>
          <w:ilvl w:val="0"/>
          <w:numId w:val="3"/>
        </w:numPr>
        <w:shd w:val="clear" w:color="auto" w:fill="FFFFFF"/>
        <w:spacing w:before="0" w:beforeAutospacing="0" w:after="0" w:afterAutospacing="0"/>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执行绩效监控情况。</w:t>
      </w:r>
    </w:p>
    <w:p>
      <w:pPr>
        <w:pStyle w:val="4"/>
        <w:numPr>
          <w:ilvl w:val="0"/>
          <w:numId w:val="0"/>
        </w:numPr>
        <w:shd w:val="clear" w:color="auto" w:fill="FFFFFF"/>
        <w:spacing w:before="0" w:beforeAutospacing="0" w:after="0" w:afterAutospacing="0"/>
        <w:ind w:firstLine="640" w:firstLineChars="200"/>
        <w:rPr>
          <w:rFonts w:ascii="仿宋" w:hAnsi="仿宋" w:eastAsia="仿宋"/>
          <w:sz w:val="32"/>
          <w:szCs w:val="32"/>
        </w:rPr>
      </w:pPr>
      <w:r>
        <w:rPr>
          <w:rFonts w:ascii="仿宋" w:hAnsi="仿宋" w:eastAsia="仿宋"/>
          <w:sz w:val="32"/>
          <w:szCs w:val="32"/>
        </w:rPr>
        <w:t>全面落实中央、省委省政府对困难群众基本生活救助政策要求，不断加大救助工作力度，提高救助管理活动水平。主要</w:t>
      </w:r>
      <w:r>
        <w:rPr>
          <w:rFonts w:hint="eastAsia" w:ascii="仿宋" w:hAnsi="仿宋" w:eastAsia="仿宋"/>
          <w:sz w:val="32"/>
          <w:szCs w:val="32"/>
        </w:rPr>
        <w:t>情况</w:t>
      </w:r>
      <w:r>
        <w:rPr>
          <w:rFonts w:ascii="仿宋" w:hAnsi="仿宋" w:eastAsia="仿宋"/>
          <w:sz w:val="32"/>
          <w:szCs w:val="32"/>
        </w:rPr>
        <w:t>是，农村低保指导标准在4400元基础上，逐年提高，</w:t>
      </w:r>
      <w:r>
        <w:rPr>
          <w:rFonts w:hint="eastAsia" w:ascii="仿宋" w:hAnsi="仿宋" w:eastAsia="仿宋"/>
          <w:sz w:val="32"/>
          <w:szCs w:val="32"/>
        </w:rPr>
        <w:t>今年为4836元，</w:t>
      </w:r>
      <w:r>
        <w:rPr>
          <w:rFonts w:hint="eastAsia" w:ascii="仿宋" w:hAnsi="仿宋" w:eastAsia="仿宋"/>
          <w:sz w:val="32"/>
          <w:szCs w:val="32"/>
          <w:lang w:eastAsia="zh-CN"/>
        </w:rPr>
        <w:t>城镇低保今年为</w:t>
      </w:r>
      <w:r>
        <w:rPr>
          <w:rFonts w:hint="eastAsia" w:ascii="仿宋" w:hAnsi="仿宋" w:eastAsia="仿宋"/>
          <w:sz w:val="32"/>
          <w:szCs w:val="32"/>
          <w:lang w:val="en-US" w:eastAsia="zh-CN"/>
        </w:rPr>
        <w:t>7560元，</w:t>
      </w:r>
      <w:r>
        <w:rPr>
          <w:rFonts w:ascii="仿宋" w:hAnsi="仿宋" w:eastAsia="仿宋"/>
          <w:sz w:val="32"/>
          <w:szCs w:val="32"/>
        </w:rPr>
        <w:t>确保到</w:t>
      </w:r>
      <w:r>
        <w:rPr>
          <w:rFonts w:hint="eastAsia" w:ascii="仿宋" w:hAnsi="仿宋" w:eastAsia="仿宋"/>
          <w:sz w:val="32"/>
          <w:szCs w:val="32"/>
          <w:lang w:eastAsia="zh-CN"/>
        </w:rPr>
        <w:t>2021</w:t>
      </w:r>
      <w:r>
        <w:rPr>
          <w:rFonts w:ascii="仿宋" w:hAnsi="仿宋" w:eastAsia="仿宋"/>
          <w:sz w:val="32"/>
          <w:szCs w:val="32"/>
        </w:rPr>
        <w:t>年我</w:t>
      </w:r>
      <w:r>
        <w:rPr>
          <w:rFonts w:hint="eastAsia" w:ascii="仿宋" w:hAnsi="仿宋" w:eastAsia="仿宋"/>
          <w:sz w:val="32"/>
          <w:szCs w:val="32"/>
        </w:rPr>
        <w:t>县</w:t>
      </w:r>
      <w:r>
        <w:rPr>
          <w:rFonts w:ascii="仿宋" w:hAnsi="仿宋" w:eastAsia="仿宋"/>
          <w:sz w:val="32"/>
          <w:szCs w:val="32"/>
        </w:rPr>
        <w:t>农村低保标准始终保持在国家扶贫标准以上。</w:t>
      </w:r>
    </w:p>
    <w:p>
      <w:pPr>
        <w:pStyle w:val="4"/>
        <w:numPr>
          <w:ilvl w:val="0"/>
          <w:numId w:val="3"/>
        </w:numPr>
        <w:spacing w:before="0" w:beforeAutospacing="0" w:after="0" w:afterAutospacing="0"/>
        <w:ind w:left="0" w:leftChars="0"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资金管理情况。</w:t>
      </w:r>
    </w:p>
    <w:p>
      <w:pPr>
        <w:pStyle w:val="4"/>
        <w:numPr>
          <w:ilvl w:val="0"/>
          <w:numId w:val="0"/>
        </w:numPr>
        <w:spacing w:before="0" w:beforeAutospacing="0" w:after="0" w:afterAutospacing="0"/>
        <w:ind w:leftChars="200" w:firstLine="640" w:firstLineChars="200"/>
        <w:rPr>
          <w:rFonts w:ascii="仿宋" w:hAnsi="仿宋" w:eastAsia="仿宋"/>
          <w:sz w:val="32"/>
          <w:szCs w:val="32"/>
        </w:rPr>
      </w:pPr>
      <w:r>
        <w:rPr>
          <w:rFonts w:hint="eastAsia" w:ascii="仿宋" w:hAnsi="仿宋" w:eastAsia="仿宋"/>
          <w:sz w:val="32"/>
          <w:szCs w:val="32"/>
        </w:rPr>
        <w:t>我局严格按照财务会计制度，相关项目补助资金没有挤占挪用和违规使用情况。将符合拨付条件的资金足额、及时发放到位。做到专款专用，确保资金安全。严格执行财政资金管理规章制度，从制度和机制上确</w:t>
      </w:r>
      <w:bookmarkStart w:id="0" w:name="_GoBack"/>
      <w:bookmarkEnd w:id="0"/>
      <w:r>
        <w:rPr>
          <w:rFonts w:hint="eastAsia" w:ascii="仿宋" w:hAnsi="仿宋" w:eastAsia="仿宋"/>
          <w:sz w:val="32"/>
          <w:szCs w:val="32"/>
        </w:rPr>
        <w:t>保财政专项补助资金安全运行。</w:t>
      </w:r>
    </w:p>
    <w:p>
      <w:pPr>
        <w:pStyle w:val="4"/>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line="420" w:lineRule="atLeast"/>
        <w:ind w:left="0" w:leftChars="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绩效管理制度建设及执行情况。</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line="420" w:lineRule="atLeast"/>
        <w:ind w:leftChars="20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加强绩效目标管理的推进工作。及时申报，提高对预算绩效管理重要性的认识，加强项目绩效管理人员培训工作，组织项目负责人、管理人员参加绩效工作培训，学习绩效工作的开展过程、绩效目标的设置等内容；强化绩效预算，认真填报用款计划及绩效目标，项目的指标设计应充分考虑实际情况，根据项目实际情况，设置合理的全面的绩效指标。</w:t>
      </w:r>
    </w:p>
    <w:p>
      <w:pPr>
        <w:widowControl/>
        <w:numPr>
          <w:ilvl w:val="0"/>
          <w:numId w:val="3"/>
        </w:numPr>
        <w:ind w:left="0" w:leftChars="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风险管理情况。</w:t>
      </w:r>
    </w:p>
    <w:p>
      <w:pPr>
        <w:widowControl/>
        <w:numPr>
          <w:ilvl w:val="0"/>
          <w:numId w:val="0"/>
        </w:numPr>
        <w:ind w:leftChars="20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规范执行，严把政策审核关口。进一步提高工作人员的业务能力和政策水平，不断增强服务意识，把日常管理和动态核查结合起来，掌握第一手资料，真正做到入户调查到位、审批办理有数。对个别打政策擦边球，扩大低保资金使用范围，不认真履行职责造成经济损失的，由相关部门进行问责和诫勉谈话，情节严重的依照有关法律法规追究其刑事责任。</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四、工作活动(项目)绩效自评情况</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（一）工作活动(项目)自评组织情况。</w:t>
      </w:r>
    </w:p>
    <w:p>
      <w:pPr>
        <w:pStyle w:val="4"/>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我局将该专项资金绩效自评结果作为以后年度预算申请、安排、分配的重要依据，并对发现的问题认真整改。</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（二）工作活动(项目)评价结果。</w:t>
      </w:r>
    </w:p>
    <w:p>
      <w:pPr>
        <w:pStyle w:val="4"/>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 xml:space="preserve"> ① 将符合条件人员全部纳入救助范围，无“漏保”现象。完成率100%。 ②保障城乡低保困难群众的基本生活，改善他们的生活状况。完成率100%。③为维护社会稳定，增进社会和谐起到了重要作用。完成率100%，④享受救助的群众对救助工作的满意率为100%，⑤依据群众满意度调查表，完成率99%。 </w:t>
      </w:r>
    </w:p>
    <w:p>
      <w:pPr>
        <w:widowControl/>
        <w:ind w:firstLine="312" w:firstLineChars="97"/>
        <w:rPr>
          <w:rFonts w:ascii="黑体" w:hAnsi="黑体" w:eastAsia="黑体" w:cs="宋体"/>
          <w:b/>
          <w:bCs/>
          <w:kern w:val="0"/>
          <w:sz w:val="32"/>
          <w:szCs w:val="32"/>
        </w:rPr>
      </w:pPr>
      <w:r>
        <w:rPr>
          <w:rFonts w:hint="eastAsia" w:ascii="黑体" w:hAnsi="黑体" w:eastAsia="黑体" w:cs="宋体"/>
          <w:b/>
          <w:bCs/>
          <w:kern w:val="0"/>
          <w:sz w:val="32"/>
          <w:szCs w:val="32"/>
        </w:rPr>
        <w:t>五、工作活动(项目)存在的问题、改进工作的意见及建议</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（一）工作活动(项目)实现绩效目标过程中存在的问题。</w:t>
      </w:r>
    </w:p>
    <w:p>
      <w:pPr>
        <w:widowControl/>
        <w:ind w:firstLine="320" w:firstLineChars="100"/>
        <w:rPr>
          <w:rFonts w:hint="eastAsia" w:ascii="仿宋" w:hAnsi="仿宋" w:eastAsia="仿宋"/>
          <w:sz w:val="32"/>
          <w:szCs w:val="32"/>
        </w:rPr>
      </w:pPr>
      <w:r>
        <w:rPr>
          <w:rFonts w:hint="eastAsia" w:ascii="仿宋" w:hAnsi="仿宋" w:eastAsia="仿宋"/>
          <w:sz w:val="32"/>
          <w:szCs w:val="32"/>
        </w:rPr>
        <w:t>我县民政局对该资金的使用和管理高度重视、精心组织，制定详细分配方案，合理安排资金；坚持应保尽保、应退尽退、精准纳保原则，不断完善工作机制，以公开促公平；加强政策宣传，提高政策知晓率，让困难群众惠及享受；加强督促检查，跟踪重点、焦点问题办理，确保项目完成。</w:t>
      </w:r>
    </w:p>
    <w:p>
      <w:pPr>
        <w:pStyle w:val="4"/>
        <w:keepNext w:val="0"/>
        <w:keepLines w:val="0"/>
        <w:widowControl/>
        <w:numPr>
          <w:ilvl w:val="0"/>
          <w:numId w:val="4"/>
        </w:numPr>
        <w:suppressLineNumbers w:val="0"/>
        <w:wordWrap w:val="0"/>
        <w:spacing w:before="0" w:beforeAutospacing="0" w:after="0" w:afterAutospacing="0"/>
        <w:ind w:left="270" w:right="0"/>
        <w:jc w:val="left"/>
        <w:rPr>
          <w:rFonts w:hint="eastAsia" w:ascii="仿宋" w:hAnsi="仿宋" w:eastAsia="仿宋" w:cstheme="minorBidi"/>
          <w:kern w:val="2"/>
          <w:sz w:val="32"/>
          <w:szCs w:val="32"/>
          <w:lang w:val="en-US" w:eastAsia="zh-CN" w:bidi="ar-SA"/>
        </w:rPr>
      </w:pPr>
      <w:r>
        <w:rPr>
          <w:rFonts w:hint="eastAsia" w:ascii="仿宋" w:hAnsi="仿宋" w:eastAsia="仿宋" w:cs="宋体"/>
          <w:color w:val="000000"/>
          <w:kern w:val="0"/>
          <w:sz w:val="32"/>
          <w:szCs w:val="32"/>
        </w:rPr>
        <w:t>工作活动(项目)实施</w:t>
      </w:r>
      <w:r>
        <w:rPr>
          <w:rFonts w:hint="eastAsia" w:ascii="仿宋" w:hAnsi="仿宋" w:eastAsia="仿宋" w:cstheme="minorBidi"/>
          <w:kern w:val="2"/>
          <w:sz w:val="32"/>
          <w:szCs w:val="32"/>
          <w:lang w:val="en-US" w:eastAsia="zh-CN" w:bidi="ar-SA"/>
        </w:rPr>
        <w:t>中改进意见及措施。</w:t>
      </w:r>
    </w:p>
    <w:p>
      <w:pPr>
        <w:pStyle w:val="4"/>
        <w:keepNext w:val="0"/>
        <w:keepLines w:val="0"/>
        <w:widowControl/>
        <w:numPr>
          <w:ilvl w:val="0"/>
          <w:numId w:val="0"/>
        </w:numPr>
        <w:suppressLineNumbers w:val="0"/>
        <w:wordWrap w:val="0"/>
        <w:spacing w:before="0" w:beforeAutospacing="0" w:after="0" w:afterAutospacing="0"/>
        <w:ind w:right="0" w:rightChars="0" w:firstLine="640" w:firstLineChars="200"/>
        <w:jc w:val="left"/>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充分调动基层经办人员积极主动性，加大对政策措施的宣传力度，加强各地区、各部门间数据比对，充分发挥“巨鹿县居民家庭经济状况核对平台”核查功能，做到精准施保、应保尽保。</w:t>
      </w:r>
    </w:p>
    <w:p>
      <w:pPr>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74EA3"/>
    <w:multiLevelType w:val="multilevel"/>
    <w:tmpl w:val="13874EA3"/>
    <w:lvl w:ilvl="0" w:tentative="0">
      <w:start w:val="1"/>
      <w:numFmt w:val="japaneseCounting"/>
      <w:lvlText w:val="%1、"/>
      <w:lvlJc w:val="left"/>
      <w:pPr>
        <w:ind w:left="1192" w:hanging="720"/>
      </w:pPr>
      <w:rPr>
        <w:rFonts w:hint="default"/>
      </w:rPr>
    </w:lvl>
    <w:lvl w:ilvl="1" w:tentative="0">
      <w:start w:val="1"/>
      <w:numFmt w:val="lowerLetter"/>
      <w:lvlText w:val="%2)"/>
      <w:lvlJc w:val="left"/>
      <w:pPr>
        <w:ind w:left="1312" w:hanging="420"/>
      </w:pPr>
    </w:lvl>
    <w:lvl w:ilvl="2" w:tentative="0">
      <w:start w:val="1"/>
      <w:numFmt w:val="lowerRoman"/>
      <w:lvlText w:val="%3."/>
      <w:lvlJc w:val="right"/>
      <w:pPr>
        <w:ind w:left="1732" w:hanging="420"/>
      </w:pPr>
    </w:lvl>
    <w:lvl w:ilvl="3" w:tentative="0">
      <w:start w:val="1"/>
      <w:numFmt w:val="decimal"/>
      <w:lvlText w:val="%4."/>
      <w:lvlJc w:val="left"/>
      <w:pPr>
        <w:ind w:left="2152" w:hanging="420"/>
      </w:pPr>
    </w:lvl>
    <w:lvl w:ilvl="4" w:tentative="0">
      <w:start w:val="1"/>
      <w:numFmt w:val="lowerLetter"/>
      <w:lvlText w:val="%5)"/>
      <w:lvlJc w:val="left"/>
      <w:pPr>
        <w:ind w:left="2572" w:hanging="420"/>
      </w:pPr>
    </w:lvl>
    <w:lvl w:ilvl="5" w:tentative="0">
      <w:start w:val="1"/>
      <w:numFmt w:val="lowerRoman"/>
      <w:lvlText w:val="%6."/>
      <w:lvlJc w:val="right"/>
      <w:pPr>
        <w:ind w:left="2992" w:hanging="420"/>
      </w:pPr>
    </w:lvl>
    <w:lvl w:ilvl="6" w:tentative="0">
      <w:start w:val="1"/>
      <w:numFmt w:val="decimal"/>
      <w:lvlText w:val="%7."/>
      <w:lvlJc w:val="left"/>
      <w:pPr>
        <w:ind w:left="3412" w:hanging="420"/>
      </w:pPr>
    </w:lvl>
    <w:lvl w:ilvl="7" w:tentative="0">
      <w:start w:val="1"/>
      <w:numFmt w:val="lowerLetter"/>
      <w:lvlText w:val="%8)"/>
      <w:lvlJc w:val="left"/>
      <w:pPr>
        <w:ind w:left="3832" w:hanging="420"/>
      </w:pPr>
    </w:lvl>
    <w:lvl w:ilvl="8" w:tentative="0">
      <w:start w:val="1"/>
      <w:numFmt w:val="lowerRoman"/>
      <w:lvlText w:val="%9."/>
      <w:lvlJc w:val="right"/>
      <w:pPr>
        <w:ind w:left="4252" w:hanging="420"/>
      </w:pPr>
    </w:lvl>
  </w:abstractNum>
  <w:abstractNum w:abstractNumId="1">
    <w:nsid w:val="23679567"/>
    <w:multiLevelType w:val="singleLevel"/>
    <w:tmpl w:val="23679567"/>
    <w:lvl w:ilvl="0" w:tentative="0">
      <w:start w:val="2"/>
      <w:numFmt w:val="decimal"/>
      <w:suff w:val="nothing"/>
      <w:lvlText w:val="%1、"/>
      <w:lvlJc w:val="left"/>
    </w:lvl>
  </w:abstractNum>
  <w:abstractNum w:abstractNumId="2">
    <w:nsid w:val="26A726E2"/>
    <w:multiLevelType w:val="singleLevel"/>
    <w:tmpl w:val="26A726E2"/>
    <w:lvl w:ilvl="0" w:tentative="0">
      <w:start w:val="2"/>
      <w:numFmt w:val="chineseCounting"/>
      <w:suff w:val="nothing"/>
      <w:lvlText w:val="（%1）"/>
      <w:lvlJc w:val="left"/>
      <w:rPr>
        <w:rFonts w:hint="eastAsia"/>
      </w:rPr>
    </w:lvl>
  </w:abstractNum>
  <w:abstractNum w:abstractNumId="3">
    <w:nsid w:val="7D3CF592"/>
    <w:multiLevelType w:val="singleLevel"/>
    <w:tmpl w:val="7D3CF592"/>
    <w:lvl w:ilvl="0" w:tentative="0">
      <w:start w:val="2"/>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7EA"/>
    <w:rsid w:val="000B6188"/>
    <w:rsid w:val="001D2EAA"/>
    <w:rsid w:val="002C71AF"/>
    <w:rsid w:val="0036746E"/>
    <w:rsid w:val="00476898"/>
    <w:rsid w:val="00584A12"/>
    <w:rsid w:val="00661BB7"/>
    <w:rsid w:val="006A012B"/>
    <w:rsid w:val="006C0284"/>
    <w:rsid w:val="00767F1C"/>
    <w:rsid w:val="007A1805"/>
    <w:rsid w:val="008E0144"/>
    <w:rsid w:val="00C047EA"/>
    <w:rsid w:val="00C569E2"/>
    <w:rsid w:val="00C91487"/>
    <w:rsid w:val="00CA444D"/>
    <w:rsid w:val="00FC3534"/>
    <w:rsid w:val="00FE09BC"/>
    <w:rsid w:val="031155FF"/>
    <w:rsid w:val="255566F0"/>
    <w:rsid w:val="285E2CB3"/>
    <w:rsid w:val="5CFD38CE"/>
    <w:rsid w:val="6F353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qFormat="1"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semiHidden/>
    <w:unhideWhenUsed/>
    <w:qFormat/>
    <w:uiPriority w:val="99"/>
    <w:pPr>
      <w:tabs>
        <w:tab w:val="center" w:pos="4153"/>
        <w:tab w:val="right" w:pos="8306"/>
      </w:tabs>
      <w:snapToGrid w:val="0"/>
      <w:jc w:val="left"/>
    </w:pPr>
    <w:rPr>
      <w:sz w:val="18"/>
      <w:szCs w:val="18"/>
    </w:rPr>
  </w:style>
  <w:style w:type="paragraph" w:styleId="3">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FollowedHyperlink"/>
    <w:basedOn w:val="5"/>
    <w:semiHidden/>
    <w:unhideWhenUsed/>
    <w:qFormat/>
    <w:uiPriority w:val="99"/>
    <w:rPr>
      <w:color w:val="333333"/>
      <w:u w:val="none"/>
    </w:rPr>
  </w:style>
  <w:style w:type="character" w:styleId="7">
    <w:name w:val="Emphasis"/>
    <w:basedOn w:val="5"/>
    <w:qFormat/>
    <w:uiPriority w:val="20"/>
  </w:style>
  <w:style w:type="character" w:styleId="8">
    <w:name w:val="HTML Acronym"/>
    <w:basedOn w:val="5"/>
    <w:semiHidden/>
    <w:unhideWhenUsed/>
    <w:qFormat/>
    <w:uiPriority w:val="99"/>
  </w:style>
  <w:style w:type="character" w:styleId="9">
    <w:name w:val="Hyperlink"/>
    <w:basedOn w:val="5"/>
    <w:semiHidden/>
    <w:unhideWhenUsed/>
    <w:qFormat/>
    <w:uiPriority w:val="99"/>
    <w:rPr>
      <w:color w:val="333333"/>
      <w:u w:val="none"/>
    </w:rPr>
  </w:style>
  <w:style w:type="character" w:styleId="10">
    <w:name w:val="HTML Code"/>
    <w:basedOn w:val="5"/>
    <w:semiHidden/>
    <w:unhideWhenUsed/>
    <w:qFormat/>
    <w:uiPriority w:val="99"/>
    <w:rPr>
      <w:rFonts w:ascii="Courier New" w:hAnsi="Courier New"/>
      <w:sz w:val="20"/>
    </w:rPr>
  </w:style>
  <w:style w:type="character" w:customStyle="1" w:styleId="12">
    <w:name w:val="页眉 Char"/>
    <w:basedOn w:val="5"/>
    <w:link w:val="3"/>
    <w:semiHidden/>
    <w:qFormat/>
    <w:uiPriority w:val="99"/>
    <w:rPr>
      <w:sz w:val="18"/>
      <w:szCs w:val="18"/>
    </w:rPr>
  </w:style>
  <w:style w:type="character" w:customStyle="1" w:styleId="13">
    <w:name w:val="页脚 Char"/>
    <w:basedOn w:val="5"/>
    <w:link w:val="2"/>
    <w:semiHidden/>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bsharetext"/>
    <w:basedOn w:val="5"/>
    <w:qFormat/>
    <w:uiPriority w:val="0"/>
  </w:style>
  <w:style w:type="character" w:customStyle="1" w:styleId="16">
    <w:name w:val="zwxxgk_bnt5"/>
    <w:basedOn w:val="5"/>
    <w:qFormat/>
    <w:uiPriority w:val="0"/>
  </w:style>
  <w:style w:type="character" w:customStyle="1" w:styleId="17">
    <w:name w:val="zwxxgk_bnt51"/>
    <w:basedOn w:val="5"/>
    <w:qFormat/>
    <w:uiPriority w:val="0"/>
  </w:style>
  <w:style w:type="character" w:customStyle="1" w:styleId="18">
    <w:name w:val="zwxxgk_bnt52"/>
    <w:basedOn w:val="5"/>
    <w:qFormat/>
    <w:uiPriority w:val="0"/>
  </w:style>
  <w:style w:type="character" w:customStyle="1" w:styleId="19">
    <w:name w:val="zwxxgk_bnt6"/>
    <w:basedOn w:val="5"/>
    <w:qFormat/>
    <w:uiPriority w:val="0"/>
  </w:style>
  <w:style w:type="character" w:customStyle="1" w:styleId="20">
    <w:name w:val="zwxxgk_bnt61"/>
    <w:basedOn w:val="5"/>
    <w:qFormat/>
    <w:uiPriority w:val="0"/>
  </w:style>
  <w:style w:type="character" w:customStyle="1" w:styleId="21">
    <w:name w:val="zwxxgk_bnt62"/>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95</Words>
  <Characters>543</Characters>
  <Lines>4</Lines>
  <Paragraphs>1</Paragraphs>
  <TotalTime>3</TotalTime>
  <ScaleCrop>false</ScaleCrop>
  <LinksUpToDate>false</LinksUpToDate>
  <CharactersWithSpaces>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2022-03-02T02:51:00Z</dcterms:created>
  <dc:creator>lenovo</dc:creator>
  <cp:lastModifiedBy>Administrator</cp:lastModifiedBy>
  <cp:lastPrinted>2022-03-03T03:27:00Z</cp:lastPrinted>
  <dcterms:modified xsi:type="dcterms:W3CDTF">2022-04-22T07:15:00Z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