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jc w:val="left"/>
        <w:rPr>
          <w:rFonts w:ascii="仿宋" w:hAnsi="仿宋" w:eastAsia="仿宋" w:cs="仿宋"/>
          <w:kern w:val="0"/>
          <w:sz w:val="32"/>
          <w:szCs w:val="32"/>
          <w:shd w:val="clear" w:color="auto" w:fill="FFFFFF"/>
        </w:rPr>
      </w:pPr>
      <w:r>
        <w:rPr>
          <w:rFonts w:hint="eastAsia" w:ascii="仿宋" w:hAnsi="仿宋" w:eastAsia="仿宋" w:cs="仿宋"/>
          <w:kern w:val="0"/>
          <w:sz w:val="32"/>
          <w:szCs w:val="32"/>
          <w:shd w:val="clear" w:color="auto" w:fill="FFFFFF"/>
        </w:rPr>
        <w:t xml:space="preserve"> </w:t>
      </w:r>
    </w:p>
    <w:p>
      <w:pPr>
        <w:spacing w:line="480" w:lineRule="exact"/>
        <w:jc w:val="center"/>
        <w:rPr>
          <w:rFonts w:ascii="宋体" w:hAnsi="宋体" w:eastAsia="宋体" w:cs="宋体"/>
          <w:b/>
          <w:color w:val="000000"/>
          <w:kern w:val="0"/>
          <w:sz w:val="44"/>
          <w:szCs w:val="44"/>
          <w:shd w:val="clear" w:color="auto" w:fill="FFFFFF"/>
        </w:rPr>
      </w:pPr>
      <w:r>
        <w:rPr>
          <w:rFonts w:hint="eastAsia" w:ascii="宋体" w:hAnsi="宋体"/>
          <w:b/>
          <w:sz w:val="44"/>
          <w:szCs w:val="44"/>
          <w:lang w:eastAsia="zh-CN"/>
        </w:rPr>
        <w:t>巨鹿</w:t>
      </w:r>
      <w:r>
        <w:rPr>
          <w:rFonts w:hint="eastAsia" w:ascii="宋体" w:hAnsi="宋体"/>
          <w:b/>
          <w:sz w:val="44"/>
          <w:szCs w:val="44"/>
        </w:rPr>
        <w:t>县</w:t>
      </w:r>
      <w:r>
        <w:rPr>
          <w:rFonts w:hint="eastAsia" w:ascii="宋体" w:hAnsi="宋体"/>
          <w:b/>
          <w:sz w:val="44"/>
          <w:szCs w:val="44"/>
          <w:lang w:val="en-US" w:eastAsia="zh-CN"/>
        </w:rPr>
        <w:t xml:space="preserve">交通运输局                                     </w:t>
      </w:r>
      <w:r>
        <w:rPr>
          <w:rFonts w:hint="eastAsia" w:ascii="宋体" w:hAnsi="宋体"/>
          <w:b/>
          <w:sz w:val="44"/>
          <w:szCs w:val="44"/>
        </w:rPr>
        <w:t>2021年部门整体支出绩效评价</w:t>
      </w:r>
      <w:r>
        <w:rPr>
          <w:rFonts w:hint="eastAsia" w:ascii="宋体" w:hAnsi="宋体" w:eastAsia="宋体" w:cs="宋体"/>
          <w:b/>
          <w:color w:val="000000"/>
          <w:kern w:val="0"/>
          <w:sz w:val="44"/>
          <w:szCs w:val="44"/>
          <w:shd w:val="clear" w:color="auto" w:fill="FFFFFF"/>
        </w:rPr>
        <w:t>指标体系评分表</w:t>
      </w:r>
    </w:p>
    <w:p>
      <w:pPr>
        <w:spacing w:line="480" w:lineRule="exact"/>
        <w:jc w:val="left"/>
        <w:rPr>
          <w:rFonts w:ascii="仿宋" w:hAnsi="仿宋" w:eastAsia="仿宋" w:cs="仿宋"/>
          <w:sz w:val="24"/>
          <w:szCs w:val="24"/>
        </w:rPr>
      </w:pPr>
      <w:r>
        <w:rPr>
          <w:rFonts w:hint="eastAsia" w:ascii="仿宋" w:hAnsi="仿宋" w:eastAsia="仿宋" w:cs="仿宋"/>
          <w:sz w:val="24"/>
          <w:szCs w:val="24"/>
        </w:rPr>
        <w:t xml:space="preserve">单位名称:        (公章)         单位负责人:          </w:t>
      </w:r>
    </w:p>
    <w:tbl>
      <w:tblPr>
        <w:tblStyle w:val="17"/>
        <w:tblW w:w="960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851"/>
        <w:gridCol w:w="1559"/>
        <w:gridCol w:w="3260"/>
        <w:gridCol w:w="2552"/>
        <w:gridCol w:w="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39" w:hRule="atLeast"/>
        </w:trPr>
        <w:tc>
          <w:tcPr>
            <w:tcW w:w="817"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b/>
              </w:rPr>
            </w:pPr>
            <w:r>
              <w:rPr>
                <w:rFonts w:ascii="仿宋_GB2312" w:hAnsi="新宋体" w:eastAsia="仿宋_GB2312" w:cs="仿宋_GB2312"/>
                <w:b/>
                <w:kern w:val="0"/>
                <w:sz w:val="24"/>
                <w:szCs w:val="24"/>
              </w:rPr>
              <w:t>一级指标</w:t>
            </w: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b/>
              </w:rPr>
            </w:pPr>
            <w:r>
              <w:rPr>
                <w:rFonts w:ascii="仿宋_GB2312" w:hAnsi="新宋体" w:eastAsia="仿宋_GB2312" w:cs="仿宋_GB2312"/>
                <w:b/>
                <w:kern w:val="0"/>
                <w:sz w:val="24"/>
                <w:szCs w:val="24"/>
              </w:rPr>
              <w:t>二级指标</w:t>
            </w:r>
          </w:p>
        </w:tc>
        <w:tc>
          <w:tcPr>
            <w:tcW w:w="4819"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rPr>
              <w:t>三级指标</w:t>
            </w:r>
          </w:p>
        </w:tc>
        <w:tc>
          <w:tcPr>
            <w:tcW w:w="2552" w:type="dxa"/>
            <w:vMerge w:val="restart"/>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rPr>
              <w:t>评分标准</w:t>
            </w:r>
          </w:p>
        </w:tc>
        <w:tc>
          <w:tcPr>
            <w:tcW w:w="567" w:type="dxa"/>
            <w:vMerge w:val="restart"/>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b/>
              </w:rPr>
            </w:pPr>
            <w:r>
              <w:rPr>
                <w:rFonts w:ascii="仿宋_GB2312" w:hAnsi="新宋体" w:eastAsia="仿宋_GB2312" w:cs="仿宋_GB2312"/>
                <w:b/>
                <w:kern w:val="0"/>
                <w:sz w:val="24"/>
                <w:szCs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4"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rPr>
              <w:t>指标名称</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rPr>
              <w:t>指标解释说明</w:t>
            </w:r>
          </w:p>
        </w:tc>
        <w:tc>
          <w:tcPr>
            <w:tcW w:w="2552" w:type="dxa"/>
            <w:vMerge w:val="continue"/>
            <w:tcBorders>
              <w:top w:val="single" w:color="000000" w:sz="4" w:space="0"/>
              <w:left w:val="single" w:color="auto" w:sz="4" w:space="0"/>
              <w:bottom w:val="single" w:color="000000" w:sz="4" w:space="0"/>
              <w:right w:val="single" w:color="auto" w:sz="4" w:space="0"/>
            </w:tcBorders>
            <w:vAlign w:val="center"/>
          </w:tcPr>
          <w:p>
            <w:pPr>
              <w:rPr>
                <w:rFonts w:ascii="宋体"/>
                <w:szCs w:val="21"/>
              </w:rPr>
            </w:pPr>
          </w:p>
        </w:tc>
        <w:tc>
          <w:tcPr>
            <w:tcW w:w="567" w:type="dxa"/>
            <w:vMerge w:val="continue"/>
            <w:tcBorders>
              <w:top w:val="single" w:color="000000" w:sz="4" w:space="0"/>
              <w:left w:val="single" w:color="auto" w:sz="4" w:space="0"/>
              <w:bottom w:val="single" w:color="000000" w:sz="4" w:space="0"/>
              <w:right w:val="single" w:color="auto" w:sz="4" w:space="0"/>
            </w:tcBorders>
            <w:vAlign w:val="center"/>
          </w:tcPr>
          <w:p>
            <w:pPr>
              <w:rPr>
                <w:rFonts w:asci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7" w:hRule="atLeast"/>
        </w:trPr>
        <w:tc>
          <w:tcPr>
            <w:tcW w:w="9039" w:type="dxa"/>
            <w:gridSpan w:val="5"/>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center"/>
              <w:rPr>
                <w:rFonts w:ascii="仿宋_GB2312" w:hAnsi="新宋体" w:eastAsia="仿宋_GB2312" w:cs="仿宋_GB2312"/>
                <w:b/>
                <w:kern w:val="0"/>
                <w:sz w:val="24"/>
                <w:szCs w:val="24"/>
              </w:rPr>
            </w:pPr>
            <w:r>
              <w:rPr>
                <w:rFonts w:hint="eastAsia" w:ascii="仿宋_GB2312" w:hAnsi="新宋体" w:eastAsia="仿宋_GB2312" w:cs="仿宋_GB2312"/>
                <w:b/>
                <w:kern w:val="0"/>
                <w:sz w:val="24"/>
                <w:szCs w:val="24"/>
              </w:rPr>
              <w:t>自评总分</w:t>
            </w:r>
          </w:p>
        </w:tc>
        <w:tc>
          <w:tcPr>
            <w:tcW w:w="567"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default" w:eastAsiaTheme="minorEastAsia"/>
                <w:szCs w:val="21"/>
                <w:lang w:val="en-US" w:eastAsia="zh-CN"/>
              </w:rPr>
            </w:pPr>
            <w:r>
              <w:rPr>
                <w:rFonts w:hint="eastAsia"/>
                <w:szCs w:val="21"/>
                <w:lang w:val="en-US" w:eastAsia="zh-CN"/>
              </w:rPr>
              <w:t>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29" w:hRule="atLeast"/>
        </w:trPr>
        <w:tc>
          <w:tcPr>
            <w:tcW w:w="817"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bookmarkStart w:id="0" w:name="_GoBack"/>
            <w:r>
              <w:rPr>
                <w:rFonts w:ascii="仿宋_GB2312" w:hAnsi="新宋体" w:eastAsia="仿宋_GB2312" w:cs="仿宋_GB2312"/>
                <w:kern w:val="0"/>
                <w:szCs w:val="21"/>
              </w:rPr>
              <w:t>投入（1</w:t>
            </w:r>
            <w:r>
              <w:rPr>
                <w:rFonts w:hint="eastAsia" w:ascii="仿宋_GB2312" w:hAnsi="新宋体" w:eastAsia="仿宋_GB2312" w:cs="仿宋_GB2312"/>
                <w:kern w:val="0"/>
                <w:szCs w:val="21"/>
              </w:rPr>
              <w:t>0分</w:t>
            </w:r>
            <w:r>
              <w:rPr>
                <w:rFonts w:ascii="仿宋_GB2312" w:hAnsi="新宋体" w:eastAsia="仿宋_GB2312" w:cs="仿宋_GB2312"/>
                <w:kern w:val="0"/>
                <w:szCs w:val="21"/>
              </w:rPr>
              <w:t>）</w:t>
            </w: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r>
              <w:rPr>
                <w:rFonts w:hint="eastAsia" w:ascii="仿宋_GB2312" w:hAnsi="新宋体" w:eastAsia="仿宋_GB2312" w:cs="仿宋_GB2312"/>
                <w:kern w:val="0"/>
                <w:szCs w:val="21"/>
              </w:rPr>
              <w:t>绩效</w:t>
            </w:r>
            <w:r>
              <w:rPr>
                <w:rFonts w:ascii="仿宋_GB2312" w:hAnsi="新宋体" w:eastAsia="仿宋_GB2312" w:cs="仿宋_GB2312"/>
                <w:kern w:val="0"/>
                <w:szCs w:val="21"/>
              </w:rPr>
              <w:t>目标设定</w:t>
            </w:r>
            <w:r>
              <w:rPr>
                <w:rFonts w:hint="eastAsia" w:ascii="仿宋_GB2312" w:hAnsi="新宋体" w:eastAsia="仿宋_GB2312" w:cs="仿宋_GB2312"/>
                <w:kern w:val="0"/>
                <w:szCs w:val="21"/>
              </w:rPr>
              <w:t>情</w:t>
            </w:r>
          </w:p>
          <w:p>
            <w:pPr>
              <w:widowControl/>
              <w:spacing w:line="240" w:lineRule="exact"/>
              <w:jc w:val="left"/>
              <w:rPr>
                <w:sz w:val="18"/>
                <w:szCs w:val="18"/>
              </w:rPr>
            </w:pPr>
            <w:r>
              <w:rPr>
                <w:rFonts w:ascii="仿宋_GB2312" w:hAnsi="新宋体" w:eastAsia="仿宋_GB2312" w:cs="仿宋_GB2312"/>
                <w:kern w:val="0"/>
                <w:sz w:val="18"/>
                <w:szCs w:val="18"/>
              </w:rPr>
              <w:t>（</w:t>
            </w:r>
            <w:r>
              <w:rPr>
                <w:rFonts w:hint="eastAsia" w:ascii="仿宋_GB2312" w:hAnsi="新宋体" w:eastAsia="仿宋_GB2312" w:cs="仿宋_GB2312"/>
                <w:kern w:val="0"/>
                <w:sz w:val="18"/>
                <w:szCs w:val="18"/>
              </w:rPr>
              <w:t>5分</w:t>
            </w:r>
            <w:r>
              <w:rPr>
                <w:rFonts w:ascii="仿宋_GB2312" w:hAnsi="新宋体" w:eastAsia="仿宋_GB2312" w:cs="仿宋_GB2312"/>
                <w:kern w:val="0"/>
                <w:sz w:val="18"/>
                <w:szCs w:val="18"/>
              </w:rPr>
              <w:t>）</w:t>
            </w:r>
          </w:p>
        </w:tc>
        <w:tc>
          <w:tcPr>
            <w:tcW w:w="1559"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p>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职责明确</w:t>
            </w:r>
          </w:p>
          <w:p>
            <w:pPr>
              <w:widowControl/>
              <w:spacing w:line="240" w:lineRule="exact"/>
              <w:jc w:val="left"/>
              <w:rPr>
                <w:szCs w:val="21"/>
              </w:rPr>
            </w:pPr>
            <w:r>
              <w:rPr>
                <w:rFonts w:ascii="仿宋_GB2312" w:hAnsi="新宋体" w:eastAsia="仿宋_GB2312" w:cs="仿宋_GB2312"/>
                <w:kern w:val="0"/>
                <w:szCs w:val="21"/>
              </w:rPr>
              <w:t>（1</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部门的职责设定是否符合“三定”方案中所赋予的职责，用以反映和评价部门工作的目的性与计划性。</w:t>
            </w:r>
          </w:p>
        </w:tc>
        <w:tc>
          <w:tcPr>
            <w:tcW w:w="2552"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符合（1）；</w:t>
            </w:r>
          </w:p>
          <w:p>
            <w:pPr>
              <w:widowControl/>
              <w:spacing w:line="240" w:lineRule="exact"/>
              <w:jc w:val="left"/>
              <w:rPr>
                <w:szCs w:val="21"/>
              </w:rPr>
            </w:pPr>
            <w:r>
              <w:rPr>
                <w:rFonts w:ascii="仿宋_GB2312" w:hAnsi="新宋体" w:eastAsia="仿宋_GB2312" w:cs="仿宋_GB2312"/>
                <w:kern w:val="0"/>
                <w:szCs w:val="21"/>
              </w:rPr>
              <w:t>不符合（0）。</w:t>
            </w:r>
          </w:p>
        </w:tc>
        <w:tc>
          <w:tcPr>
            <w:tcW w:w="567"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35"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559"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活动合规性</w:t>
            </w:r>
          </w:p>
          <w:p>
            <w:pPr>
              <w:widowControl/>
              <w:spacing w:line="240" w:lineRule="exact"/>
              <w:jc w:val="left"/>
              <w:rPr>
                <w:szCs w:val="21"/>
              </w:rPr>
            </w:pPr>
            <w:r>
              <w:rPr>
                <w:rFonts w:ascii="仿宋_GB2312" w:hAnsi="新宋体" w:eastAsia="仿宋_GB2312" w:cs="仿宋_GB2312"/>
                <w:kern w:val="0"/>
                <w:szCs w:val="21"/>
              </w:rPr>
              <w:t>（2</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部门的活动是否在职责范围之内并符合部门中长期规划，用以反映和评价部门活动目标与部门履职、年度工作任务的相符性情况。</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1.部门活动的设定在部门所确定的职责范围之内；</w:t>
            </w:r>
          </w:p>
          <w:p>
            <w:pPr>
              <w:widowControl/>
              <w:spacing w:line="240" w:lineRule="exact"/>
              <w:jc w:val="left"/>
              <w:rPr>
                <w:szCs w:val="21"/>
              </w:rPr>
            </w:pPr>
            <w:r>
              <w:rPr>
                <w:rFonts w:ascii="仿宋_GB2312" w:hAnsi="新宋体" w:eastAsia="仿宋_GB2312" w:cs="仿宋_GB2312"/>
                <w:kern w:val="0"/>
                <w:szCs w:val="21"/>
              </w:rPr>
              <w:t>2.部门活动符合</w:t>
            </w:r>
            <w:r>
              <w:rPr>
                <w:rFonts w:hint="eastAsia" w:ascii="仿宋_GB2312" w:hAnsi="新宋体" w:eastAsia="仿宋_GB2312" w:cs="仿宋_GB2312"/>
                <w:kern w:val="0"/>
                <w:szCs w:val="21"/>
              </w:rPr>
              <w:t>市</w:t>
            </w:r>
            <w:r>
              <w:rPr>
                <w:rFonts w:ascii="仿宋_GB2312" w:hAnsi="新宋体" w:eastAsia="仿宋_GB2312" w:cs="仿宋_GB2312"/>
                <w:kern w:val="0"/>
                <w:szCs w:val="21"/>
              </w:rPr>
              <w:t>委、</w:t>
            </w:r>
            <w:r>
              <w:rPr>
                <w:rFonts w:hint="eastAsia" w:ascii="仿宋_GB2312" w:hAnsi="新宋体" w:eastAsia="仿宋_GB2312" w:cs="仿宋_GB2312"/>
                <w:kern w:val="0"/>
                <w:szCs w:val="21"/>
              </w:rPr>
              <w:t>市</w:t>
            </w:r>
            <w:r>
              <w:rPr>
                <w:rFonts w:ascii="仿宋_GB2312" w:hAnsi="新宋体" w:eastAsia="仿宋_GB2312" w:cs="仿宋_GB2312"/>
                <w:kern w:val="0"/>
                <w:szCs w:val="21"/>
              </w:rPr>
              <w:t>政府的发展规划及本部门的年度工作安排与发展规划。</w:t>
            </w:r>
          </w:p>
        </w:tc>
        <w:tc>
          <w:tcPr>
            <w:tcW w:w="2552"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全部符合（2）；</w:t>
            </w:r>
          </w:p>
          <w:p>
            <w:pPr>
              <w:widowControl/>
              <w:spacing w:line="240" w:lineRule="exact"/>
              <w:jc w:val="left"/>
              <w:rPr>
                <w:szCs w:val="21"/>
              </w:rPr>
            </w:pPr>
            <w:r>
              <w:rPr>
                <w:rFonts w:ascii="仿宋_GB2312" w:hAnsi="新宋体" w:eastAsia="仿宋_GB2312" w:cs="仿宋_GB2312"/>
                <w:kern w:val="0"/>
                <w:szCs w:val="21"/>
              </w:rPr>
              <w:t>其中一项不符合（0）。</w:t>
            </w:r>
          </w:p>
        </w:tc>
        <w:tc>
          <w:tcPr>
            <w:tcW w:w="567"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2</w:t>
            </w:r>
          </w:p>
        </w:tc>
      </w:tr>
      <w:bookmarkEnd w:id="0"/>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4"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559"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活动合理性</w:t>
            </w:r>
          </w:p>
          <w:p>
            <w:pPr>
              <w:widowControl/>
              <w:spacing w:line="240" w:lineRule="exact"/>
              <w:jc w:val="left"/>
              <w:rPr>
                <w:szCs w:val="21"/>
              </w:rPr>
            </w:pPr>
            <w:r>
              <w:rPr>
                <w:rFonts w:ascii="仿宋_GB2312" w:hAnsi="新宋体" w:eastAsia="仿宋_GB2312" w:cs="仿宋_GB2312"/>
                <w:kern w:val="0"/>
                <w:szCs w:val="21"/>
              </w:rPr>
              <w:t>（2</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部门所设立的活动是否明确合理、活动的关键性指标设置是否可衡量，用以反映和评价部门活动目标设定的合理性。</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1.活动目标的设定是可量化的，可通过清晰、可衡量的关键指标值予以体现；</w:t>
            </w:r>
          </w:p>
          <w:p>
            <w:pPr>
              <w:widowControl/>
              <w:spacing w:line="240" w:lineRule="exact"/>
              <w:jc w:val="left"/>
              <w:rPr>
                <w:szCs w:val="21"/>
              </w:rPr>
            </w:pPr>
            <w:r>
              <w:rPr>
                <w:rFonts w:ascii="仿宋_GB2312" w:hAnsi="新宋体" w:eastAsia="仿宋_GB2312" w:cs="仿宋_GB2312"/>
                <w:kern w:val="0"/>
                <w:szCs w:val="21"/>
              </w:rPr>
              <w:t>2.在活动目标设定时，将关键指标明细分解为具体的达成目标与工作任务。</w:t>
            </w:r>
          </w:p>
        </w:tc>
        <w:tc>
          <w:tcPr>
            <w:tcW w:w="2552"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全部符合（2）；</w:t>
            </w:r>
          </w:p>
          <w:p>
            <w:pPr>
              <w:widowControl/>
              <w:spacing w:line="240" w:lineRule="exact"/>
              <w:jc w:val="left"/>
              <w:rPr>
                <w:szCs w:val="21"/>
              </w:rPr>
            </w:pPr>
            <w:r>
              <w:rPr>
                <w:rFonts w:ascii="仿宋_GB2312" w:hAnsi="新宋体" w:eastAsia="仿宋_GB2312" w:cs="仿宋_GB2312"/>
                <w:kern w:val="0"/>
                <w:szCs w:val="21"/>
              </w:rPr>
              <w:t>其中一项不符合（0）。</w:t>
            </w:r>
          </w:p>
        </w:tc>
        <w:tc>
          <w:tcPr>
            <w:tcW w:w="567"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51"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restart"/>
            <w:tcBorders>
              <w:top w:val="single" w:color="000000" w:sz="4" w:space="0"/>
              <w:left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预算配置</w:t>
            </w:r>
            <w:r>
              <w:rPr>
                <w:rFonts w:hint="eastAsia" w:ascii="仿宋_GB2312" w:hAnsi="新宋体" w:eastAsia="仿宋_GB2312" w:cs="仿宋_GB2312"/>
                <w:kern w:val="0"/>
                <w:szCs w:val="21"/>
              </w:rPr>
              <w:t>情况</w:t>
            </w:r>
            <w:r>
              <w:rPr>
                <w:rFonts w:ascii="仿宋_GB2312" w:hAnsi="新宋体" w:eastAsia="仿宋_GB2312" w:cs="仿宋_GB2312"/>
                <w:kern w:val="0"/>
                <w:szCs w:val="21"/>
              </w:rPr>
              <w:t>(</w:t>
            </w:r>
            <w:r>
              <w:rPr>
                <w:rFonts w:hint="eastAsia" w:ascii="仿宋_GB2312" w:hAnsi="新宋体" w:eastAsia="仿宋_GB2312" w:cs="仿宋_GB2312"/>
                <w:kern w:val="0"/>
                <w:szCs w:val="21"/>
              </w:rPr>
              <w:t>5分</w:t>
            </w:r>
            <w:r>
              <w:rPr>
                <w:rFonts w:ascii="仿宋_GB2312" w:hAnsi="新宋体" w:eastAsia="仿宋_GB2312" w:cs="仿宋_GB2312"/>
                <w:kern w:val="0"/>
                <w:szCs w:val="21"/>
              </w:rPr>
              <w:t>)</w:t>
            </w:r>
          </w:p>
        </w:tc>
        <w:tc>
          <w:tcPr>
            <w:tcW w:w="1559" w:type="dxa"/>
            <w:tcBorders>
              <w:top w:val="single" w:color="auto" w:sz="4" w:space="0"/>
              <w:left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在职人员控制率（</w:t>
            </w:r>
            <w:r>
              <w:rPr>
                <w:rFonts w:hint="eastAsia" w:ascii="仿宋_GB2312" w:hAnsi="新宋体" w:eastAsia="仿宋_GB2312" w:cs="仿宋_GB2312"/>
                <w:kern w:val="0"/>
                <w:szCs w:val="21"/>
              </w:rPr>
              <w:t>1分</w:t>
            </w:r>
            <w:r>
              <w:rPr>
                <w:rFonts w:ascii="仿宋_GB2312" w:hAnsi="新宋体" w:eastAsia="仿宋_GB2312" w:cs="仿宋_GB2312"/>
                <w:kern w:val="0"/>
                <w:szCs w:val="21"/>
              </w:rPr>
              <w:t>）</w:t>
            </w:r>
          </w:p>
        </w:tc>
        <w:tc>
          <w:tcPr>
            <w:tcW w:w="3260"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部门本年度实际在职人员数与编制数的比率，用以反映和评价部门对人员成本的控制程度。</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在职人员控制率=（在职人员数/编制数）×100%。</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在职人员数：部门实际在职人数，以财政部确定的部门决算编制口径为准，由编制部门和人劳部门批复同意的临聘人员除外。</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编制数：机构编制部门核定批复的部门人员编制数。</w:t>
            </w:r>
          </w:p>
        </w:tc>
        <w:tc>
          <w:tcPr>
            <w:tcW w:w="2552"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1.在职人员控制率小于或等于100%的，得满分；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2.在职人员控制率大于或等于115%的，得0分；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3.在职人员控制率在100%-115%之间的，在0分和满分之间计算确定：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得分=[max（在职人员控制率）－某部门在职人员控制率]/[max（在职人员控制率）－min（在职人员控制率）]×该指标分值。</w:t>
            </w:r>
          </w:p>
        </w:tc>
        <w:tc>
          <w:tcPr>
            <w:tcW w:w="567"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817" w:type="dxa"/>
            <w:vMerge w:val="restart"/>
            <w:tcBorders>
              <w:top w:val="single" w:color="000000" w:sz="4" w:space="0"/>
              <w:left w:val="single" w:color="000000" w:sz="4" w:space="0"/>
              <w:right w:val="single" w:color="000000" w:sz="4" w:space="0"/>
            </w:tcBorders>
            <w:vAlign w:val="center"/>
          </w:tcPr>
          <w:p>
            <w:pPr>
              <w:spacing w:line="240" w:lineRule="exact"/>
              <w:rPr>
                <w:rFonts w:ascii="宋体"/>
                <w:szCs w:val="21"/>
              </w:rPr>
            </w:pPr>
          </w:p>
        </w:tc>
        <w:tc>
          <w:tcPr>
            <w:tcW w:w="851"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1559" w:type="dxa"/>
            <w:tcBorders>
              <w:top w:val="single" w:color="auto" w:sz="4" w:space="0"/>
              <w:left w:val="single" w:color="000000" w:sz="4" w:space="0"/>
              <w:right w:val="single" w:color="auto" w:sz="4" w:space="0"/>
            </w:tcBorders>
            <w:vAlign w:val="center"/>
          </w:tcPr>
          <w:p>
            <w:pPr>
              <w:widowControl/>
              <w:spacing w:line="240" w:lineRule="exact"/>
              <w:jc w:val="left"/>
              <w:textAlignment w:val="center"/>
              <w:rPr>
                <w:rFonts w:ascii="仿宋" w:hAnsi="仿宋" w:eastAsia="仿宋" w:cs="仿宋"/>
                <w:kern w:val="0"/>
                <w:szCs w:val="21"/>
              </w:rPr>
            </w:pP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变动率（2分）</w:t>
            </w:r>
          </w:p>
        </w:tc>
        <w:tc>
          <w:tcPr>
            <w:tcW w:w="3260" w:type="dxa"/>
            <w:tcBorders>
              <w:top w:val="single" w:color="auto" w:sz="4" w:space="0"/>
              <w:left w:val="single" w:color="auto" w:sz="4" w:space="0"/>
              <w:right w:val="single" w:color="auto" w:sz="4" w:space="0"/>
            </w:tcBorders>
            <w:vAlign w:val="center"/>
          </w:tcPr>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部门本年度</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预算数与上年度</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预算数的变动比率，用以反映和考核部门对控制重点行政成本的努力程度。</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变动率=[（本年度</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总额-上年度</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总额）/上年度</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总额]×100%。</w:t>
            </w:r>
          </w:p>
          <w:p>
            <w:pPr>
              <w:widowControl/>
              <w:spacing w:line="240" w:lineRule="exact"/>
              <w:jc w:val="left"/>
              <w:textAlignment w:val="center"/>
              <w:rPr>
                <w:rFonts w:ascii="仿宋" w:hAnsi="仿宋" w:eastAsia="仿宋" w:cs="仿宋"/>
                <w:kern w:val="0"/>
                <w:szCs w:val="21"/>
              </w:rPr>
            </w:pP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：年度预算安排的因公出国（境）费、公务车辆购置及运行费和公务招待费。</w:t>
            </w:r>
          </w:p>
        </w:tc>
        <w:tc>
          <w:tcPr>
            <w:tcW w:w="2552"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w:t>
            </w:r>
            <w:r>
              <w:rPr>
                <w:rFonts w:ascii="仿宋_GB2312" w:hAnsi="新宋体" w:eastAsia="仿宋_GB2312" w:cs="仿宋_GB2312"/>
                <w:kern w:val="0"/>
                <w:szCs w:val="21"/>
              </w:rPr>
              <w:t>小于或等于</w:t>
            </w:r>
            <w:r>
              <w:rPr>
                <w:rFonts w:hint="eastAsia" w:ascii="仿宋_GB2312" w:hAnsi="新宋体" w:eastAsia="仿宋_GB2312" w:cs="仿宋_GB2312"/>
                <w:kern w:val="0"/>
                <w:szCs w:val="21"/>
              </w:rPr>
              <w:t>-5</w:t>
            </w:r>
            <w:r>
              <w:rPr>
                <w:rFonts w:ascii="仿宋_GB2312" w:hAnsi="新宋体" w:eastAsia="仿宋_GB2312" w:cs="仿宋_GB2312"/>
                <w:kern w:val="0"/>
                <w:szCs w:val="21"/>
              </w:rPr>
              <w:t>%的，得满分；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w:t>
            </w:r>
            <w:r>
              <w:rPr>
                <w:rFonts w:ascii="仿宋_GB2312" w:hAnsi="新宋体" w:eastAsia="仿宋_GB2312" w:cs="仿宋_GB2312"/>
                <w:kern w:val="0"/>
                <w:szCs w:val="21"/>
              </w:rPr>
              <w:t>大于或等于1</w:t>
            </w:r>
            <w:r>
              <w:rPr>
                <w:rFonts w:hint="eastAsia" w:ascii="仿宋_GB2312" w:hAnsi="新宋体" w:eastAsia="仿宋_GB2312" w:cs="仿宋_GB2312"/>
                <w:kern w:val="0"/>
                <w:szCs w:val="21"/>
              </w:rPr>
              <w:t>0</w:t>
            </w:r>
            <w:r>
              <w:rPr>
                <w:rFonts w:ascii="仿宋_GB2312" w:hAnsi="新宋体" w:eastAsia="仿宋_GB2312" w:cs="仿宋_GB2312"/>
                <w:kern w:val="0"/>
                <w:szCs w:val="21"/>
              </w:rPr>
              <w:t>%的，得0分；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3.在职人员控制率在</w:t>
            </w:r>
            <w:r>
              <w:rPr>
                <w:rFonts w:hint="eastAsia" w:ascii="仿宋_GB2312" w:hAnsi="新宋体" w:eastAsia="仿宋_GB2312" w:cs="仿宋_GB2312"/>
                <w:kern w:val="0"/>
                <w:szCs w:val="21"/>
              </w:rPr>
              <w:t>-5</w:t>
            </w:r>
            <w:r>
              <w:rPr>
                <w:rFonts w:ascii="仿宋_GB2312" w:hAnsi="新宋体" w:eastAsia="仿宋_GB2312" w:cs="仿宋_GB2312"/>
                <w:kern w:val="0"/>
                <w:szCs w:val="21"/>
              </w:rPr>
              <w:t>%-</w:t>
            </w:r>
            <w:r>
              <w:rPr>
                <w:rFonts w:hint="eastAsia" w:ascii="仿宋_GB2312" w:hAnsi="新宋体" w:eastAsia="仿宋_GB2312" w:cs="仿宋_GB2312"/>
                <w:kern w:val="0"/>
                <w:szCs w:val="21"/>
              </w:rPr>
              <w:t>10</w:t>
            </w:r>
            <w:r>
              <w:rPr>
                <w:rFonts w:ascii="仿宋_GB2312" w:hAnsi="新宋体" w:eastAsia="仿宋_GB2312" w:cs="仿宋_GB2312"/>
                <w:kern w:val="0"/>
                <w:szCs w:val="21"/>
              </w:rPr>
              <w:t>%之间的，在0分和满分之间计算确定：</w:t>
            </w:r>
          </w:p>
          <w:p>
            <w:pPr>
              <w:widowControl/>
              <w:spacing w:line="240" w:lineRule="exact"/>
              <w:jc w:val="left"/>
              <w:textAlignment w:val="center"/>
              <w:rPr>
                <w:rFonts w:ascii="仿宋" w:hAnsi="仿宋" w:eastAsia="仿宋" w:cs="仿宋"/>
                <w:kern w:val="0"/>
                <w:szCs w:val="21"/>
              </w:rPr>
            </w:pPr>
            <w:r>
              <w:rPr>
                <w:rFonts w:ascii="仿宋_GB2312" w:hAnsi="新宋体" w:eastAsia="仿宋_GB2312" w:cs="仿宋_GB2312"/>
                <w:kern w:val="0"/>
                <w:szCs w:val="21"/>
              </w:rPr>
              <w:t>得分=[max（</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w:t>
            </w:r>
            <w:r>
              <w:rPr>
                <w:rFonts w:ascii="仿宋_GB2312" w:hAnsi="新宋体" w:eastAsia="仿宋_GB2312" w:cs="仿宋_GB2312"/>
                <w:kern w:val="0"/>
                <w:szCs w:val="21"/>
              </w:rPr>
              <w:t>）－</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w:t>
            </w:r>
            <w:r>
              <w:rPr>
                <w:rFonts w:ascii="仿宋_GB2312" w:hAnsi="新宋体" w:eastAsia="仿宋_GB2312" w:cs="仿宋_GB2312"/>
                <w:kern w:val="0"/>
                <w:szCs w:val="21"/>
              </w:rPr>
              <w:t>]/[max（</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w:t>
            </w:r>
            <w:r>
              <w:rPr>
                <w:rFonts w:ascii="仿宋_GB2312" w:hAnsi="新宋体" w:eastAsia="仿宋_GB2312" w:cs="仿宋_GB2312"/>
                <w:kern w:val="0"/>
                <w:szCs w:val="21"/>
              </w:rPr>
              <w:t>）－min（</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w:t>
            </w:r>
            <w:r>
              <w:rPr>
                <w:rFonts w:ascii="仿宋_GB2312" w:hAnsi="新宋体" w:eastAsia="仿宋_GB2312" w:cs="仿宋_GB2312"/>
                <w:kern w:val="0"/>
                <w:szCs w:val="21"/>
              </w:rPr>
              <w:t>）]×该指标分值。</w:t>
            </w:r>
          </w:p>
        </w:tc>
        <w:tc>
          <w:tcPr>
            <w:tcW w:w="567"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817" w:type="dxa"/>
            <w:vMerge w:val="continue"/>
            <w:tcBorders>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left w:val="single" w:color="000000" w:sz="4" w:space="0"/>
              <w:bottom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1559" w:type="dxa"/>
            <w:tcBorders>
              <w:top w:val="single" w:color="auto" w:sz="4" w:space="0"/>
              <w:left w:val="single" w:color="000000" w:sz="4" w:space="0"/>
              <w:right w:val="single" w:color="auto" w:sz="4" w:space="0"/>
            </w:tcBorders>
            <w:vAlign w:val="center"/>
          </w:tcPr>
          <w:p>
            <w:pPr>
              <w:widowControl/>
              <w:spacing w:line="240" w:lineRule="exact"/>
              <w:jc w:val="left"/>
              <w:textAlignment w:val="center"/>
              <w:rPr>
                <w:rFonts w:ascii="仿宋" w:hAnsi="仿宋" w:eastAsia="仿宋" w:cs="仿宋"/>
                <w:kern w:val="0"/>
                <w:szCs w:val="21"/>
              </w:rPr>
            </w:pPr>
            <w:r>
              <w:rPr>
                <w:rFonts w:hint="eastAsia" w:ascii="仿宋" w:hAnsi="仿宋" w:eastAsia="仿宋" w:cs="仿宋"/>
                <w:color w:val="000000"/>
                <w:kern w:val="0"/>
                <w:szCs w:val="21"/>
              </w:rPr>
              <w:t>重点支出安排率（2分）</w:t>
            </w:r>
          </w:p>
        </w:tc>
        <w:tc>
          <w:tcPr>
            <w:tcW w:w="3260" w:type="dxa"/>
            <w:tcBorders>
              <w:top w:val="single" w:color="auto" w:sz="4" w:space="0"/>
              <w:left w:val="single" w:color="auto" w:sz="4" w:space="0"/>
              <w:right w:val="single" w:color="auto" w:sz="4" w:space="0"/>
            </w:tcBorders>
            <w:vAlign w:val="center"/>
          </w:tcPr>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部门本年度预算安排的重点项目支出与部门项目总支出的比率，用以反映和考核部门对履行主要职责或完成重点任务的保障程度。重点支出安排率=（重点项目支出/项目总支出）×100%。</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重点项目支出：部门（单位）年度预算安排的，与本部门履职和发展密切相关、具有明显社会和经济影响、党委政府关心或社会比较关注的项目支出总额。</w:t>
            </w:r>
          </w:p>
          <w:p>
            <w:pPr>
              <w:widowControl/>
              <w:spacing w:line="240" w:lineRule="exact"/>
              <w:jc w:val="left"/>
              <w:textAlignment w:val="center"/>
              <w:rPr>
                <w:rFonts w:ascii="仿宋" w:hAnsi="仿宋" w:eastAsia="仿宋" w:cs="仿宋"/>
                <w:kern w:val="0"/>
                <w:szCs w:val="21"/>
              </w:rPr>
            </w:pPr>
            <w:r>
              <w:rPr>
                <w:rFonts w:hint="eastAsia" w:ascii="仿宋" w:hAnsi="仿宋" w:eastAsia="仿宋" w:cs="仿宋"/>
                <w:color w:val="000000"/>
                <w:kern w:val="0"/>
                <w:szCs w:val="21"/>
              </w:rPr>
              <w:t>项目总支出：部门（单位）年度预算安排的项目支出总额。</w:t>
            </w:r>
          </w:p>
        </w:tc>
        <w:tc>
          <w:tcPr>
            <w:tcW w:w="2552"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在85%-95%之间的，在0分和满分之间计算确定：</w:t>
            </w:r>
          </w:p>
          <w:p>
            <w:pPr>
              <w:widowControl/>
              <w:spacing w:line="240" w:lineRule="exact"/>
              <w:jc w:val="left"/>
              <w:textAlignment w:val="center"/>
              <w:rPr>
                <w:rFonts w:ascii="仿宋" w:hAnsi="仿宋" w:eastAsia="仿宋" w:cs="仿宋"/>
                <w:kern w:val="0"/>
                <w:szCs w:val="21"/>
              </w:rPr>
            </w:pPr>
            <w:r>
              <w:rPr>
                <w:rFonts w:ascii="仿宋_GB2312" w:hAnsi="新宋体" w:eastAsia="仿宋_GB2312" w:cs="仿宋_GB2312"/>
                <w:kern w:val="0"/>
                <w:szCs w:val="21"/>
              </w:rPr>
              <w:t>得分=[某部门</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-min（</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）]/[max（</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）－min（</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）]×该指标分值。</w:t>
            </w:r>
          </w:p>
        </w:tc>
        <w:tc>
          <w:tcPr>
            <w:tcW w:w="567"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hint="default"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817"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过程(</w:t>
            </w:r>
            <w:r>
              <w:rPr>
                <w:rFonts w:hint="eastAsia" w:ascii="仿宋_GB2312" w:hAnsi="新宋体" w:eastAsia="仿宋_GB2312" w:cs="仿宋_GB2312"/>
                <w:kern w:val="0"/>
                <w:szCs w:val="21"/>
              </w:rPr>
              <w:t>45分</w:t>
            </w:r>
            <w:r>
              <w:rPr>
                <w:rFonts w:ascii="仿宋_GB2312" w:hAnsi="新宋体" w:eastAsia="仿宋_GB2312" w:cs="仿宋_GB2312"/>
                <w:kern w:val="0"/>
                <w:szCs w:val="21"/>
              </w:rPr>
              <w:t>)</w:t>
            </w: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预算执行</w:t>
            </w:r>
            <w:r>
              <w:rPr>
                <w:rFonts w:hint="eastAsia" w:ascii="仿宋_GB2312" w:hAnsi="新宋体" w:eastAsia="仿宋_GB2312" w:cs="仿宋_GB2312"/>
                <w:kern w:val="0"/>
                <w:szCs w:val="21"/>
              </w:rPr>
              <w:t>情况</w:t>
            </w:r>
            <w:r>
              <w:rPr>
                <w:rFonts w:ascii="仿宋_GB2312" w:hAnsi="新宋体" w:eastAsia="仿宋_GB2312" w:cs="仿宋_GB2312"/>
                <w:kern w:val="0"/>
                <w:szCs w:val="21"/>
              </w:rPr>
              <w:t>(</w:t>
            </w:r>
            <w:r>
              <w:rPr>
                <w:rFonts w:hint="eastAsia" w:ascii="仿宋_GB2312" w:hAnsi="新宋体" w:eastAsia="仿宋_GB2312" w:cs="仿宋_GB2312"/>
                <w:kern w:val="0"/>
                <w:szCs w:val="21"/>
              </w:rPr>
              <w:t>25分</w:t>
            </w:r>
            <w:r>
              <w:rPr>
                <w:rFonts w:ascii="仿宋_GB2312" w:hAnsi="新宋体" w:eastAsia="仿宋_GB2312" w:cs="仿宋_GB2312"/>
                <w:kern w:val="0"/>
                <w:szCs w:val="21"/>
              </w:rPr>
              <w:t>)</w:t>
            </w: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预算完成率</w:t>
            </w:r>
          </w:p>
          <w:p>
            <w:pPr>
              <w:widowControl/>
              <w:spacing w:line="240" w:lineRule="exact"/>
              <w:jc w:val="left"/>
              <w:rPr>
                <w:szCs w:val="21"/>
              </w:rPr>
            </w:pPr>
            <w:r>
              <w:rPr>
                <w:rFonts w:ascii="仿宋_GB2312" w:hAnsi="新宋体" w:eastAsia="仿宋_GB2312" w:cs="仿宋_GB2312"/>
                <w:kern w:val="0"/>
                <w:szCs w:val="21"/>
              </w:rPr>
              <w:t>（5</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通过对部门本年度预算完成数与预算数的比较，反映和评价部门预算的完成程度。</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预算完成率=（预算完成数/预算数）×100%。</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1.预算完成率大于或等于95%的，得满分；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2.预算完成率小于或等于85%的，得0分；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3.预算完成率在85%-95%之间的，在0分和满分之间计算确定：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得分=[某部门预算完成率-min（预算完成率）]/[max（预算完成率）－min（预算完成率）]×该指标分值。</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3"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预算调整率</w:t>
            </w:r>
          </w:p>
          <w:p>
            <w:pPr>
              <w:widowControl/>
              <w:spacing w:line="240" w:lineRule="exact"/>
              <w:jc w:val="left"/>
              <w:rPr>
                <w:szCs w:val="21"/>
              </w:rPr>
            </w:pPr>
            <w:r>
              <w:rPr>
                <w:rFonts w:ascii="仿宋_GB2312" w:hAnsi="新宋体" w:eastAsia="仿宋_GB2312" w:cs="仿宋_GB2312"/>
                <w:kern w:val="0"/>
                <w:szCs w:val="21"/>
              </w:rPr>
              <w:t>（</w:t>
            </w:r>
            <w:r>
              <w:rPr>
                <w:rFonts w:hint="eastAsia" w:ascii="仿宋_GB2312" w:hAnsi="新宋体" w:eastAsia="仿宋_GB2312" w:cs="仿宋_GB2312"/>
                <w:kern w:val="0"/>
                <w:szCs w:val="21"/>
              </w:rPr>
              <w:t>3分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部门本年度预算调整数与预算数的比率，用以反映和评价部门预算的调整程度。</w:t>
            </w:r>
          </w:p>
          <w:p>
            <w:pPr>
              <w:widowControl/>
              <w:spacing w:line="240" w:lineRule="exact"/>
              <w:jc w:val="left"/>
              <w:rPr>
                <w:szCs w:val="21"/>
              </w:rPr>
            </w:pPr>
            <w:r>
              <w:rPr>
                <w:rFonts w:ascii="仿宋_GB2312" w:hAnsi="新宋体" w:eastAsia="仿宋_GB2312" w:cs="仿宋_GB2312"/>
                <w:kern w:val="0"/>
                <w:szCs w:val="21"/>
              </w:rPr>
              <w:t>预算调整率=（预算调整数/预算数）×100%。</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 xml:space="preserve">1.预算调整率等于0的，得满分； </w:t>
            </w:r>
          </w:p>
          <w:p>
            <w:pPr>
              <w:widowControl/>
              <w:spacing w:line="240" w:lineRule="exact"/>
              <w:jc w:val="left"/>
              <w:rPr>
                <w:szCs w:val="21"/>
              </w:rPr>
            </w:pPr>
            <w:r>
              <w:rPr>
                <w:rFonts w:ascii="仿宋_GB2312" w:hAnsi="新宋体" w:eastAsia="仿宋_GB2312" w:cs="仿宋_GB2312"/>
                <w:kern w:val="0"/>
                <w:szCs w:val="21"/>
              </w:rPr>
              <w:t>2.预算调整率大于或等于10%的，得0分；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3.预算调整率在0-10%之间的，在0分和满分之间确定：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得分=［max（预算调整率）-某部门预算调整率］/［max（预算调整率）-min（预算调整率）］×该指标分值。</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692"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color w:val="000000"/>
                <w:kern w:val="0"/>
                <w:szCs w:val="21"/>
              </w:rPr>
            </w:pPr>
            <w:r>
              <w:rPr>
                <w:rFonts w:ascii="仿宋_GB2312" w:hAnsi="新宋体" w:eastAsia="仿宋_GB2312" w:cs="仿宋_GB2312"/>
                <w:color w:val="000000"/>
                <w:kern w:val="0"/>
                <w:szCs w:val="21"/>
              </w:rPr>
              <w:t>支付进度率</w:t>
            </w:r>
          </w:p>
          <w:p>
            <w:pPr>
              <w:widowControl/>
              <w:spacing w:line="240" w:lineRule="exact"/>
              <w:jc w:val="left"/>
              <w:rPr>
                <w:szCs w:val="21"/>
              </w:rPr>
            </w:pPr>
            <w:r>
              <w:rPr>
                <w:rFonts w:ascii="仿宋_GB2312" w:hAnsi="新宋体" w:eastAsia="仿宋_GB2312" w:cs="仿宋_GB2312"/>
                <w:kern w:val="0"/>
                <w:szCs w:val="21"/>
              </w:rPr>
              <w:t>（</w:t>
            </w:r>
            <w:r>
              <w:rPr>
                <w:rFonts w:hint="eastAsia" w:ascii="仿宋_GB2312" w:hAnsi="新宋体" w:eastAsia="仿宋_GB2312" w:cs="仿宋_GB2312"/>
                <w:kern w:val="0"/>
                <w:szCs w:val="21"/>
              </w:rPr>
              <w:t>5分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度支付数与</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度任务数的比率，用以反映和评价部门预算执行的及时和均衡程度。</w:t>
            </w:r>
          </w:p>
          <w:p>
            <w:pPr>
              <w:widowControl/>
              <w:spacing w:line="240" w:lineRule="exact"/>
              <w:jc w:val="left"/>
              <w:rPr>
                <w:szCs w:val="21"/>
              </w:rPr>
            </w:pPr>
            <w:r>
              <w:rPr>
                <w:rFonts w:ascii="仿宋_GB2312" w:hAnsi="新宋体" w:eastAsia="仿宋_GB2312" w:cs="仿宋_GB2312"/>
                <w:kern w:val="0"/>
                <w:szCs w:val="21"/>
              </w:rPr>
              <w:t>支付进度率=（</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度支付数/</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度任务数）×100%。</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按</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度的执行情况进行打分</w:t>
            </w:r>
            <w:r>
              <w:rPr>
                <w:rFonts w:hint="eastAsia" w:ascii="仿宋_GB2312" w:hAnsi="新宋体" w:eastAsia="仿宋_GB2312" w:cs="仿宋_GB2312"/>
                <w:kern w:val="0"/>
                <w:szCs w:val="21"/>
              </w:rPr>
              <w:t>。</w:t>
            </w:r>
            <w:r>
              <w:rPr>
                <w:rFonts w:ascii="仿宋_GB2312" w:hAnsi="新宋体" w:eastAsia="仿宋_GB2312" w:cs="仿宋_GB2312"/>
                <w:kern w:val="0"/>
                <w:szCs w:val="21"/>
              </w:rPr>
              <w:t>得分=</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度支付数/</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度任务数×该指标分值。</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74"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结转</w:t>
            </w:r>
          </w:p>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结余率</w:t>
            </w:r>
          </w:p>
          <w:p>
            <w:pPr>
              <w:widowControl/>
              <w:spacing w:line="240" w:lineRule="exact"/>
              <w:jc w:val="left"/>
              <w:rPr>
                <w:szCs w:val="21"/>
              </w:rPr>
            </w:pPr>
            <w:r>
              <w:rPr>
                <w:rFonts w:ascii="仿宋_GB2312" w:hAnsi="新宋体" w:eastAsia="仿宋_GB2312" w:cs="仿宋_GB2312"/>
                <w:kern w:val="0"/>
                <w:szCs w:val="21"/>
              </w:rPr>
              <w:t>（4</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通过对部门本年度结转结余总额与支出预算数的比较，反映和评价部门对本年度结转结余资金的实际控制程度。</w:t>
            </w:r>
          </w:p>
          <w:p>
            <w:pPr>
              <w:widowControl/>
              <w:spacing w:line="240" w:lineRule="exact"/>
              <w:jc w:val="left"/>
              <w:rPr>
                <w:szCs w:val="21"/>
              </w:rPr>
            </w:pPr>
            <w:r>
              <w:rPr>
                <w:rFonts w:ascii="仿宋_GB2312" w:hAnsi="新宋体" w:eastAsia="仿宋_GB2312" w:cs="仿宋_GB2312"/>
                <w:kern w:val="0"/>
                <w:szCs w:val="21"/>
              </w:rPr>
              <w:t>结转结余率=（结转结余总额/支出预算数）×100%。</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1.结转结余率等于0的，得满分；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2.结转结余率大于或等于50%的，得0分；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3.结转结余率在0-50%之间的，在0和满分之间计算确定：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得分=[max（结转结余率）－某部门结转结余率]/[max（结转结余率）－min（结转结余率）]×该指标分值。</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610"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公用经费</w:t>
            </w:r>
          </w:p>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控制率</w:t>
            </w:r>
          </w:p>
          <w:p>
            <w:pPr>
              <w:widowControl/>
              <w:spacing w:line="240" w:lineRule="exact"/>
              <w:jc w:val="left"/>
              <w:rPr>
                <w:szCs w:val="21"/>
              </w:rPr>
            </w:pPr>
            <w:r>
              <w:rPr>
                <w:rFonts w:ascii="仿宋_GB2312" w:hAnsi="新宋体" w:eastAsia="仿宋_GB2312" w:cs="仿宋_GB2312"/>
                <w:kern w:val="0"/>
                <w:szCs w:val="21"/>
              </w:rPr>
              <w:t>（</w:t>
            </w:r>
            <w:r>
              <w:rPr>
                <w:rFonts w:hint="eastAsia" w:ascii="仿宋_GB2312" w:hAnsi="新宋体" w:eastAsia="仿宋_GB2312" w:cs="仿宋_GB2312"/>
                <w:kern w:val="0"/>
                <w:szCs w:val="21"/>
              </w:rPr>
              <w:t>4分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通过对部门本年度实际支出的公用经费总额与预算安排的公用经费总额的比率，反映和评价部门对机构运转成本的实际控制程度。</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公用经费控制率=（实际支出公用经费总额/预算安排公用经费总额）×100%。</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1.公用经费控制率小于或等于100%的，得满分；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2.公用经费控制率大于或等于105%的，得0分；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3.公用经费控制率在100%-105%之间的，在0和满分之间计算确定：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得分=［max（公用经费控制率）-某部门公用经费控制率］/［max（公用经费控制率）-min（公用经费控制率）］×该指标分值。</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99"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政府采购</w:t>
            </w:r>
          </w:p>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执行率</w:t>
            </w:r>
          </w:p>
          <w:p>
            <w:pPr>
              <w:widowControl/>
              <w:spacing w:line="240" w:lineRule="exact"/>
              <w:jc w:val="left"/>
              <w:rPr>
                <w:szCs w:val="21"/>
              </w:rPr>
            </w:pPr>
            <w:r>
              <w:rPr>
                <w:rFonts w:ascii="仿宋_GB2312" w:hAnsi="新宋体" w:eastAsia="仿宋_GB2312" w:cs="仿宋_GB2312"/>
                <w:kern w:val="0"/>
                <w:szCs w:val="21"/>
              </w:rPr>
              <w:t>（</w:t>
            </w:r>
            <w:r>
              <w:rPr>
                <w:rFonts w:hint="eastAsia" w:ascii="仿宋_GB2312" w:hAnsi="新宋体" w:eastAsia="仿宋_GB2312" w:cs="仿宋_GB2312"/>
                <w:kern w:val="0"/>
                <w:szCs w:val="21"/>
              </w:rPr>
              <w:t>4分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通过对部门本年度实际政府采购预算项目个数与政府采购预算项目个数的比较，反映和评价部门政府采购预算执行情况。</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政府采购执行率=（实际政府采购预算项目个数/政府采购预算项目个数）×100%。</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政府采购项目中非预算内安排的项目除外。</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1.政府采购执行率等于100%的，得满分；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2.政府采购执行率小于或等于90%的，0分；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3.政府采购执行率在90%-100%之间的，在0和满分之间计算确定：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得分=［某部门政府采购执行率-min（政府采购执行率）］/［max（政府采购执行率）-min（政府采购执行率）］×该指标分值。</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预算管理</w:t>
            </w:r>
            <w:r>
              <w:rPr>
                <w:rFonts w:hint="eastAsia" w:ascii="仿宋_GB2312" w:hAnsi="新宋体" w:eastAsia="仿宋_GB2312" w:cs="仿宋_GB2312"/>
                <w:kern w:val="0"/>
                <w:szCs w:val="21"/>
              </w:rPr>
              <w:t>情况</w:t>
            </w:r>
          </w:p>
          <w:p>
            <w:pPr>
              <w:widowControl/>
              <w:spacing w:line="240" w:lineRule="exact"/>
              <w:jc w:val="left"/>
              <w:rPr>
                <w:szCs w:val="21"/>
              </w:rPr>
            </w:pPr>
            <w:r>
              <w:rPr>
                <w:rFonts w:ascii="仿宋_GB2312" w:hAnsi="新宋体" w:eastAsia="仿宋_GB2312" w:cs="仿宋_GB2312"/>
                <w:kern w:val="0"/>
                <w:szCs w:val="21"/>
              </w:rPr>
              <w:t>（15）</w:t>
            </w: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资金使用</w:t>
            </w:r>
          </w:p>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合规性</w:t>
            </w:r>
          </w:p>
          <w:p>
            <w:pPr>
              <w:widowControl/>
              <w:spacing w:line="240" w:lineRule="exact"/>
              <w:jc w:val="left"/>
              <w:rPr>
                <w:szCs w:val="21"/>
              </w:rPr>
            </w:pPr>
            <w:r>
              <w:rPr>
                <w:rFonts w:ascii="仿宋_GB2312" w:hAnsi="新宋体" w:eastAsia="仿宋_GB2312" w:cs="仿宋_GB2312"/>
                <w:kern w:val="0"/>
                <w:szCs w:val="21"/>
              </w:rPr>
              <w:t>（8</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部门使用预算资金是否符合相关的预算财务管理制度的规定，反映和评价部门预算资金的规范运行情况。</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1.符合国家财经法规和财务管理制度规定以及有关部门资金管理办法的规定；</w:t>
            </w:r>
          </w:p>
          <w:p>
            <w:pPr>
              <w:widowControl/>
              <w:spacing w:line="240" w:lineRule="exact"/>
              <w:jc w:val="left"/>
              <w:rPr>
                <w:szCs w:val="21"/>
              </w:rPr>
            </w:pPr>
            <w:r>
              <w:rPr>
                <w:rFonts w:ascii="仿宋_GB2312" w:hAnsi="新宋体" w:eastAsia="仿宋_GB2312" w:cs="仿宋_GB2312"/>
                <w:kern w:val="0"/>
                <w:szCs w:val="21"/>
              </w:rPr>
              <w:t>2.资金的拨付有完整的审批过程和手续；</w:t>
            </w:r>
          </w:p>
          <w:p>
            <w:pPr>
              <w:widowControl/>
              <w:spacing w:line="240" w:lineRule="exact"/>
              <w:jc w:val="left"/>
              <w:rPr>
                <w:szCs w:val="21"/>
              </w:rPr>
            </w:pPr>
            <w:r>
              <w:rPr>
                <w:rFonts w:ascii="仿宋_GB2312" w:hAnsi="新宋体" w:eastAsia="仿宋_GB2312" w:cs="仿宋_GB2312"/>
                <w:kern w:val="0"/>
                <w:szCs w:val="21"/>
              </w:rPr>
              <w:t>3.项目的重大开支经过评估论证；</w:t>
            </w:r>
          </w:p>
          <w:p>
            <w:pPr>
              <w:widowControl/>
              <w:spacing w:line="240" w:lineRule="exact"/>
              <w:jc w:val="left"/>
              <w:rPr>
                <w:szCs w:val="21"/>
              </w:rPr>
            </w:pPr>
            <w:r>
              <w:rPr>
                <w:rFonts w:ascii="仿宋_GB2312" w:hAnsi="新宋体" w:eastAsia="仿宋_GB2312" w:cs="仿宋_GB2312"/>
                <w:kern w:val="0"/>
                <w:szCs w:val="21"/>
              </w:rPr>
              <w:t>4.符合部门预算批复的用途；</w:t>
            </w:r>
          </w:p>
          <w:p>
            <w:pPr>
              <w:widowControl/>
              <w:spacing w:line="240" w:lineRule="exact"/>
              <w:jc w:val="left"/>
              <w:rPr>
                <w:szCs w:val="21"/>
              </w:rPr>
            </w:pPr>
            <w:r>
              <w:rPr>
                <w:rFonts w:ascii="仿宋_GB2312" w:hAnsi="新宋体" w:eastAsia="仿宋_GB2312" w:cs="仿宋_GB2312"/>
                <w:kern w:val="0"/>
                <w:szCs w:val="21"/>
              </w:rPr>
              <w:t>5.不存在截留情况；</w:t>
            </w:r>
          </w:p>
          <w:p>
            <w:pPr>
              <w:widowControl/>
              <w:spacing w:line="240" w:lineRule="exact"/>
              <w:jc w:val="left"/>
              <w:rPr>
                <w:szCs w:val="21"/>
              </w:rPr>
            </w:pPr>
            <w:r>
              <w:rPr>
                <w:rFonts w:ascii="仿宋_GB2312" w:hAnsi="新宋体" w:eastAsia="仿宋_GB2312" w:cs="仿宋_GB2312"/>
                <w:kern w:val="0"/>
                <w:szCs w:val="21"/>
              </w:rPr>
              <w:t>6.不存在挤占情况；</w:t>
            </w:r>
          </w:p>
          <w:p>
            <w:pPr>
              <w:widowControl/>
              <w:spacing w:line="240" w:lineRule="exact"/>
              <w:jc w:val="left"/>
              <w:rPr>
                <w:szCs w:val="21"/>
              </w:rPr>
            </w:pPr>
            <w:r>
              <w:rPr>
                <w:rFonts w:ascii="仿宋_GB2312" w:hAnsi="新宋体" w:eastAsia="仿宋_GB2312" w:cs="仿宋_GB2312"/>
                <w:kern w:val="0"/>
                <w:szCs w:val="21"/>
              </w:rPr>
              <w:t>7.不存在挪用情况；</w:t>
            </w:r>
          </w:p>
          <w:p>
            <w:pPr>
              <w:widowControl/>
              <w:spacing w:line="240" w:lineRule="exact"/>
              <w:jc w:val="left"/>
              <w:rPr>
                <w:szCs w:val="21"/>
              </w:rPr>
            </w:pPr>
            <w:r>
              <w:rPr>
                <w:rFonts w:ascii="仿宋_GB2312" w:hAnsi="新宋体" w:eastAsia="仿宋_GB2312" w:cs="仿宋_GB2312"/>
                <w:kern w:val="0"/>
                <w:szCs w:val="21"/>
              </w:rPr>
              <w:t>8.不存在虚列支出情况。</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全部符合（8）；</w:t>
            </w:r>
          </w:p>
          <w:p>
            <w:pPr>
              <w:widowControl/>
              <w:spacing w:line="240" w:lineRule="exact"/>
              <w:jc w:val="left"/>
              <w:rPr>
                <w:szCs w:val="21"/>
              </w:rPr>
            </w:pPr>
            <w:r>
              <w:rPr>
                <w:rFonts w:ascii="仿宋_GB2312" w:hAnsi="新宋体" w:eastAsia="仿宋_GB2312" w:cs="仿宋_GB2312"/>
                <w:kern w:val="0"/>
                <w:szCs w:val="21"/>
              </w:rPr>
              <w:t>符合其中七项（6）；</w:t>
            </w:r>
          </w:p>
          <w:p>
            <w:pPr>
              <w:widowControl/>
              <w:spacing w:line="240" w:lineRule="exact"/>
              <w:jc w:val="left"/>
              <w:rPr>
                <w:szCs w:val="21"/>
              </w:rPr>
            </w:pPr>
            <w:r>
              <w:rPr>
                <w:rFonts w:ascii="仿宋_GB2312" w:hAnsi="新宋体" w:eastAsia="仿宋_GB2312" w:cs="仿宋_GB2312"/>
                <w:kern w:val="0"/>
                <w:szCs w:val="21"/>
              </w:rPr>
              <w:t>符合其中六项（4）；</w:t>
            </w:r>
          </w:p>
          <w:p>
            <w:pPr>
              <w:widowControl/>
              <w:spacing w:line="240" w:lineRule="exact"/>
              <w:jc w:val="left"/>
              <w:rPr>
                <w:szCs w:val="21"/>
              </w:rPr>
            </w:pPr>
            <w:r>
              <w:rPr>
                <w:rFonts w:ascii="仿宋_GB2312" w:hAnsi="新宋体" w:eastAsia="仿宋_GB2312" w:cs="仿宋_GB2312"/>
                <w:kern w:val="0"/>
                <w:szCs w:val="21"/>
              </w:rPr>
              <w:t>符合其中五项（2）；</w:t>
            </w:r>
          </w:p>
          <w:p>
            <w:pPr>
              <w:widowControl/>
              <w:spacing w:line="240" w:lineRule="exact"/>
              <w:jc w:val="left"/>
              <w:rPr>
                <w:szCs w:val="21"/>
              </w:rPr>
            </w:pPr>
            <w:r>
              <w:rPr>
                <w:rFonts w:ascii="仿宋_GB2312" w:hAnsi="新宋体" w:eastAsia="仿宋_GB2312" w:cs="仿宋_GB2312"/>
                <w:kern w:val="0"/>
                <w:szCs w:val="21"/>
              </w:rPr>
              <w:t>符合其中四项及以下（0）。</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预决算信息</w:t>
            </w:r>
          </w:p>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公开性</w:t>
            </w:r>
          </w:p>
          <w:p>
            <w:pPr>
              <w:widowControl/>
              <w:spacing w:line="240" w:lineRule="exact"/>
              <w:jc w:val="left"/>
              <w:rPr>
                <w:szCs w:val="21"/>
              </w:rPr>
            </w:pPr>
            <w:r>
              <w:rPr>
                <w:rFonts w:ascii="仿宋_GB2312" w:hAnsi="新宋体" w:eastAsia="仿宋_GB2312" w:cs="仿宋_GB2312"/>
                <w:kern w:val="0"/>
                <w:szCs w:val="21"/>
              </w:rPr>
              <w:t>（3</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部门是否按照政府信息公开有关规定公开相关预决算信息，用以反映和评价部门预决算管理的公开透明情况。</w:t>
            </w:r>
          </w:p>
          <w:p>
            <w:pPr>
              <w:widowControl/>
              <w:spacing w:line="240" w:lineRule="exact"/>
              <w:jc w:val="left"/>
              <w:rPr>
                <w:szCs w:val="21"/>
              </w:rPr>
            </w:pPr>
            <w:r>
              <w:rPr>
                <w:rFonts w:ascii="仿宋_GB2312" w:hAnsi="新宋体" w:eastAsia="仿宋_GB2312" w:cs="仿宋_GB2312"/>
                <w:kern w:val="0"/>
                <w:szCs w:val="21"/>
              </w:rPr>
              <w:t>预决算信息是指与部门预算、执行、决算、监督、绩效等管理相关的信息。</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1.公开预决算信息；</w:t>
            </w:r>
          </w:p>
          <w:p>
            <w:pPr>
              <w:widowControl/>
              <w:spacing w:line="240" w:lineRule="exact"/>
              <w:jc w:val="left"/>
              <w:rPr>
                <w:szCs w:val="21"/>
              </w:rPr>
            </w:pPr>
            <w:r>
              <w:rPr>
                <w:rFonts w:ascii="仿宋_GB2312" w:hAnsi="新宋体" w:eastAsia="仿宋_GB2312" w:cs="仿宋_GB2312"/>
                <w:kern w:val="0"/>
                <w:szCs w:val="21"/>
              </w:rPr>
              <w:t>2.按规定内容公开预决算信息；</w:t>
            </w:r>
          </w:p>
          <w:p>
            <w:pPr>
              <w:widowControl/>
              <w:spacing w:line="240" w:lineRule="exact"/>
              <w:jc w:val="left"/>
              <w:rPr>
                <w:szCs w:val="21"/>
              </w:rPr>
            </w:pPr>
            <w:r>
              <w:rPr>
                <w:rFonts w:ascii="仿宋_GB2312" w:hAnsi="新宋体" w:eastAsia="仿宋_GB2312" w:cs="仿宋_GB2312"/>
                <w:kern w:val="0"/>
                <w:szCs w:val="21"/>
              </w:rPr>
              <w:t>3.按规定时限公开预决算信息。</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全部符合（3）；</w:t>
            </w:r>
          </w:p>
          <w:p>
            <w:pPr>
              <w:widowControl/>
              <w:spacing w:line="240" w:lineRule="exact"/>
              <w:jc w:val="left"/>
              <w:rPr>
                <w:szCs w:val="21"/>
              </w:rPr>
            </w:pPr>
            <w:r>
              <w:rPr>
                <w:rFonts w:ascii="仿宋_GB2312" w:hAnsi="新宋体" w:eastAsia="仿宋_GB2312" w:cs="仿宋_GB2312"/>
                <w:kern w:val="0"/>
                <w:szCs w:val="21"/>
              </w:rPr>
              <w:t>符合其中两项（2）</w:t>
            </w:r>
          </w:p>
          <w:p>
            <w:pPr>
              <w:widowControl/>
              <w:spacing w:line="240" w:lineRule="exact"/>
              <w:jc w:val="left"/>
              <w:rPr>
                <w:szCs w:val="21"/>
              </w:rPr>
            </w:pPr>
            <w:r>
              <w:rPr>
                <w:rFonts w:ascii="仿宋_GB2312" w:hAnsi="新宋体" w:eastAsia="仿宋_GB2312" w:cs="仿宋_GB2312"/>
                <w:kern w:val="0"/>
                <w:szCs w:val="21"/>
              </w:rPr>
              <w:t>符合其中一项及以下（0）。</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color w:val="000000"/>
                <w:kern w:val="0"/>
                <w:szCs w:val="21"/>
              </w:rPr>
            </w:pPr>
            <w:r>
              <w:rPr>
                <w:rFonts w:ascii="仿宋_GB2312" w:hAnsi="新宋体" w:eastAsia="仿宋_GB2312" w:cs="仿宋_GB2312"/>
                <w:color w:val="000000"/>
                <w:kern w:val="0"/>
                <w:szCs w:val="21"/>
              </w:rPr>
              <w:t>基础信息</w:t>
            </w:r>
          </w:p>
          <w:p>
            <w:pPr>
              <w:widowControl/>
              <w:spacing w:line="240" w:lineRule="exact"/>
              <w:jc w:val="left"/>
              <w:rPr>
                <w:rFonts w:ascii="仿宋_GB2312" w:hAnsi="新宋体" w:eastAsia="仿宋_GB2312" w:cs="仿宋_GB2312"/>
                <w:color w:val="000000"/>
                <w:kern w:val="0"/>
                <w:szCs w:val="21"/>
              </w:rPr>
            </w:pPr>
            <w:r>
              <w:rPr>
                <w:rFonts w:ascii="仿宋_GB2312" w:hAnsi="新宋体" w:eastAsia="仿宋_GB2312" w:cs="仿宋_GB2312"/>
                <w:color w:val="000000"/>
                <w:kern w:val="0"/>
                <w:szCs w:val="21"/>
              </w:rPr>
              <w:t>完善性</w:t>
            </w:r>
          </w:p>
          <w:p>
            <w:pPr>
              <w:widowControl/>
              <w:spacing w:line="240" w:lineRule="exact"/>
              <w:jc w:val="left"/>
              <w:rPr>
                <w:szCs w:val="21"/>
              </w:rPr>
            </w:pPr>
            <w:r>
              <w:rPr>
                <w:rFonts w:ascii="仿宋_GB2312" w:hAnsi="新宋体" w:eastAsia="仿宋_GB2312" w:cs="仿宋_GB2312"/>
                <w:kern w:val="0"/>
                <w:szCs w:val="21"/>
              </w:rPr>
              <w:t>（4</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部门基础信息是否完善，用以反映和评价基础信息对预算管理工作的支撑情况。</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1.基本财务管理制度健全；</w:t>
            </w:r>
          </w:p>
          <w:p>
            <w:pPr>
              <w:widowControl/>
              <w:spacing w:line="240" w:lineRule="exact"/>
              <w:jc w:val="left"/>
              <w:rPr>
                <w:szCs w:val="21"/>
              </w:rPr>
            </w:pPr>
            <w:r>
              <w:rPr>
                <w:rFonts w:ascii="仿宋_GB2312" w:hAnsi="新宋体" w:eastAsia="仿宋_GB2312" w:cs="仿宋_GB2312"/>
                <w:kern w:val="0"/>
                <w:szCs w:val="21"/>
              </w:rPr>
              <w:t>2.基础数据信息和会计信息资料真实；</w:t>
            </w:r>
          </w:p>
          <w:p>
            <w:pPr>
              <w:widowControl/>
              <w:spacing w:line="240" w:lineRule="exact"/>
              <w:jc w:val="left"/>
              <w:rPr>
                <w:szCs w:val="21"/>
              </w:rPr>
            </w:pPr>
            <w:r>
              <w:rPr>
                <w:rFonts w:ascii="仿宋_GB2312" w:hAnsi="新宋体" w:eastAsia="仿宋_GB2312" w:cs="仿宋_GB2312"/>
                <w:kern w:val="0"/>
                <w:szCs w:val="21"/>
              </w:rPr>
              <w:t>3.基础数据信息和会计信息资料完整；</w:t>
            </w:r>
          </w:p>
          <w:p>
            <w:pPr>
              <w:widowControl/>
              <w:spacing w:line="240" w:lineRule="exact"/>
              <w:jc w:val="left"/>
              <w:rPr>
                <w:szCs w:val="21"/>
              </w:rPr>
            </w:pPr>
            <w:r>
              <w:rPr>
                <w:rFonts w:ascii="仿宋_GB2312" w:hAnsi="新宋体" w:eastAsia="仿宋_GB2312" w:cs="仿宋_GB2312"/>
                <w:kern w:val="0"/>
                <w:szCs w:val="21"/>
              </w:rPr>
              <w:t>4.基础数据信息和会计信息资料准确。</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符合全部四项（4）；</w:t>
            </w:r>
          </w:p>
          <w:p>
            <w:pPr>
              <w:widowControl/>
              <w:spacing w:line="240" w:lineRule="exact"/>
              <w:jc w:val="left"/>
              <w:rPr>
                <w:szCs w:val="21"/>
              </w:rPr>
            </w:pPr>
            <w:r>
              <w:rPr>
                <w:rFonts w:ascii="仿宋_GB2312" w:hAnsi="新宋体" w:eastAsia="仿宋_GB2312" w:cs="仿宋_GB2312"/>
                <w:kern w:val="0"/>
                <w:szCs w:val="21"/>
              </w:rPr>
              <w:t>符合其中三项（2）；</w:t>
            </w:r>
          </w:p>
          <w:p>
            <w:pPr>
              <w:widowControl/>
              <w:spacing w:line="240" w:lineRule="exact"/>
              <w:jc w:val="left"/>
              <w:rPr>
                <w:szCs w:val="21"/>
              </w:rPr>
            </w:pPr>
            <w:r>
              <w:rPr>
                <w:rFonts w:ascii="仿宋_GB2312" w:hAnsi="新宋体" w:eastAsia="仿宋_GB2312" w:cs="仿宋_GB2312"/>
                <w:kern w:val="0"/>
                <w:szCs w:val="21"/>
              </w:rPr>
              <w:t>符合其中两项（1）；</w:t>
            </w:r>
          </w:p>
          <w:p>
            <w:pPr>
              <w:widowControl/>
              <w:spacing w:line="240" w:lineRule="exact"/>
              <w:jc w:val="left"/>
              <w:rPr>
                <w:szCs w:val="21"/>
              </w:rPr>
            </w:pPr>
            <w:r>
              <w:rPr>
                <w:rFonts w:ascii="仿宋_GB2312" w:hAnsi="新宋体" w:eastAsia="仿宋_GB2312" w:cs="仿宋_GB2312"/>
                <w:kern w:val="0"/>
                <w:szCs w:val="21"/>
              </w:rPr>
              <w:t>符合其中一项及以下（0）。</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资产管理</w:t>
            </w:r>
            <w:r>
              <w:rPr>
                <w:rFonts w:hint="eastAsia" w:ascii="仿宋_GB2312" w:hAnsi="新宋体" w:eastAsia="仿宋_GB2312" w:cs="仿宋_GB2312"/>
                <w:kern w:val="0"/>
                <w:szCs w:val="21"/>
              </w:rPr>
              <w:t>情况</w:t>
            </w:r>
            <w:r>
              <w:rPr>
                <w:rFonts w:ascii="仿宋_GB2312" w:hAnsi="新宋体" w:eastAsia="仿宋_GB2312" w:cs="仿宋_GB2312"/>
                <w:kern w:val="0"/>
                <w:sz w:val="18"/>
                <w:szCs w:val="18"/>
              </w:rPr>
              <w:t>（</w:t>
            </w:r>
            <w:r>
              <w:rPr>
                <w:rFonts w:hint="eastAsia" w:ascii="仿宋_GB2312" w:hAnsi="新宋体" w:eastAsia="仿宋_GB2312" w:cs="仿宋_GB2312"/>
                <w:kern w:val="0"/>
                <w:sz w:val="18"/>
                <w:szCs w:val="18"/>
              </w:rPr>
              <w:t>5分</w:t>
            </w:r>
            <w:r>
              <w:rPr>
                <w:rFonts w:ascii="仿宋_GB2312" w:hAnsi="新宋体" w:eastAsia="仿宋_GB2312" w:cs="仿宋_GB2312"/>
                <w:kern w:val="0"/>
                <w:sz w:val="18"/>
                <w:szCs w:val="18"/>
              </w:rPr>
              <w:t>）</w:t>
            </w:r>
          </w:p>
        </w:tc>
        <w:tc>
          <w:tcPr>
            <w:tcW w:w="1559" w:type="dxa"/>
            <w:tcBorders>
              <w:top w:val="single" w:color="auto"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资产管理</w:t>
            </w:r>
          </w:p>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完整性</w:t>
            </w:r>
          </w:p>
          <w:p>
            <w:pPr>
              <w:widowControl/>
              <w:spacing w:line="240" w:lineRule="exact"/>
              <w:jc w:val="left"/>
              <w:rPr>
                <w:szCs w:val="21"/>
              </w:rPr>
            </w:pPr>
            <w:r>
              <w:rPr>
                <w:rFonts w:ascii="仿宋_GB2312" w:hAnsi="新宋体" w:eastAsia="仿宋_GB2312" w:cs="仿宋_GB2312"/>
                <w:kern w:val="0"/>
                <w:szCs w:val="21"/>
              </w:rPr>
              <w:t>（</w:t>
            </w:r>
            <w:r>
              <w:rPr>
                <w:rFonts w:hint="eastAsia" w:ascii="仿宋_GB2312" w:hAnsi="新宋体" w:eastAsia="仿宋_GB2312" w:cs="仿宋_GB2312"/>
                <w:kern w:val="0"/>
                <w:szCs w:val="21"/>
              </w:rPr>
              <w:t>2分</w:t>
            </w:r>
            <w:r>
              <w:rPr>
                <w:rFonts w:ascii="仿宋_GB2312" w:hAnsi="新宋体" w:eastAsia="仿宋_GB2312" w:cs="仿宋_GB2312"/>
                <w:kern w:val="0"/>
                <w:szCs w:val="21"/>
              </w:rPr>
              <w:t>）</w:t>
            </w:r>
          </w:p>
        </w:tc>
        <w:tc>
          <w:tcPr>
            <w:tcW w:w="3260"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部门的资产是否保存完整、使用合规、收入及时足额上缴，用以反映和评价部门资产运行情况。</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1.资产保存完整；</w:t>
            </w:r>
          </w:p>
          <w:p>
            <w:pPr>
              <w:widowControl/>
              <w:spacing w:line="240" w:lineRule="exact"/>
              <w:jc w:val="left"/>
              <w:rPr>
                <w:szCs w:val="21"/>
              </w:rPr>
            </w:pPr>
            <w:r>
              <w:rPr>
                <w:rFonts w:ascii="仿宋_GB2312" w:hAnsi="新宋体" w:eastAsia="仿宋_GB2312" w:cs="仿宋_GB2312"/>
                <w:kern w:val="0"/>
                <w:szCs w:val="21"/>
              </w:rPr>
              <w:t>2.资产账务管理是否合规，帐实相符；</w:t>
            </w:r>
          </w:p>
          <w:p>
            <w:pPr>
              <w:widowControl/>
              <w:spacing w:line="240" w:lineRule="exact"/>
              <w:jc w:val="left"/>
              <w:rPr>
                <w:szCs w:val="21"/>
              </w:rPr>
            </w:pPr>
            <w:r>
              <w:rPr>
                <w:rFonts w:ascii="仿宋_GB2312" w:hAnsi="新宋体" w:eastAsia="仿宋_GB2312" w:cs="仿宋_GB2312"/>
                <w:kern w:val="0"/>
                <w:szCs w:val="21"/>
              </w:rPr>
              <w:t>3.资产有偿使用及处置收入及时足额上缴。</w:t>
            </w:r>
          </w:p>
        </w:tc>
        <w:tc>
          <w:tcPr>
            <w:tcW w:w="2552"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符合全部三项（3）；</w:t>
            </w:r>
          </w:p>
          <w:p>
            <w:pPr>
              <w:widowControl/>
              <w:spacing w:line="240" w:lineRule="exact"/>
              <w:jc w:val="left"/>
              <w:rPr>
                <w:szCs w:val="21"/>
              </w:rPr>
            </w:pPr>
            <w:r>
              <w:rPr>
                <w:rFonts w:ascii="仿宋_GB2312" w:hAnsi="新宋体" w:eastAsia="仿宋_GB2312" w:cs="仿宋_GB2312"/>
                <w:kern w:val="0"/>
                <w:szCs w:val="21"/>
              </w:rPr>
              <w:t>符合其中两项（2）；</w:t>
            </w:r>
          </w:p>
          <w:p>
            <w:pPr>
              <w:widowControl/>
              <w:spacing w:line="240" w:lineRule="exact"/>
              <w:jc w:val="left"/>
              <w:rPr>
                <w:szCs w:val="21"/>
              </w:rPr>
            </w:pPr>
            <w:r>
              <w:rPr>
                <w:rFonts w:ascii="仿宋_GB2312" w:hAnsi="新宋体" w:eastAsia="仿宋_GB2312" w:cs="仿宋_GB2312"/>
                <w:kern w:val="0"/>
                <w:szCs w:val="21"/>
              </w:rPr>
              <w:t>符合其中一项（1）；</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符合零项（0）。</w:t>
            </w:r>
          </w:p>
        </w:tc>
        <w:tc>
          <w:tcPr>
            <w:tcW w:w="567"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89"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559" w:type="dxa"/>
            <w:tcBorders>
              <w:top w:val="single" w:color="auto"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固定资产</w:t>
            </w:r>
          </w:p>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利用率</w:t>
            </w:r>
          </w:p>
          <w:p>
            <w:pPr>
              <w:widowControl/>
              <w:spacing w:line="240" w:lineRule="exact"/>
              <w:jc w:val="left"/>
              <w:rPr>
                <w:szCs w:val="21"/>
              </w:rPr>
            </w:pPr>
            <w:r>
              <w:rPr>
                <w:rFonts w:ascii="仿宋_GB2312" w:hAnsi="新宋体" w:eastAsia="仿宋_GB2312" w:cs="仿宋_GB2312"/>
                <w:kern w:val="0"/>
                <w:szCs w:val="21"/>
              </w:rPr>
              <w:t>（</w:t>
            </w:r>
            <w:r>
              <w:rPr>
                <w:rFonts w:hint="eastAsia" w:ascii="仿宋_GB2312" w:hAnsi="新宋体" w:eastAsia="仿宋_GB2312" w:cs="仿宋_GB2312"/>
                <w:kern w:val="0"/>
                <w:szCs w:val="21"/>
              </w:rPr>
              <w:t>3分</w:t>
            </w:r>
            <w:r>
              <w:rPr>
                <w:rFonts w:ascii="仿宋_GB2312" w:hAnsi="新宋体" w:eastAsia="仿宋_GB2312" w:cs="仿宋_GB2312"/>
                <w:kern w:val="0"/>
                <w:szCs w:val="21"/>
              </w:rPr>
              <w:t>）</w:t>
            </w:r>
          </w:p>
        </w:tc>
        <w:tc>
          <w:tcPr>
            <w:tcW w:w="3260"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部门实际在用固定资产总额与所有固定资产总额的比率，用以反映和评价部门固定资产使用效率。</w:t>
            </w:r>
          </w:p>
          <w:p>
            <w:pPr>
              <w:widowControl/>
              <w:spacing w:line="240" w:lineRule="exact"/>
              <w:jc w:val="left"/>
              <w:rPr>
                <w:szCs w:val="21"/>
              </w:rPr>
            </w:pPr>
            <w:r>
              <w:rPr>
                <w:rFonts w:ascii="仿宋_GB2312" w:hAnsi="新宋体" w:eastAsia="仿宋_GB2312" w:cs="仿宋_GB2312"/>
                <w:kern w:val="0"/>
                <w:szCs w:val="21"/>
              </w:rPr>
              <w:t>固定资产利用率=（实际在用固定资产总额/所有固定资产总额）×100%。</w:t>
            </w:r>
          </w:p>
        </w:tc>
        <w:tc>
          <w:tcPr>
            <w:tcW w:w="2552" w:type="dxa"/>
            <w:tcBorders>
              <w:top w:val="single" w:color="auto"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1.固定资产利用率大于或等于95%的，得满分；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2.固定资产利用率小于或等于85%的，得0分；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3.固定资产利用率在85%-95%之间的，在0和满分之间计算确定：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得分=［某部门固定资产利用率-min（固定资产利用率）］/［max（固定资产利用率）-min（固定资产利用率）］×该指标分值。</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p>
        </w:tc>
        <w:tc>
          <w:tcPr>
            <w:tcW w:w="567"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817"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产出(2</w:t>
            </w:r>
            <w:r>
              <w:rPr>
                <w:rFonts w:hint="eastAsia" w:ascii="仿宋_GB2312" w:hAnsi="新宋体" w:eastAsia="仿宋_GB2312" w:cs="仿宋_GB2312"/>
                <w:kern w:val="0"/>
                <w:szCs w:val="21"/>
              </w:rPr>
              <w:t>5分</w:t>
            </w:r>
            <w:r>
              <w:rPr>
                <w:rFonts w:ascii="仿宋_GB2312" w:hAnsi="新宋体" w:eastAsia="仿宋_GB2312" w:cs="仿宋_GB2312"/>
                <w:kern w:val="0"/>
                <w:szCs w:val="21"/>
              </w:rPr>
              <w:t>)</w:t>
            </w: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职责履行</w:t>
            </w:r>
            <w:r>
              <w:rPr>
                <w:rFonts w:hint="eastAsia" w:ascii="仿宋_GB2312" w:hAnsi="新宋体" w:eastAsia="仿宋_GB2312" w:cs="仿宋_GB2312"/>
                <w:kern w:val="0"/>
                <w:szCs w:val="21"/>
              </w:rPr>
              <w:t>情况</w:t>
            </w:r>
            <w:r>
              <w:rPr>
                <w:rFonts w:ascii="仿宋_GB2312" w:hAnsi="新宋体" w:eastAsia="仿宋_GB2312" w:cs="仿宋_GB2312"/>
                <w:kern w:val="0"/>
                <w:sz w:val="18"/>
                <w:szCs w:val="18"/>
              </w:rPr>
              <w:t>（2</w:t>
            </w:r>
            <w:r>
              <w:rPr>
                <w:rFonts w:hint="eastAsia" w:ascii="仿宋_GB2312" w:hAnsi="新宋体" w:eastAsia="仿宋_GB2312" w:cs="仿宋_GB2312"/>
                <w:kern w:val="0"/>
                <w:sz w:val="18"/>
                <w:szCs w:val="18"/>
              </w:rPr>
              <w:t>5分</w:t>
            </w:r>
            <w:r>
              <w:rPr>
                <w:rFonts w:ascii="仿宋_GB2312" w:hAnsi="新宋体" w:eastAsia="仿宋_GB2312" w:cs="仿宋_GB2312"/>
                <w:kern w:val="0"/>
                <w:sz w:val="18"/>
                <w:szCs w:val="18"/>
              </w:rPr>
              <w:t>）</w:t>
            </w:r>
          </w:p>
        </w:tc>
        <w:tc>
          <w:tcPr>
            <w:tcW w:w="1559"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hint="eastAsia" w:ascii="仿宋_GB2312" w:hAnsi="新宋体" w:eastAsia="仿宋_GB2312" w:cs="仿宋_GB2312"/>
                <w:kern w:val="0"/>
                <w:szCs w:val="21"/>
              </w:rPr>
              <w:t>履职</w:t>
            </w:r>
          </w:p>
          <w:p>
            <w:pPr>
              <w:widowControl/>
              <w:spacing w:line="240" w:lineRule="exact"/>
              <w:jc w:val="left"/>
              <w:rPr>
                <w:rFonts w:ascii="仿宋_GB2312" w:hAnsi="新宋体" w:eastAsia="仿宋_GB2312" w:cs="仿宋_GB2312"/>
                <w:kern w:val="0"/>
                <w:szCs w:val="21"/>
              </w:rPr>
            </w:pPr>
            <w:r>
              <w:rPr>
                <w:rFonts w:hint="eastAsia" w:ascii="仿宋_GB2312" w:hAnsi="新宋体" w:eastAsia="仿宋_GB2312" w:cs="仿宋_GB2312"/>
                <w:kern w:val="0"/>
                <w:szCs w:val="21"/>
              </w:rPr>
              <w:t>完成</w:t>
            </w:r>
          </w:p>
          <w:p>
            <w:pPr>
              <w:widowControl/>
              <w:spacing w:line="240" w:lineRule="exact"/>
              <w:jc w:val="left"/>
              <w:rPr>
                <w:rFonts w:ascii="仿宋_GB2312" w:hAnsi="新宋体" w:eastAsia="仿宋_GB2312" w:cs="仿宋_GB2312"/>
                <w:kern w:val="0"/>
                <w:szCs w:val="21"/>
              </w:rPr>
            </w:pPr>
            <w:r>
              <w:rPr>
                <w:rFonts w:hint="eastAsia" w:ascii="仿宋_GB2312" w:hAnsi="新宋体" w:eastAsia="仿宋_GB2312" w:cs="仿宋_GB2312"/>
                <w:kern w:val="0"/>
                <w:szCs w:val="21"/>
              </w:rPr>
              <w:t>情况</w:t>
            </w:r>
          </w:p>
          <w:p>
            <w:pPr>
              <w:widowControl/>
              <w:spacing w:line="240" w:lineRule="exact"/>
              <w:jc w:val="left"/>
              <w:rPr>
                <w:szCs w:val="21"/>
              </w:rPr>
            </w:pPr>
            <w:r>
              <w:rPr>
                <w:rFonts w:ascii="仿宋_GB2312" w:hAnsi="新宋体" w:eastAsia="仿宋_GB2312" w:cs="仿宋_GB2312"/>
                <w:kern w:val="0"/>
                <w:szCs w:val="21"/>
              </w:rPr>
              <w:t>（</w:t>
            </w:r>
            <w:r>
              <w:rPr>
                <w:rFonts w:hint="eastAsia" w:ascii="仿宋_GB2312" w:hAnsi="新宋体" w:eastAsia="仿宋_GB2312" w:cs="仿宋_GB2312"/>
                <w:kern w:val="0"/>
                <w:szCs w:val="21"/>
              </w:rPr>
              <w:t>10分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根据年度主要任务分解表的具体任务，逐项评价任务量化指标完成情况、实施效果和责任制建立情况。用以反映和考核部门（单位）履职工作任务目标的完成情况。评价要点：</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 xml:space="preserve">1.每项任务是否已制定了明确、具体、可量化、可衡量的绩效指标；           </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2.每项任务绩效指标的完成情况，是全部完成、基本完成、未完成，还是未实施；</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3.每项任务实施效果情况，是优秀、良好、一般，还是无效果；</w:t>
            </w:r>
          </w:p>
          <w:p>
            <w:pPr>
              <w:widowControl/>
              <w:spacing w:line="240" w:lineRule="exact"/>
              <w:jc w:val="left"/>
              <w:textAlignment w:val="center"/>
              <w:rPr>
                <w:szCs w:val="21"/>
              </w:rPr>
            </w:pPr>
            <w:r>
              <w:rPr>
                <w:rFonts w:hint="eastAsia" w:ascii="仿宋" w:hAnsi="仿宋" w:eastAsia="仿宋" w:cs="仿宋"/>
                <w:color w:val="000000"/>
                <w:kern w:val="0"/>
                <w:szCs w:val="21"/>
              </w:rPr>
              <w:t>4.每项任务是否建立了目标责任制，是否落实到具体部门和人员负责。</w:t>
            </w:r>
          </w:p>
        </w:tc>
        <w:tc>
          <w:tcPr>
            <w:tcW w:w="2552"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textAlignment w:val="center"/>
              <w:rPr>
                <w:szCs w:val="21"/>
              </w:rPr>
            </w:pPr>
            <w:r>
              <w:rPr>
                <w:rFonts w:hint="eastAsia" w:ascii="仿宋" w:hAnsi="仿宋" w:eastAsia="仿宋" w:cs="仿宋"/>
                <w:color w:val="000000"/>
                <w:kern w:val="0"/>
                <w:szCs w:val="21"/>
              </w:rPr>
              <w:t>根据不同部门履职的内容和特点，具体测算部门履职工作任务目标的完成情况。</w:t>
            </w:r>
          </w:p>
        </w:tc>
        <w:tc>
          <w:tcPr>
            <w:tcW w:w="567"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default" w:eastAsiaTheme="minorEastAsia"/>
                <w:szCs w:val="21"/>
                <w:lang w:val="en-US" w:eastAsia="zh-CN"/>
              </w:rPr>
            </w:pPr>
            <w:r>
              <w:rPr>
                <w:rFonts w:hint="eastAsia"/>
                <w:szCs w:val="21"/>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90"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559" w:type="dxa"/>
            <w:tcBorders>
              <w:top w:val="single" w:color="000000" w:sz="4" w:space="0"/>
              <w:left w:val="single" w:color="000000"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项目</w:t>
            </w:r>
            <w:r>
              <w:rPr>
                <w:rFonts w:hint="eastAsia" w:ascii="仿宋_GB2312" w:hAnsi="新宋体" w:eastAsia="仿宋_GB2312" w:cs="仿宋_GB2312"/>
                <w:kern w:val="0"/>
                <w:szCs w:val="21"/>
              </w:rPr>
              <w:t>完成</w:t>
            </w:r>
          </w:p>
          <w:p>
            <w:pPr>
              <w:widowControl/>
              <w:spacing w:line="240" w:lineRule="exact"/>
              <w:jc w:val="left"/>
              <w:rPr>
                <w:szCs w:val="21"/>
              </w:rPr>
            </w:pPr>
            <w:r>
              <w:rPr>
                <w:rFonts w:ascii="仿宋_GB2312" w:hAnsi="新宋体" w:eastAsia="仿宋_GB2312" w:cs="仿宋_GB2312"/>
                <w:kern w:val="0"/>
                <w:szCs w:val="21"/>
              </w:rPr>
              <w:t>质量达标率（</w:t>
            </w:r>
            <w:r>
              <w:rPr>
                <w:rFonts w:hint="eastAsia" w:ascii="仿宋_GB2312" w:hAnsi="新宋体" w:eastAsia="仿宋_GB2312" w:cs="仿宋_GB2312"/>
                <w:kern w:val="0"/>
                <w:szCs w:val="21"/>
              </w:rPr>
              <w:t>15</w:t>
            </w:r>
            <w:r>
              <w:rPr>
                <w:rFonts w:ascii="仿宋_GB2312" w:hAnsi="新宋体" w:eastAsia="仿宋_GB2312" w:cs="仿宋_GB2312"/>
                <w:kern w:val="0"/>
                <w:szCs w:val="21"/>
              </w:rPr>
              <w:t>）</w:t>
            </w:r>
          </w:p>
        </w:tc>
        <w:tc>
          <w:tcPr>
            <w:tcW w:w="3260" w:type="dxa"/>
            <w:tcBorders>
              <w:top w:val="single" w:color="000000"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部门已完成项目中质量达标项目个数占已完成项目个数的比率,用以反映和评价部门履职质量目标的实现程度。</w:t>
            </w:r>
          </w:p>
          <w:p>
            <w:pPr>
              <w:widowControl/>
              <w:spacing w:line="240" w:lineRule="exact"/>
              <w:jc w:val="left"/>
              <w:rPr>
                <w:szCs w:val="21"/>
              </w:rPr>
            </w:pPr>
            <w:r>
              <w:rPr>
                <w:rFonts w:ascii="仿宋_GB2312" w:hAnsi="新宋体" w:eastAsia="仿宋_GB2312" w:cs="仿宋_GB2312"/>
                <w:kern w:val="0"/>
                <w:szCs w:val="21"/>
              </w:rPr>
              <w:t>项目质量达标率=（已完成项目中质量达标项目个数/已完成项目个数）×100%。</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项目质量达标是指项目决算验收合格。</w:t>
            </w:r>
          </w:p>
        </w:tc>
        <w:tc>
          <w:tcPr>
            <w:tcW w:w="2552" w:type="dxa"/>
            <w:tcBorders>
              <w:top w:val="single" w:color="000000"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1.项目质量达标率等于100%的，得满分；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2.项目质量达标率小于或等于99%的，得0分；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 xml:space="preserve">3.项目质量达标率在99%-100%之间的，在0和满分之间计算确定： </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得分=［某部门项目质量达标率-min（项目质量达标率）］/［max（项目质量达标率）-min（项目质量达标率）］×该指标分值。</w:t>
            </w:r>
          </w:p>
        </w:tc>
        <w:tc>
          <w:tcPr>
            <w:tcW w:w="567"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default" w:eastAsiaTheme="minorEastAsia"/>
                <w:szCs w:val="21"/>
                <w:lang w:val="en-US" w:eastAsia="zh-CN"/>
              </w:rPr>
            </w:pPr>
            <w:r>
              <w:rPr>
                <w:rFonts w:hint="eastAsia"/>
                <w:szCs w:val="21"/>
                <w:lang w:val="en-US" w:eastAsia="zh-CN"/>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817"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效果（</w:t>
            </w:r>
            <w:r>
              <w:rPr>
                <w:rFonts w:hint="eastAsia" w:ascii="仿宋_GB2312" w:hAnsi="新宋体" w:eastAsia="仿宋_GB2312" w:cs="仿宋_GB2312"/>
                <w:kern w:val="0"/>
                <w:szCs w:val="21"/>
              </w:rPr>
              <w:t>2</w:t>
            </w:r>
            <w:r>
              <w:rPr>
                <w:rFonts w:ascii="仿宋_GB2312" w:hAnsi="新宋体" w:eastAsia="仿宋_GB2312" w:cs="仿宋_GB2312"/>
                <w:kern w:val="0"/>
                <w:szCs w:val="21"/>
              </w:rPr>
              <w:t>0</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851" w:type="dxa"/>
            <w:vMerge w:val="restart"/>
            <w:tcBorders>
              <w:top w:val="single" w:color="auto" w:sz="4" w:space="0"/>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p>
            <w:pPr>
              <w:widowControl/>
              <w:spacing w:line="240" w:lineRule="exact"/>
              <w:jc w:val="left"/>
              <w:rPr>
                <w:rFonts w:ascii="仿宋_GB2312" w:hAnsi="新宋体" w:eastAsia="仿宋_GB2312" w:cs="仿宋_GB2312"/>
                <w:kern w:val="0"/>
                <w:szCs w:val="21"/>
              </w:rPr>
            </w:pPr>
            <w:r>
              <w:rPr>
                <w:rFonts w:hint="eastAsia" w:ascii="仿宋_GB2312" w:hAnsi="新宋体" w:eastAsia="仿宋_GB2312" w:cs="仿宋_GB2312"/>
                <w:kern w:val="0"/>
                <w:szCs w:val="21"/>
              </w:rPr>
              <w:t>履职效益情况</w:t>
            </w:r>
          </w:p>
          <w:p>
            <w:pPr>
              <w:widowControl/>
              <w:spacing w:line="240" w:lineRule="exact"/>
              <w:jc w:val="left"/>
              <w:rPr>
                <w:rFonts w:ascii="仿宋_GB2312" w:hAnsi="新宋体" w:eastAsia="仿宋_GB2312" w:cs="仿宋_GB2312"/>
                <w:kern w:val="0"/>
                <w:sz w:val="18"/>
                <w:szCs w:val="18"/>
              </w:rPr>
            </w:pPr>
            <w:r>
              <w:rPr>
                <w:rFonts w:ascii="仿宋_GB2312" w:hAnsi="新宋体" w:eastAsia="仿宋_GB2312" w:cs="仿宋_GB2312"/>
                <w:kern w:val="0"/>
                <w:sz w:val="18"/>
                <w:szCs w:val="18"/>
              </w:rPr>
              <w:t>（</w:t>
            </w:r>
            <w:r>
              <w:rPr>
                <w:rFonts w:hint="eastAsia" w:ascii="仿宋_GB2312" w:hAnsi="新宋体" w:eastAsia="仿宋_GB2312" w:cs="仿宋_GB2312"/>
                <w:kern w:val="0"/>
                <w:sz w:val="18"/>
                <w:szCs w:val="18"/>
              </w:rPr>
              <w:t>20分</w:t>
            </w:r>
            <w:r>
              <w:rPr>
                <w:rFonts w:ascii="仿宋_GB2312" w:hAnsi="新宋体" w:eastAsia="仿宋_GB2312" w:cs="仿宋_GB2312"/>
                <w:kern w:val="0"/>
                <w:sz w:val="18"/>
                <w:szCs w:val="18"/>
              </w:rPr>
              <w:t>）</w:t>
            </w: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经济效益</w:t>
            </w:r>
          </w:p>
          <w:p>
            <w:pPr>
              <w:widowControl/>
              <w:spacing w:line="240" w:lineRule="exact"/>
              <w:jc w:val="left"/>
              <w:rPr>
                <w:szCs w:val="21"/>
              </w:rPr>
            </w:pPr>
            <w:r>
              <w:rPr>
                <w:rFonts w:ascii="仿宋_GB2312" w:hAnsi="新宋体" w:eastAsia="仿宋_GB2312" w:cs="仿宋_GB2312"/>
                <w:kern w:val="0"/>
                <w:szCs w:val="21"/>
              </w:rPr>
              <w:t>（5</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ascii="仿宋" w:hAnsi="仿宋" w:eastAsia="仿宋" w:cs="仿宋"/>
                <w:color w:val="000000"/>
                <w:kern w:val="0"/>
                <w:szCs w:val="21"/>
              </w:rPr>
            </w:pPr>
            <w:r>
              <w:rPr>
                <w:rFonts w:hint="eastAsia" w:ascii="仿宋" w:hAnsi="仿宋" w:eastAsia="仿宋" w:cs="仿宋"/>
                <w:color w:val="000000"/>
                <w:kern w:val="0"/>
                <w:szCs w:val="21"/>
              </w:rPr>
              <w:t>部门及所属二级单位通过履行职责和预算安排支出项目的实施，对我市带来的经济影响。</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评价要点：</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 xml:space="preserve">1.通过部门所属企事业单位改革，促进了企事业单位效益增长情况；          </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2.通过预算支出项目的实施，促进了行业生产能力增长，从而带动行业经济效益增长；</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3.通过预算支出项目的实施，有效提高劳动效率，节约成本费用；</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4.通过预算支出项目的实施，降低了损耗，从而提高了生产效益；</w:t>
            </w:r>
          </w:p>
          <w:p>
            <w:pPr>
              <w:widowControl/>
              <w:spacing w:line="240" w:lineRule="exact"/>
              <w:jc w:val="left"/>
              <w:textAlignment w:val="center"/>
              <w:rPr>
                <w:rFonts w:ascii="仿宋" w:hAnsi="仿宋" w:eastAsia="仿宋" w:cs="仿宋"/>
                <w:szCs w:val="21"/>
              </w:rPr>
            </w:pPr>
            <w:r>
              <w:rPr>
                <w:rFonts w:hint="eastAsia" w:ascii="仿宋" w:hAnsi="仿宋" w:eastAsia="仿宋" w:cs="仿宋"/>
                <w:color w:val="000000"/>
                <w:kern w:val="0"/>
                <w:szCs w:val="21"/>
              </w:rPr>
              <w:t>5.通过预算支出项目的实施，完善了突发情况的监测预警，保障了生产安全，降低了生产损失。</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ascii="仿宋" w:hAnsi="仿宋" w:eastAsia="仿宋" w:cs="仿宋"/>
                <w:szCs w:val="21"/>
              </w:rPr>
            </w:pPr>
            <w:r>
              <w:rPr>
                <w:rFonts w:hint="eastAsia" w:ascii="仿宋" w:hAnsi="仿宋" w:eastAsia="仿宋" w:cs="仿宋"/>
                <w:color w:val="000000"/>
                <w:kern w:val="0"/>
                <w:szCs w:val="21"/>
              </w:rPr>
              <w:t>根据不同部门履职的内容和特点，具体测算部门履职产生的经济效益。</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817"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851"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rPr>
                <w:rFonts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社会效益</w:t>
            </w:r>
          </w:p>
          <w:p>
            <w:pPr>
              <w:widowControl/>
              <w:spacing w:line="240" w:lineRule="exact"/>
              <w:rPr>
                <w:rFonts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（5分）</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textAlignment w:val="center"/>
              <w:rPr>
                <w:rFonts w:ascii="仿宋" w:hAnsi="仿宋" w:eastAsia="仿宋" w:cs="仿宋"/>
                <w:color w:val="000000"/>
                <w:kern w:val="0"/>
                <w:szCs w:val="21"/>
              </w:rPr>
            </w:pPr>
            <w:r>
              <w:rPr>
                <w:rFonts w:hint="eastAsia" w:ascii="仿宋" w:hAnsi="仿宋" w:eastAsia="仿宋" w:cs="仿宋"/>
                <w:color w:val="000000"/>
                <w:kern w:val="0"/>
                <w:szCs w:val="21"/>
              </w:rPr>
              <w:t>部门及所属二级单位履行职责对社会发展所带来的直接或间接影响。</w:t>
            </w:r>
          </w:p>
          <w:p>
            <w:pPr>
              <w:widowControl/>
              <w:spacing w:line="240" w:lineRule="exac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评价要点：</w:t>
            </w:r>
          </w:p>
          <w:p>
            <w:pPr>
              <w:widowControl/>
              <w:spacing w:line="240" w:lineRule="exac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 xml:space="preserve">1.通过部门所属企事业单位的改革，促进了企事业单位可持续发展，带动就业增长情况；          </w:t>
            </w:r>
          </w:p>
          <w:p>
            <w:pPr>
              <w:widowControl/>
              <w:spacing w:line="240" w:lineRule="exac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2.通过预算支出项目的实施，是否明显促进了行业精神文明建设；</w:t>
            </w:r>
          </w:p>
          <w:p>
            <w:pPr>
              <w:widowControl/>
              <w:spacing w:line="240" w:lineRule="exac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3.通过部门履职是否明显提高城乡居民生活水平，满足了人们日益增长的物质与文化生活需求；</w:t>
            </w:r>
          </w:p>
          <w:p>
            <w:pPr>
              <w:widowControl/>
              <w:spacing w:line="240" w:lineRule="exac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4.通过预算项目的实施，是否提高了劳动生产率，降低了劳动强度，促进了劳动人民的身心健康；</w:t>
            </w:r>
          </w:p>
          <w:p>
            <w:pPr>
              <w:widowControl/>
              <w:spacing w:line="240" w:lineRule="exact"/>
              <w:textAlignment w:val="center"/>
              <w:rPr>
                <w:rFonts w:ascii="仿宋" w:hAnsi="仿宋" w:eastAsia="仿宋" w:cs="仿宋"/>
                <w:color w:val="000000"/>
                <w:kern w:val="0"/>
                <w:szCs w:val="21"/>
              </w:rPr>
            </w:pPr>
            <w:r>
              <w:rPr>
                <w:rFonts w:hint="eastAsia" w:ascii="仿宋" w:hAnsi="仿宋" w:eastAsia="仿宋" w:cs="仿宋"/>
                <w:color w:val="000000"/>
                <w:kern w:val="0"/>
                <w:szCs w:val="21"/>
              </w:rPr>
              <w:t>5.通过部门履职行业形象是否得到了大大提升了，增强了部门影响力。</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textAlignment w:val="center"/>
              <w:rPr>
                <w:rFonts w:ascii="仿宋" w:hAnsi="仿宋" w:eastAsia="仿宋" w:cs="仿宋"/>
                <w:szCs w:val="21"/>
              </w:rPr>
            </w:pPr>
            <w:r>
              <w:rPr>
                <w:rFonts w:hint="eastAsia" w:ascii="仿宋" w:hAnsi="仿宋" w:eastAsia="仿宋" w:cs="仿宋"/>
                <w:color w:val="000000"/>
                <w:kern w:val="0"/>
                <w:szCs w:val="21"/>
              </w:rPr>
              <w:t>根据不同部门履职的内容和特点，具体测算部门履职产生的社会效益。</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817"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851"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生态效益</w:t>
            </w:r>
          </w:p>
          <w:p>
            <w:pPr>
              <w:widowControl/>
              <w:spacing w:line="240" w:lineRule="exact"/>
              <w:jc w:val="left"/>
              <w:rPr>
                <w:rFonts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（5分）</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ascii="仿宋" w:hAnsi="仿宋" w:eastAsia="仿宋" w:cs="仿宋"/>
                <w:color w:val="000000"/>
                <w:kern w:val="0"/>
                <w:szCs w:val="21"/>
              </w:rPr>
            </w:pPr>
            <w:r>
              <w:rPr>
                <w:rFonts w:hint="eastAsia" w:ascii="仿宋" w:hAnsi="仿宋" w:eastAsia="仿宋" w:cs="仿宋"/>
                <w:color w:val="000000"/>
                <w:kern w:val="0"/>
                <w:szCs w:val="21"/>
              </w:rPr>
              <w:t>部门及所属二级单位履行职责对生态环境所带来的直接或间接影响。</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评价要点：</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1.通过预算支出项目的实施，绿色、节能环保新技术的应用和推广，明显带动各环节的节能减排，也具有一定的环境效益；</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2.通过履职有效地控制虚假、伪劣、霉变等劣质产品进入市场，影响了人民生活质量，净化地市场环境；</w:t>
            </w:r>
          </w:p>
          <w:p>
            <w:pPr>
              <w:widowControl/>
              <w:spacing w:line="240" w:lineRule="exact"/>
              <w:jc w:val="left"/>
              <w:textAlignment w:val="center"/>
              <w:rPr>
                <w:rFonts w:hint="eastAsia" w:ascii="仿宋" w:hAnsi="仿宋" w:eastAsia="仿宋" w:cs="仿宋"/>
                <w:color w:val="000000"/>
                <w:kern w:val="0"/>
                <w:szCs w:val="21"/>
                <w:lang w:eastAsia="zh-CN"/>
              </w:rPr>
            </w:pPr>
            <w:r>
              <w:rPr>
                <w:rFonts w:hint="eastAsia" w:ascii="仿宋" w:hAnsi="仿宋" w:eastAsia="仿宋" w:cs="仿宋"/>
                <w:color w:val="000000"/>
                <w:kern w:val="0"/>
                <w:szCs w:val="21"/>
              </w:rPr>
              <w:t>3.通过预算支出项目的实施，是否达到减少污染物排放；</w:t>
            </w:r>
          </w:p>
          <w:p>
            <w:pPr>
              <w:widowControl/>
              <w:spacing w:line="240" w:lineRule="exact"/>
              <w:jc w:val="left"/>
              <w:textAlignment w:val="center"/>
              <w:rPr>
                <w:rFonts w:ascii="仿宋" w:hAnsi="仿宋" w:eastAsia="仿宋" w:cs="仿宋"/>
                <w:color w:val="000000"/>
                <w:kern w:val="0"/>
                <w:szCs w:val="21"/>
              </w:rPr>
            </w:pPr>
            <w:r>
              <w:rPr>
                <w:rFonts w:hint="eastAsia" w:ascii="仿宋" w:hAnsi="仿宋" w:eastAsia="仿宋" w:cs="仿宋"/>
                <w:color w:val="000000"/>
                <w:kern w:val="0"/>
                <w:szCs w:val="21"/>
              </w:rPr>
              <w:t>4.通过预算支出项目的实施，周围环境得到了整治，面貌得到了改善。</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szCs w:val="21"/>
              </w:rPr>
            </w:pPr>
            <w:r>
              <w:rPr>
                <w:rFonts w:hint="eastAsia" w:ascii="仿宋" w:hAnsi="仿宋" w:eastAsia="仿宋" w:cs="仿宋"/>
                <w:color w:val="000000"/>
                <w:kern w:val="0"/>
                <w:szCs w:val="21"/>
              </w:rPr>
              <w:t>根据不同部门履职的内容和特点，具体测算部门履职产生的生态效益。</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851" w:type="dxa"/>
            <w:vMerge w:val="continue"/>
            <w:tcBorders>
              <w:left w:val="single" w:color="000000" w:sz="4" w:space="0"/>
              <w:right w:val="single" w:color="000000" w:sz="4" w:space="0"/>
            </w:tcBorders>
            <w:vAlign w:val="center"/>
          </w:tcPr>
          <w:p>
            <w:pPr>
              <w:widowControl/>
              <w:spacing w:line="240" w:lineRule="exact"/>
              <w:jc w:val="left"/>
              <w:rPr>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服务对象</w:t>
            </w:r>
            <w:r>
              <w:rPr>
                <w:rFonts w:ascii="仿宋_GB2312" w:hAnsi="新宋体" w:eastAsia="仿宋_GB2312" w:cs="仿宋_GB2312"/>
                <w:kern w:val="0"/>
                <w:szCs w:val="21"/>
              </w:rPr>
              <w:t>满意度（5）</w:t>
            </w:r>
          </w:p>
        </w:tc>
        <w:tc>
          <w:tcPr>
            <w:tcW w:w="3260"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hint="eastAsia" w:ascii="仿宋_GB2312" w:hAnsi="新宋体" w:eastAsia="仿宋_GB2312" w:cs="仿宋_GB2312"/>
                <w:kern w:val="0"/>
                <w:szCs w:val="21"/>
              </w:rPr>
              <w:t>通过对部门（单位）的服务对象对部门履职效果的满意程度调查，反映和考核社会公众或服务对象对部门履职的满意度。</w:t>
            </w:r>
          </w:p>
        </w:tc>
        <w:tc>
          <w:tcPr>
            <w:tcW w:w="2552"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rPr>
                <w:rFonts w:ascii="仿宋" w:hAnsi="仿宋" w:eastAsia="仿宋" w:cs="宋体"/>
                <w:kern w:val="0"/>
                <w:szCs w:val="21"/>
              </w:rPr>
            </w:pPr>
            <w:r>
              <w:rPr>
                <w:rFonts w:ascii="仿宋" w:hAnsi="仿宋" w:eastAsia="仿宋" w:cs="Arial"/>
                <w:kern w:val="0"/>
                <w:szCs w:val="21"/>
              </w:rPr>
              <w:t>按照满意度调查的优秀、良好、合格、不合格给予该项指标打分：</w:t>
            </w:r>
          </w:p>
          <w:p>
            <w:pPr>
              <w:widowControl/>
              <w:spacing w:line="240" w:lineRule="exact"/>
              <w:rPr>
                <w:szCs w:val="21"/>
              </w:rPr>
            </w:pPr>
            <w:r>
              <w:rPr>
                <w:rFonts w:ascii="仿宋" w:hAnsi="仿宋" w:eastAsia="仿宋" w:cs="Arial"/>
                <w:kern w:val="0"/>
                <w:szCs w:val="21"/>
              </w:rPr>
              <w:t>优秀（</w:t>
            </w:r>
            <w:r>
              <w:rPr>
                <w:rFonts w:hint="eastAsia" w:ascii="仿宋" w:hAnsi="仿宋" w:eastAsia="仿宋" w:cs="Arial"/>
                <w:kern w:val="0"/>
                <w:szCs w:val="21"/>
              </w:rPr>
              <w:t>5</w:t>
            </w:r>
            <w:r>
              <w:rPr>
                <w:rFonts w:ascii="仿宋" w:hAnsi="仿宋" w:eastAsia="仿宋" w:cs="Arial"/>
                <w:kern w:val="0"/>
                <w:szCs w:val="21"/>
              </w:rPr>
              <w:t>）；良好（</w:t>
            </w:r>
            <w:r>
              <w:rPr>
                <w:rFonts w:hint="eastAsia" w:ascii="仿宋" w:hAnsi="仿宋" w:eastAsia="仿宋" w:cs="Arial"/>
                <w:kern w:val="0"/>
                <w:szCs w:val="21"/>
              </w:rPr>
              <w:t>3</w:t>
            </w:r>
            <w:r>
              <w:rPr>
                <w:rFonts w:ascii="仿宋" w:hAnsi="仿宋" w:eastAsia="仿宋" w:cs="Arial"/>
                <w:kern w:val="0"/>
                <w:szCs w:val="21"/>
              </w:rPr>
              <w:t>）；合格（</w:t>
            </w:r>
            <w:r>
              <w:rPr>
                <w:rFonts w:hint="eastAsia" w:ascii="仿宋" w:hAnsi="仿宋" w:eastAsia="仿宋" w:cs="Arial"/>
                <w:kern w:val="0"/>
                <w:szCs w:val="21"/>
              </w:rPr>
              <w:t>1</w:t>
            </w:r>
            <w:r>
              <w:rPr>
                <w:rFonts w:ascii="仿宋" w:hAnsi="仿宋" w:eastAsia="仿宋" w:cs="Arial"/>
                <w:kern w:val="0"/>
                <w:szCs w:val="21"/>
              </w:rPr>
              <w:t>）；不合格（</w:t>
            </w:r>
            <w:r>
              <w:rPr>
                <w:rFonts w:hint="eastAsia" w:ascii="仿宋" w:hAnsi="仿宋" w:eastAsia="仿宋" w:cs="Arial"/>
                <w:kern w:val="0"/>
                <w:szCs w:val="21"/>
              </w:rPr>
              <w:t>0</w:t>
            </w:r>
            <w:r>
              <w:rPr>
                <w:rFonts w:ascii="仿宋" w:hAnsi="仿宋" w:eastAsia="仿宋" w:cs="Arial"/>
                <w:kern w:val="0"/>
                <w:szCs w:val="21"/>
              </w:rPr>
              <w:t>）。</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5</w:t>
            </w:r>
          </w:p>
        </w:tc>
      </w:tr>
    </w:tbl>
    <w:p>
      <w:pPr>
        <w:rPr>
          <w:rFonts w:ascii="黑体" w:hAnsi="黑体" w:eastAsia="黑体" w:cs="黑体"/>
          <w:b/>
          <w:bCs/>
          <w:sz w:val="30"/>
          <w:szCs w:val="30"/>
        </w:rPr>
      </w:pPr>
    </w:p>
    <w:p>
      <w:pPr>
        <w:ind w:firstLine="780"/>
        <w:jc w:val="center"/>
        <w:rPr>
          <w:rFonts w:hint="eastAsia" w:cs="黑体" w:asciiTheme="minorEastAsia" w:hAnsiTheme="minorEastAsia" w:eastAsiaTheme="minorEastAsia"/>
          <w:b/>
          <w:bCs/>
          <w:sz w:val="44"/>
          <w:szCs w:val="44"/>
          <w:lang w:eastAsia="zh-CN"/>
        </w:rPr>
      </w:pPr>
      <w:r>
        <w:rPr>
          <w:rFonts w:hint="eastAsia" w:cs="黑体" w:asciiTheme="minorEastAsia" w:hAnsiTheme="minorEastAsia"/>
          <w:b/>
          <w:bCs/>
          <w:sz w:val="44"/>
          <w:szCs w:val="44"/>
          <w:lang w:eastAsia="zh-CN"/>
        </w:rPr>
        <w:t>巨鹿</w:t>
      </w:r>
      <w:r>
        <w:rPr>
          <w:rFonts w:hint="eastAsia" w:cs="黑体" w:asciiTheme="minorEastAsia" w:hAnsiTheme="minorEastAsia"/>
          <w:b/>
          <w:bCs/>
          <w:sz w:val="44"/>
          <w:szCs w:val="44"/>
        </w:rPr>
        <w:t>县</w:t>
      </w:r>
      <w:r>
        <w:rPr>
          <w:rFonts w:hint="eastAsia" w:cs="黑体" w:asciiTheme="minorEastAsia" w:hAnsiTheme="minorEastAsia"/>
          <w:b/>
          <w:bCs/>
          <w:sz w:val="44"/>
          <w:szCs w:val="44"/>
          <w:lang w:val="en-US" w:eastAsia="zh-CN"/>
        </w:rPr>
        <w:t>交通运输局</w:t>
      </w:r>
    </w:p>
    <w:p>
      <w:pPr>
        <w:ind w:firstLine="780"/>
        <w:jc w:val="center"/>
        <w:rPr>
          <w:rFonts w:cs="黑体" w:asciiTheme="minorEastAsia" w:hAnsiTheme="minorEastAsia"/>
          <w:b/>
          <w:bCs/>
          <w:sz w:val="44"/>
          <w:szCs w:val="44"/>
        </w:rPr>
      </w:pPr>
      <w:r>
        <w:rPr>
          <w:rFonts w:hint="eastAsia" w:cs="黑体" w:asciiTheme="minorEastAsia" w:hAnsiTheme="minorEastAsia"/>
          <w:b/>
          <w:bCs/>
          <w:sz w:val="44"/>
          <w:szCs w:val="44"/>
        </w:rPr>
        <w:t>2021年部门整体支出绩效评价报告</w:t>
      </w:r>
    </w:p>
    <w:p>
      <w:pPr>
        <w:ind w:firstLine="640" w:firstLineChars="200"/>
        <w:rPr>
          <w:rFonts w:ascii="黑体" w:hAnsi="黑体" w:eastAsia="黑体" w:cs="仿宋"/>
          <w:sz w:val="32"/>
          <w:szCs w:val="32"/>
        </w:rPr>
      </w:pPr>
      <w:r>
        <w:rPr>
          <w:rFonts w:hint="eastAsia" w:ascii="黑体" w:hAnsi="黑体" w:eastAsia="黑体" w:cs="仿宋"/>
          <w:sz w:val="32"/>
          <w:szCs w:val="32"/>
        </w:rPr>
        <w:t>一、基本概况。</w:t>
      </w:r>
    </w:p>
    <w:p>
      <w:pPr>
        <w:adjustRightInd w:val="0"/>
        <w:ind w:firstLine="640" w:firstLineChars="200"/>
        <w:rPr>
          <w:rFonts w:hint="eastAsia" w:ascii="仿宋" w:hAnsi="仿宋" w:eastAsia="仿宋" w:cs="仿宋"/>
          <w:sz w:val="32"/>
          <w:szCs w:val="32"/>
        </w:rPr>
      </w:pPr>
      <w:r>
        <w:rPr>
          <w:rFonts w:hint="eastAsia" w:ascii="仿宋" w:hAnsi="仿宋" w:eastAsia="仿宋" w:cs="仿宋"/>
          <w:sz w:val="32"/>
          <w:szCs w:val="32"/>
        </w:rPr>
        <w:t>(一)部门主要职责职能和部门组织架构</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1．主要职能</w:t>
      </w:r>
    </w:p>
    <w:p>
      <w:pPr>
        <w:keepNext w:val="0"/>
        <w:keepLines w:val="0"/>
        <w:pageBreakBefore w:val="0"/>
        <w:kinsoku/>
        <w:wordWrap/>
        <w:overflowPunct/>
        <w:topLinePunct w:val="0"/>
        <w:autoSpaceDE/>
        <w:autoSpaceDN/>
        <w:bidi w:val="0"/>
        <w:adjustRightInd/>
        <w:snapToGrid/>
        <w:spacing w:line="640" w:lineRule="exact"/>
        <w:ind w:firstLine="752" w:firstLineChars="200"/>
        <w:textAlignment w:val="auto"/>
        <w:rPr>
          <w:rFonts w:hint="eastAsia" w:ascii="仿宋_GB2312" w:hAnsi="仿宋" w:eastAsia="仿宋_GB2312"/>
          <w:spacing w:val="28"/>
          <w:kern w:val="20"/>
          <w:sz w:val="32"/>
          <w:szCs w:val="32"/>
        </w:rPr>
      </w:pPr>
      <w:r>
        <w:rPr>
          <w:rFonts w:hint="eastAsia" w:ascii="仿宋_GB2312" w:hAnsi="仿宋" w:eastAsia="仿宋_GB2312"/>
          <w:spacing w:val="28"/>
          <w:kern w:val="20"/>
          <w:sz w:val="32"/>
          <w:szCs w:val="32"/>
        </w:rPr>
        <w:t>根据相关文件规定，巨鹿县交通运输局的主要职能是：</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同有关部门推进全县综合交通运输体系建设，统筹规划公路、水路、地方铁路、民航行业发展，建立健全与全县综合交通运输体系相适应的制度体制机制，优化县内交通运输主要通道和重要枢纽节点布局，促进各种交通运输方式融合。</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同有关部门组织拟订全县综合交通运输发展战略和政策，组织编制全县综合交通运输体系规划，拟订公路、水路、地方铁路、民航发展战略、政策和规划并监督实施，指导综合交通运输枢纽规划和管理。参与拟订物流业发展战略和规划，落实有关政策并监督实施。统筹协调邮政规划与交通运输规划的衔接。</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负责组织起草全县综合交通运输政策和制度，统筹全县公路、水路、地方铁路、民航相关政策制度的起草工作。负责交通运输综合行政执法、重大案件查处和队伍建设有关工作，配合跨区域执法工作。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监督实施全县公路、水路、地方铁路等行业标准，协调衔接各种交通运输方式标准。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承担全县道路、水路、地方铁路运输市场监管责任。组织拟订道路、水路、地方铁路运输有关政策、准入退出制度、技术标准和运营规范并监督实施。指导城乡客运及有关设施规划和管理。指导城市客运工作。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负责全县地方铁路行业管理工作。牵头负责铁路沿线环境安全监管职责。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担管辖水域水上交通安全监管责任。负责水上交通管制、船舶及相关水上设施检验、登记和防止污染等工作。负责渔船检验和监督管理。依法组织或参与事故调查处理。指导航运、地方海事和船员管理有关事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提出全县交通运输行业固定资产投资规模和方向、财政性资金安排意见，按县政府规定权限对规划内和年度计划规模内的固定资产投资项目进行行业审批、核准。负责交通国有资产管理和交通专项资金的管理、使用。指导行业内部审计工作。承担交通运输行业财政预算资金的绩效监督和管理工作。代表县政府履行交通运输类企业出资人职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担全县公路、水路、地方铁路建设市场监管责任。贯彻落实国家和省市有关公路、水路、地方铁路建设相关政策、制度和技术标准。负责公路、水路、地方铁路等有关重点工程建设、工程质量和安全生产的监督管理工作。负责交通运输基础设施管理和维护。负责全县交通基本建设项目招投标活动的监督管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负责并指导全县公路、水路、地方铁路行业安全生产和应急管理。按规定组织协调国家、省、市、县重点物资和紧急客货运输。负责县内国、省重点干线公路网运行</w:t>
      </w:r>
      <w:r>
        <w:rPr>
          <w:rFonts w:hint="eastAsia" w:ascii="仿宋_GB2312" w:hAnsi="仿宋_GB2312" w:eastAsia="仿宋_GB2312" w:cs="仿宋_GB2312"/>
          <w:sz w:val="32"/>
          <w:szCs w:val="32"/>
          <w:lang w:val="en-US" w:eastAsia="zh-CN"/>
        </w:rPr>
        <w:t>监</w:t>
      </w:r>
      <w:r>
        <w:rPr>
          <w:rFonts w:hint="eastAsia" w:ascii="仿宋_GB2312" w:hAnsi="仿宋_GB2312" w:eastAsia="仿宋_GB2312" w:cs="仿宋_GB2312"/>
          <w:sz w:val="32"/>
          <w:szCs w:val="32"/>
        </w:rPr>
        <w:t>测和应急处置协调工作。配合做好国防交通战备工作。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负责全县交通运输信息化建设，</w:t>
      </w:r>
      <w:r>
        <w:rPr>
          <w:rFonts w:hint="eastAsia" w:ascii="仿宋_GB2312" w:hAnsi="仿宋_GB2312" w:eastAsia="仿宋_GB2312" w:cs="仿宋_GB2312"/>
          <w:sz w:val="32"/>
          <w:szCs w:val="32"/>
          <w:lang w:val="en-US" w:eastAsia="zh-CN"/>
        </w:rPr>
        <w:t>监</w:t>
      </w:r>
      <w:r>
        <w:rPr>
          <w:rFonts w:hint="eastAsia" w:ascii="仿宋_GB2312" w:hAnsi="仿宋_GB2312" w:eastAsia="仿宋_GB2312" w:cs="仿宋_GB2312"/>
          <w:sz w:val="32"/>
          <w:szCs w:val="32"/>
        </w:rPr>
        <w:t>测分析运行情况，开展相关统计，发布有关信息。组织指导公路、水路、地方铁路行业环境保护和节能减排。</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⑫</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负责全县交通运输行业科技和教育工作，组织科技开发，推动行业技术进步。组织指导交通运输行业精神文明建设。</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⑬</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负责全县交通运输行业涉外事宜，开展与其它地区交通运输经济技术合作与交流。负责京津冀协同发展交通一体化组织协调工作。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完成县委、县政府交办的其他任务。</w:t>
      </w:r>
    </w:p>
    <w:p>
      <w:pPr>
        <w:ind w:firstLine="640" w:firstLineChars="200"/>
        <w:rPr>
          <w:rFonts w:hint="eastAsia" w:ascii="仿宋" w:hAnsi="仿宋" w:eastAsia="仿宋" w:cs="仿宋"/>
          <w:sz w:val="32"/>
          <w:szCs w:val="32"/>
        </w:rPr>
      </w:pPr>
      <w:r>
        <w:rPr>
          <w:rFonts w:hint="eastAsia" w:ascii="仿宋_GB2312" w:hAnsi="仿宋_GB2312" w:eastAsia="仿宋_GB2312" w:cs="仿宋_GB2312"/>
          <w:sz w:val="32"/>
          <w:szCs w:val="32"/>
        </w:rPr>
        <w:t>2．机构情况。巨鹿县交通运输局设4个职能股室和</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个下属事业单位：办公室</w:t>
      </w:r>
      <w:r>
        <w:rPr>
          <w:rFonts w:hint="eastAsia" w:ascii="仿宋_GB2312" w:hAnsi="仿宋_GB2312" w:eastAsia="仿宋_GB2312" w:cs="仿宋_GB2312"/>
          <w:sz w:val="32"/>
          <w:szCs w:val="32"/>
          <w:lang w:val="en-US" w:eastAsia="zh-CN"/>
        </w:rPr>
        <w:t>(法制和安全生产股）</w:t>
      </w:r>
      <w:r>
        <w:rPr>
          <w:rFonts w:hint="eastAsia" w:ascii="仿宋_GB2312" w:hAnsi="仿宋_GB2312" w:eastAsia="仿宋_GB2312" w:cs="仿宋_GB2312"/>
          <w:sz w:val="32"/>
          <w:szCs w:val="32"/>
        </w:rPr>
        <w:t>、财务股、计划</w:t>
      </w:r>
      <w:r>
        <w:rPr>
          <w:rFonts w:hint="eastAsia" w:ascii="仿宋_GB2312" w:hAnsi="仿宋_GB2312" w:eastAsia="仿宋_GB2312" w:cs="仿宋_GB2312"/>
          <w:sz w:val="32"/>
          <w:szCs w:val="32"/>
          <w:lang w:eastAsia="zh-CN"/>
        </w:rPr>
        <w:t>统计股、综合运输股、</w:t>
      </w:r>
      <w:r>
        <w:rPr>
          <w:rFonts w:hint="eastAsia" w:ascii="仿宋_GB2312" w:hAnsi="仿宋_GB2312" w:eastAsia="仿宋_GB2312" w:cs="仿宋_GB2312"/>
          <w:sz w:val="32"/>
          <w:szCs w:val="32"/>
        </w:rPr>
        <w:t>巨鹿县交通运输综合行政执法大队；巨鹿县地方道路管理站、巨鹿县运输管理站、巨鹿县交通运输局公路工程队。</w:t>
      </w:r>
    </w:p>
    <w:p>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（二）人员情况。</w:t>
      </w:r>
    </w:p>
    <w:p>
      <w:pPr>
        <w:ind w:firstLine="640" w:firstLineChars="200"/>
        <w:rPr>
          <w:rFonts w:hint="default" w:ascii="仿宋" w:hAnsi="仿宋" w:eastAsia="仿宋_GB2312" w:cs="仿宋"/>
          <w:sz w:val="32"/>
          <w:szCs w:val="32"/>
          <w:lang w:val="en-US" w:eastAsia="zh-CN"/>
        </w:rPr>
      </w:pP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底</w:t>
      </w:r>
      <w:r>
        <w:rPr>
          <w:rFonts w:hint="eastAsia" w:ascii="仿宋_GB2312" w:hAnsi="仿宋_GB2312" w:eastAsia="仿宋_GB2312" w:cs="仿宋_GB2312"/>
          <w:sz w:val="32"/>
          <w:szCs w:val="32"/>
        </w:rPr>
        <w:t>人员共计1</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人，其中：行政1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人、事业</w:t>
      </w:r>
      <w:r>
        <w:rPr>
          <w:rFonts w:hint="eastAsia" w:ascii="仿宋_GB2312" w:hAnsi="仿宋_GB2312" w:eastAsia="仿宋_GB2312" w:cs="仿宋_GB2312"/>
          <w:sz w:val="32"/>
          <w:szCs w:val="32"/>
          <w:lang w:val="en-US" w:eastAsia="zh-CN"/>
        </w:rPr>
        <w:t>60</w:t>
      </w:r>
      <w:r>
        <w:rPr>
          <w:rFonts w:hint="eastAsia" w:ascii="仿宋_GB2312" w:hAnsi="仿宋_GB2312" w:eastAsia="仿宋_GB2312" w:cs="仿宋_GB2312"/>
          <w:sz w:val="32"/>
          <w:szCs w:val="32"/>
        </w:rPr>
        <w:t>、退休人员</w:t>
      </w:r>
      <w:r>
        <w:rPr>
          <w:rFonts w:hint="eastAsia" w:ascii="仿宋_GB2312" w:hAnsi="仿宋_GB2312" w:eastAsia="仿宋_GB2312" w:cs="仿宋_GB2312"/>
          <w:sz w:val="32"/>
          <w:szCs w:val="32"/>
          <w:lang w:val="en-US" w:eastAsia="zh-CN"/>
        </w:rPr>
        <w:t>39</w:t>
      </w:r>
      <w:r>
        <w:rPr>
          <w:rFonts w:hint="eastAsia" w:ascii="仿宋_GB2312" w:hAnsi="仿宋_GB2312" w:eastAsia="仿宋_GB2312" w:cs="仿宋_GB2312"/>
          <w:sz w:val="32"/>
          <w:szCs w:val="32"/>
        </w:rPr>
        <w:t>人。</w:t>
      </w:r>
    </w:p>
    <w:p>
      <w:pPr>
        <w:numPr>
          <w:ilvl w:val="0"/>
          <w:numId w:val="1"/>
        </w:numPr>
        <w:adjustRightInd w:val="0"/>
        <w:ind w:left="480" w:leftChars="0" w:firstLine="0" w:firstLineChars="0"/>
        <w:rPr>
          <w:rFonts w:hint="eastAsia" w:ascii="仿宋" w:hAnsi="仿宋" w:eastAsia="仿宋" w:cs="仿宋"/>
          <w:sz w:val="32"/>
          <w:szCs w:val="32"/>
        </w:rPr>
      </w:pPr>
      <w:r>
        <w:rPr>
          <w:rFonts w:hint="eastAsia" w:ascii="仿宋" w:hAnsi="仿宋" w:eastAsia="仿宋" w:cs="仿宋"/>
          <w:sz w:val="32"/>
          <w:szCs w:val="32"/>
        </w:rPr>
        <w:t>部门履职总体目标。</w:t>
      </w:r>
    </w:p>
    <w:p>
      <w:pPr>
        <w:keepNext w:val="0"/>
        <w:keepLines w:val="0"/>
        <w:pageBreakBefore w:val="0"/>
        <w:numPr>
          <w:ilvl w:val="0"/>
          <w:numId w:val="0"/>
        </w:numPr>
        <w:kinsoku/>
        <w:wordWrap/>
        <w:overflowPunct/>
        <w:topLinePunct w:val="0"/>
        <w:bidi w:val="0"/>
        <w:snapToGrid/>
        <w:spacing w:line="560" w:lineRule="exact"/>
        <w:ind w:left="0" w:leftChars="0" w:right="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 w:eastAsia="仿宋_GB2312" w:cs="仿宋"/>
          <w:sz w:val="32"/>
          <w:szCs w:val="32"/>
        </w:rPr>
        <w:t>坚持以习近平新时代中国特色社会主义思想为指导，深入贯彻党的十九届</w:t>
      </w:r>
      <w:r>
        <w:rPr>
          <w:rFonts w:hint="eastAsia" w:ascii="仿宋_GB2312" w:hAnsi="仿宋" w:eastAsia="仿宋_GB2312" w:cs="仿宋"/>
          <w:sz w:val="32"/>
          <w:szCs w:val="32"/>
          <w:lang w:eastAsia="zh-CN"/>
        </w:rPr>
        <w:t>五</w:t>
      </w:r>
      <w:r>
        <w:rPr>
          <w:rFonts w:hint="eastAsia" w:ascii="仿宋_GB2312" w:hAnsi="仿宋" w:eastAsia="仿宋_GB2312" w:cs="仿宋"/>
          <w:sz w:val="32"/>
          <w:szCs w:val="32"/>
        </w:rPr>
        <w:t>中全会精神。202</w:t>
      </w:r>
      <w:r>
        <w:rPr>
          <w:rFonts w:hint="eastAsia" w:ascii="仿宋_GB2312" w:hAnsi="仿宋" w:eastAsia="仿宋_GB2312" w:cs="仿宋"/>
          <w:sz w:val="32"/>
          <w:szCs w:val="32"/>
          <w:lang w:val="en-US" w:eastAsia="zh-CN"/>
        </w:rPr>
        <w:t>1</w:t>
      </w:r>
      <w:r>
        <w:rPr>
          <w:rFonts w:hint="eastAsia" w:ascii="仿宋_GB2312" w:hAnsi="仿宋" w:eastAsia="仿宋_GB2312" w:cs="仿宋"/>
          <w:sz w:val="32"/>
          <w:szCs w:val="32"/>
        </w:rPr>
        <w:t>年巨鹿县交通运输局</w:t>
      </w:r>
      <w:r>
        <w:rPr>
          <w:rFonts w:hint="eastAsia" w:ascii="仿宋_GB2312" w:hAnsi="仿宋" w:eastAsia="仿宋_GB2312" w:cs="仿宋"/>
          <w:sz w:val="32"/>
          <w:szCs w:val="32"/>
          <w:lang w:eastAsia="zh-CN"/>
        </w:rPr>
        <w:t>将紧紧</w:t>
      </w:r>
      <w:r>
        <w:rPr>
          <w:rFonts w:hint="eastAsia" w:ascii="仿宋_GB2312" w:hAnsi="仿宋" w:eastAsia="仿宋_GB2312" w:cs="仿宋"/>
          <w:sz w:val="32"/>
          <w:szCs w:val="32"/>
        </w:rPr>
        <w:t>围绕县委、县政府确定的任务目标，继续做好</w:t>
      </w:r>
      <w:r>
        <w:rPr>
          <w:rFonts w:hint="eastAsia" w:ascii="仿宋_GB2312" w:hAnsi="仿宋" w:eastAsia="仿宋_GB2312" w:cs="仿宋"/>
          <w:sz w:val="32"/>
          <w:szCs w:val="32"/>
          <w:lang w:eastAsia="zh-CN"/>
        </w:rPr>
        <w:t>各项工作任务。一是做好重点建设项目前期工作，完成</w:t>
      </w:r>
      <w:r>
        <w:rPr>
          <w:rFonts w:hint="eastAsia" w:ascii="仿宋_GB2312" w:hAnsi="仿宋" w:eastAsia="仿宋_GB2312" w:cs="仿宋"/>
          <w:sz w:val="32"/>
          <w:szCs w:val="32"/>
        </w:rPr>
        <w:t>农村公路建设</w:t>
      </w:r>
      <w:r>
        <w:rPr>
          <w:rFonts w:hint="eastAsia" w:ascii="仿宋_GB2312" w:hAnsi="仿宋" w:eastAsia="仿宋_GB2312" w:cs="仿宋"/>
          <w:sz w:val="32"/>
          <w:szCs w:val="32"/>
          <w:lang w:eastAsia="zh-CN"/>
        </w:rPr>
        <w:t>与养护</w:t>
      </w:r>
      <w:r>
        <w:rPr>
          <w:rFonts w:hint="eastAsia" w:ascii="仿宋_GB2312" w:hAnsi="仿宋" w:eastAsia="仿宋_GB2312" w:cs="仿宋"/>
          <w:sz w:val="32"/>
          <w:szCs w:val="32"/>
        </w:rPr>
        <w:t>、</w:t>
      </w:r>
      <w:r>
        <w:rPr>
          <w:rFonts w:hint="eastAsia" w:ascii="仿宋_GB2312" w:hAnsi="仿宋" w:eastAsia="仿宋_GB2312" w:cs="仿宋"/>
          <w:sz w:val="32"/>
          <w:szCs w:val="32"/>
          <w:lang w:eastAsia="zh-CN"/>
        </w:rPr>
        <w:t>以及</w:t>
      </w:r>
      <w:r>
        <w:rPr>
          <w:rFonts w:hint="eastAsia" w:ascii="仿宋_GB2312" w:hAnsi="仿宋" w:eastAsia="仿宋_GB2312" w:cs="仿宋"/>
          <w:sz w:val="32"/>
          <w:szCs w:val="32"/>
        </w:rPr>
        <w:t>农村客运站点建设</w:t>
      </w:r>
      <w:r>
        <w:rPr>
          <w:rFonts w:hint="eastAsia" w:ascii="仿宋_GB2312" w:hAnsi="仿宋" w:eastAsia="仿宋_GB2312" w:cs="仿宋"/>
          <w:sz w:val="32"/>
          <w:szCs w:val="32"/>
          <w:lang w:val="en-US" w:eastAsia="zh-CN"/>
        </w:rPr>
        <w:t>与维修维护</w:t>
      </w:r>
      <w:r>
        <w:rPr>
          <w:rFonts w:hint="eastAsia" w:ascii="仿宋_GB2312" w:hAnsi="仿宋" w:eastAsia="仿宋_GB2312" w:cs="仿宋"/>
          <w:sz w:val="32"/>
          <w:szCs w:val="32"/>
        </w:rPr>
        <w:t>。</w:t>
      </w:r>
      <w:r>
        <w:rPr>
          <w:rFonts w:hint="eastAsia" w:ascii="仿宋_GB2312" w:hAnsi="仿宋" w:eastAsia="仿宋_GB2312" w:cs="仿宋"/>
          <w:sz w:val="32"/>
          <w:szCs w:val="32"/>
          <w:lang w:eastAsia="zh-CN"/>
        </w:rPr>
        <w:t>二是完成</w:t>
      </w:r>
      <w:r>
        <w:rPr>
          <w:rFonts w:hint="eastAsia" w:ascii="仿宋_GB2312" w:hAnsi="仿宋_GB2312" w:eastAsia="仿宋_GB2312" w:cs="仿宋_GB2312"/>
          <w:b w:val="0"/>
          <w:bCs w:val="0"/>
          <w:sz w:val="32"/>
          <w:szCs w:val="32"/>
          <w:lang w:val="en-US" w:eastAsia="zh-CN"/>
        </w:rPr>
        <w:t>道路运输市场管理工作，</w:t>
      </w:r>
      <w:r>
        <w:rPr>
          <w:rFonts w:hint="eastAsia" w:ascii="仿宋_GB2312" w:hAnsi="仿宋" w:eastAsia="仿宋_GB2312" w:cs="仿宋"/>
          <w:sz w:val="32"/>
          <w:szCs w:val="32"/>
        </w:rPr>
        <w:t>加大</w:t>
      </w:r>
      <w:r>
        <w:rPr>
          <w:rFonts w:hint="eastAsia" w:ascii="仿宋_GB2312" w:hAnsi="仿宋_GB2312" w:eastAsia="仿宋_GB2312" w:cs="仿宋_GB2312"/>
          <w:b w:val="0"/>
          <w:bCs w:val="0"/>
          <w:sz w:val="32"/>
          <w:szCs w:val="32"/>
          <w:lang w:val="en-US" w:eastAsia="zh-CN"/>
        </w:rPr>
        <w:t>疫情</w:t>
      </w:r>
      <w:r>
        <w:rPr>
          <w:rFonts w:hint="eastAsia" w:ascii="仿宋_GB2312" w:hAnsi="仿宋_GB2312" w:eastAsia="仿宋_GB2312" w:cs="仿宋_GB2312"/>
          <w:sz w:val="32"/>
          <w:szCs w:val="32"/>
          <w:lang w:val="en-US" w:eastAsia="zh-CN"/>
        </w:rPr>
        <w:t>客货运市场管控，</w:t>
      </w:r>
      <w:r>
        <w:rPr>
          <w:rFonts w:hint="eastAsia" w:ascii="仿宋_GB2312" w:hAnsi="仿宋_GB2312" w:eastAsia="仿宋_GB2312" w:cs="仿宋_GB2312"/>
          <w:b w:val="0"/>
          <w:bCs w:val="0"/>
          <w:sz w:val="32"/>
          <w:szCs w:val="32"/>
          <w:lang w:val="en-US" w:eastAsia="zh-CN"/>
        </w:rPr>
        <w:t>继续配合县环保部门推进柴油货车污染治理工作，国四、国五车辆的深度治理任务。三是抓好治超工作，利用不停车检测系统加大治超力度和车辆检测力度，力争超限率降到合理水平。</w:t>
      </w:r>
    </w:p>
    <w:p>
      <w:pPr>
        <w:numPr>
          <w:ilvl w:val="0"/>
          <w:numId w:val="1"/>
        </w:numPr>
        <w:adjustRightInd w:val="0"/>
        <w:ind w:left="480" w:leftChars="0" w:firstLine="0" w:firstLineChars="0"/>
        <w:rPr>
          <w:rFonts w:hint="eastAsia" w:ascii="仿宋" w:hAnsi="仿宋" w:eastAsia="仿宋" w:cs="仿宋"/>
          <w:sz w:val="32"/>
          <w:szCs w:val="32"/>
        </w:rPr>
      </w:pPr>
      <w:r>
        <w:rPr>
          <w:rFonts w:hint="eastAsia" w:ascii="仿宋" w:hAnsi="仿宋" w:eastAsia="仿宋" w:cs="仿宋"/>
          <w:sz w:val="32"/>
          <w:szCs w:val="32"/>
        </w:rPr>
        <w:t>年度整体绩效目标和工作任务。</w:t>
      </w:r>
    </w:p>
    <w:p>
      <w:pPr>
        <w:spacing w:line="584"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1、</w:t>
      </w:r>
      <w:r>
        <w:rPr>
          <w:rFonts w:hint="eastAsia" w:ascii="仿宋_GB2312" w:hAnsi="黑体" w:eastAsia="仿宋_GB2312"/>
          <w:sz w:val="32"/>
          <w:szCs w:val="32"/>
        </w:rPr>
        <w:t>完成年度农村公路、农村客运站点建设任务。</w:t>
      </w:r>
    </w:p>
    <w:p>
      <w:pPr>
        <w:spacing w:line="584" w:lineRule="exact"/>
        <w:ind w:firstLine="640" w:firstLineChars="200"/>
        <w:rPr>
          <w:rFonts w:ascii="仿宋_GB2312" w:hAnsi="黑体" w:eastAsia="仿宋_GB2312"/>
          <w:sz w:val="32"/>
          <w:szCs w:val="32"/>
        </w:rPr>
      </w:pPr>
      <w:r>
        <w:rPr>
          <w:rFonts w:hint="eastAsia" w:ascii="仿宋_GB2312" w:hAnsi="黑体" w:eastAsia="仿宋_GB2312"/>
          <w:sz w:val="32"/>
          <w:szCs w:val="32"/>
        </w:rPr>
        <w:t>绩效目标：完成农村公路、农村客运站点建设项目，做好推进“四好农村路”建设工作，建好、管好、护好、运营好农村公路。打造优良的通行条件，方便群众出行，为县域经济发展提供有力支持。</w:t>
      </w:r>
    </w:p>
    <w:p>
      <w:pPr>
        <w:spacing w:line="584" w:lineRule="exact"/>
        <w:ind w:firstLine="640" w:firstLineChars="200"/>
        <w:rPr>
          <w:rFonts w:ascii="仿宋_GB2312" w:hAnsi="黑体" w:eastAsia="仿宋_GB2312"/>
          <w:sz w:val="32"/>
          <w:szCs w:val="32"/>
        </w:rPr>
      </w:pPr>
      <w:r>
        <w:rPr>
          <w:rFonts w:hint="eastAsia" w:ascii="仿宋_GB2312" w:hAnsi="黑体" w:eastAsia="仿宋_GB2312"/>
          <w:sz w:val="32"/>
          <w:szCs w:val="32"/>
        </w:rPr>
        <w:t>绩效指标：实际完成的项目建设工程量达90%以上，项目质量合格率达90%以上，群众满意度达90%以上。</w:t>
      </w:r>
    </w:p>
    <w:p>
      <w:pPr>
        <w:spacing w:line="584" w:lineRule="exact"/>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2、</w:t>
      </w:r>
      <w:r>
        <w:rPr>
          <w:rFonts w:hint="eastAsia" w:ascii="仿宋_GB2312" w:hAnsi="黑体" w:eastAsia="仿宋_GB2312"/>
          <w:sz w:val="32"/>
          <w:szCs w:val="32"/>
        </w:rPr>
        <w:t>完成农村公路修复养护工程。</w:t>
      </w:r>
    </w:p>
    <w:p>
      <w:pPr>
        <w:spacing w:line="584" w:lineRule="exact"/>
        <w:ind w:firstLine="640" w:firstLineChars="200"/>
        <w:rPr>
          <w:rFonts w:ascii="仿宋_GB2312" w:hAnsi="黑体" w:eastAsia="仿宋_GB2312"/>
          <w:sz w:val="32"/>
          <w:szCs w:val="32"/>
        </w:rPr>
      </w:pPr>
      <w:r>
        <w:rPr>
          <w:rFonts w:hint="eastAsia" w:ascii="仿宋_GB2312" w:hAnsi="黑体" w:eastAsia="仿宋_GB2312"/>
          <w:sz w:val="32"/>
          <w:szCs w:val="32"/>
        </w:rPr>
        <w:t>绩效目标：完成农村公路修复养护工程，恢复原工程设计指标，打造畅、洁、绿、美、安的通行环境，提高公路安全通行能力。</w:t>
      </w:r>
    </w:p>
    <w:p>
      <w:pPr>
        <w:spacing w:line="584" w:lineRule="exact"/>
        <w:ind w:firstLine="640" w:firstLineChars="200"/>
        <w:rPr>
          <w:rFonts w:ascii="仿宋_GB2312" w:hAnsi="黑体" w:eastAsia="仿宋_GB2312"/>
          <w:sz w:val="32"/>
          <w:szCs w:val="32"/>
        </w:rPr>
      </w:pPr>
      <w:r>
        <w:rPr>
          <w:rFonts w:hint="eastAsia" w:ascii="仿宋_GB2312" w:hAnsi="黑体" w:eastAsia="仿宋_GB2312"/>
          <w:sz w:val="32"/>
          <w:szCs w:val="32"/>
        </w:rPr>
        <w:t>绩效指标：实际完成的养护工程量达90%以上，养护工程质量合格率达90%以上，群众满意度达90%以上。</w:t>
      </w:r>
    </w:p>
    <w:p>
      <w:pPr>
        <w:spacing w:line="584"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交通综合业务、事务管理进一步提升</w:t>
      </w:r>
    </w:p>
    <w:p>
      <w:pPr>
        <w:spacing w:line="584"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绩效目标：各项工作顺利开展，机关正常高效运转，高质高效完成各项工作任务。加强交通系统队伍建设，不断提高交通队伍综合素质和业务水平。加强对外宣传以及舆论引导，树立交通良好形象。</w:t>
      </w:r>
    </w:p>
    <w:p>
      <w:pPr>
        <w:spacing w:line="584" w:lineRule="exact"/>
        <w:ind w:firstLine="640" w:firstLineChars="200"/>
        <w:rPr>
          <w:rFonts w:hint="eastAsia"/>
        </w:rPr>
      </w:pPr>
      <w:r>
        <w:rPr>
          <w:rFonts w:hint="eastAsia" w:ascii="仿宋_GB2312" w:hAnsi="黑体" w:eastAsia="仿宋_GB2312"/>
          <w:sz w:val="32"/>
          <w:szCs w:val="32"/>
        </w:rPr>
        <w:t>绩效指标：高质高效完成年度各项工作，综合业务、事务管理工作完成率90%以上，各项保障工作完成率90%以上。</w:t>
      </w:r>
    </w:p>
    <w:p>
      <w:pPr>
        <w:numPr>
          <w:ilvl w:val="0"/>
          <w:numId w:val="1"/>
        </w:numPr>
        <w:adjustRightInd w:val="0"/>
        <w:ind w:left="480" w:leftChars="0" w:firstLine="0" w:firstLineChars="0"/>
        <w:rPr>
          <w:rFonts w:hint="eastAsia" w:ascii="楷体" w:hAnsi="楷体" w:eastAsia="楷体" w:cs="仿宋"/>
          <w:sz w:val="32"/>
          <w:szCs w:val="32"/>
        </w:rPr>
      </w:pPr>
      <w:r>
        <w:rPr>
          <w:rFonts w:hint="eastAsia" w:ascii="仿宋" w:hAnsi="仿宋" w:eastAsia="仿宋" w:cs="仿宋"/>
          <w:sz w:val="32"/>
          <w:szCs w:val="32"/>
        </w:rPr>
        <w:t>预算资金安排及资金支出</w:t>
      </w:r>
      <w:r>
        <w:rPr>
          <w:rFonts w:hint="eastAsia" w:ascii="楷体" w:hAnsi="楷体" w:eastAsia="楷体" w:cs="仿宋"/>
          <w:sz w:val="32"/>
          <w:szCs w:val="32"/>
        </w:rPr>
        <w:t>情况。</w:t>
      </w:r>
    </w:p>
    <w:p>
      <w:pPr>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1</w:t>
      </w:r>
      <w:r>
        <w:rPr>
          <w:rFonts w:hint="eastAsia" w:ascii="仿宋_GB2312" w:hAnsi="仿宋" w:eastAsia="仿宋_GB2312"/>
          <w:sz w:val="32"/>
          <w:szCs w:val="32"/>
        </w:rPr>
        <w:t>年收入</w:t>
      </w:r>
      <w:r>
        <w:rPr>
          <w:rFonts w:hint="eastAsia" w:ascii="仿宋_GB2312" w:hAnsi="仿宋" w:eastAsia="仿宋_GB2312"/>
          <w:sz w:val="32"/>
          <w:szCs w:val="32"/>
          <w:lang w:val="en-US" w:eastAsia="zh-CN"/>
        </w:rPr>
        <w:t>6667.381151</w:t>
      </w:r>
      <w:r>
        <w:rPr>
          <w:rFonts w:hint="eastAsia" w:ascii="仿宋_GB2312" w:hAnsi="仿宋" w:eastAsia="仿宋_GB2312"/>
          <w:sz w:val="32"/>
          <w:szCs w:val="32"/>
        </w:rPr>
        <w:t>万元，其中一搬公共预算拨款</w:t>
      </w:r>
      <w:r>
        <w:rPr>
          <w:rFonts w:hint="eastAsia" w:ascii="仿宋_GB2312" w:hAnsi="仿宋" w:eastAsia="仿宋_GB2312"/>
          <w:sz w:val="32"/>
          <w:szCs w:val="32"/>
          <w:lang w:val="en-US" w:eastAsia="zh-CN"/>
        </w:rPr>
        <w:t>5049.681151</w:t>
      </w:r>
      <w:r>
        <w:rPr>
          <w:rFonts w:hint="eastAsia" w:ascii="仿宋_GB2312" w:hAnsi="仿宋" w:eastAsia="仿宋_GB2312"/>
          <w:sz w:val="32"/>
          <w:szCs w:val="32"/>
        </w:rPr>
        <w:t>万元，政府基金拨款收入</w:t>
      </w:r>
      <w:r>
        <w:rPr>
          <w:rFonts w:hint="eastAsia" w:ascii="仿宋_GB2312" w:hAnsi="仿宋" w:eastAsia="仿宋_GB2312"/>
          <w:sz w:val="32"/>
          <w:szCs w:val="32"/>
          <w:lang w:val="en-US" w:eastAsia="zh-CN"/>
        </w:rPr>
        <w:t>1417.7</w:t>
      </w:r>
      <w:r>
        <w:rPr>
          <w:rFonts w:hint="eastAsia" w:ascii="仿宋_GB2312" w:hAnsi="仿宋" w:eastAsia="仿宋_GB2312"/>
          <w:sz w:val="32"/>
          <w:szCs w:val="32"/>
        </w:rPr>
        <w:t>万元，其他收入</w:t>
      </w:r>
      <w:r>
        <w:rPr>
          <w:rFonts w:hint="eastAsia" w:ascii="仿宋_GB2312" w:hAnsi="仿宋" w:eastAsia="仿宋_GB2312"/>
          <w:sz w:val="32"/>
          <w:szCs w:val="32"/>
          <w:lang w:val="en-US" w:eastAsia="zh-CN"/>
        </w:rPr>
        <w:t>200</w:t>
      </w:r>
      <w:r>
        <w:rPr>
          <w:rFonts w:hint="eastAsia" w:ascii="仿宋_GB2312" w:hAnsi="仿宋" w:eastAsia="仿宋_GB2312"/>
          <w:sz w:val="32"/>
          <w:szCs w:val="32"/>
        </w:rPr>
        <w:t>万元。</w:t>
      </w:r>
    </w:p>
    <w:p>
      <w:pPr>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1</w:t>
      </w:r>
      <w:r>
        <w:rPr>
          <w:rFonts w:hint="eastAsia" w:ascii="仿宋_GB2312" w:hAnsi="仿宋" w:eastAsia="仿宋_GB2312"/>
          <w:sz w:val="32"/>
          <w:szCs w:val="32"/>
        </w:rPr>
        <w:t>年支出</w:t>
      </w:r>
      <w:r>
        <w:rPr>
          <w:rFonts w:hint="eastAsia" w:ascii="仿宋_GB2312" w:hAnsi="仿宋" w:eastAsia="仿宋_GB2312"/>
          <w:sz w:val="32"/>
          <w:szCs w:val="32"/>
          <w:lang w:val="en-US" w:eastAsia="zh-CN"/>
        </w:rPr>
        <w:t>6815.898221</w:t>
      </w:r>
      <w:r>
        <w:rPr>
          <w:rFonts w:hint="eastAsia" w:ascii="仿宋_GB2312" w:hAnsi="仿宋" w:eastAsia="仿宋_GB2312"/>
          <w:sz w:val="32"/>
          <w:szCs w:val="32"/>
        </w:rPr>
        <w:t>万元，其中一搬公共预算拨款支</w:t>
      </w:r>
      <w:r>
        <w:rPr>
          <w:rFonts w:hint="eastAsia" w:ascii="仿宋_GB2312" w:hAnsi="仿宋" w:eastAsia="仿宋_GB2312"/>
          <w:sz w:val="32"/>
          <w:szCs w:val="32"/>
          <w:lang w:val="en-US" w:eastAsia="zh-CN"/>
        </w:rPr>
        <w:t>5197.518881</w:t>
      </w:r>
      <w:r>
        <w:rPr>
          <w:rFonts w:hint="eastAsia" w:ascii="仿宋_GB2312" w:hAnsi="仿宋" w:eastAsia="仿宋_GB2312"/>
          <w:sz w:val="32"/>
          <w:szCs w:val="32"/>
        </w:rPr>
        <w:t>万元，政府基金拨款支出</w:t>
      </w:r>
      <w:r>
        <w:rPr>
          <w:rFonts w:hint="eastAsia" w:ascii="仿宋_GB2312" w:hAnsi="仿宋" w:eastAsia="仿宋_GB2312"/>
          <w:sz w:val="32"/>
          <w:szCs w:val="32"/>
          <w:lang w:val="en-US" w:eastAsia="zh-CN"/>
        </w:rPr>
        <w:t>1417.7</w:t>
      </w:r>
      <w:r>
        <w:rPr>
          <w:rFonts w:hint="eastAsia" w:ascii="仿宋_GB2312" w:hAnsi="仿宋" w:eastAsia="仿宋_GB2312"/>
          <w:sz w:val="32"/>
          <w:szCs w:val="32"/>
        </w:rPr>
        <w:t>万元，其他支出</w:t>
      </w:r>
      <w:r>
        <w:rPr>
          <w:rFonts w:hint="eastAsia" w:ascii="仿宋_GB2312" w:hAnsi="仿宋" w:eastAsia="仿宋_GB2312"/>
          <w:sz w:val="32"/>
          <w:szCs w:val="32"/>
          <w:lang w:val="en-US" w:eastAsia="zh-CN"/>
        </w:rPr>
        <w:t>200</w:t>
      </w:r>
      <w:r>
        <w:rPr>
          <w:rFonts w:hint="eastAsia" w:ascii="仿宋_GB2312" w:hAnsi="仿宋" w:eastAsia="仿宋_GB2312"/>
          <w:sz w:val="32"/>
          <w:szCs w:val="32"/>
        </w:rPr>
        <w:t>万元。</w:t>
      </w:r>
    </w:p>
    <w:p>
      <w:pPr>
        <w:pStyle w:val="23"/>
        <w:numPr>
          <w:ilvl w:val="0"/>
          <w:numId w:val="0"/>
        </w:numPr>
        <w:ind w:left="709" w:leftChars="0"/>
        <w:rPr>
          <w:rFonts w:ascii="黑体" w:hAnsi="黑体" w:eastAsia="黑体" w:cs="仿宋"/>
          <w:sz w:val="32"/>
          <w:szCs w:val="32"/>
        </w:rPr>
      </w:pPr>
      <w:r>
        <w:rPr>
          <w:rFonts w:hint="eastAsia" w:ascii="黑体" w:hAnsi="黑体" w:eastAsia="黑体" w:cs="仿宋"/>
          <w:sz w:val="32"/>
          <w:szCs w:val="32"/>
          <w:lang w:val="en-US" w:eastAsia="zh-CN"/>
        </w:rPr>
        <w:t>二、</w:t>
      </w:r>
      <w:r>
        <w:rPr>
          <w:rFonts w:hint="eastAsia" w:ascii="黑体" w:hAnsi="黑体" w:eastAsia="黑体" w:cs="仿宋"/>
          <w:sz w:val="32"/>
          <w:szCs w:val="32"/>
        </w:rPr>
        <w:t>预算绩效管理开展及整体绩效实现情况。</w:t>
      </w:r>
    </w:p>
    <w:p>
      <w:pPr>
        <w:adjustRightInd w:val="0"/>
        <w:ind w:firstLine="480" w:firstLineChars="150"/>
        <w:rPr>
          <w:rFonts w:hint="eastAsia" w:ascii="仿宋" w:hAnsi="仿宋" w:eastAsia="仿宋" w:cs="仿宋"/>
          <w:sz w:val="32"/>
          <w:szCs w:val="32"/>
        </w:rPr>
      </w:pPr>
      <w:r>
        <w:rPr>
          <w:rFonts w:hint="eastAsia" w:ascii="仿宋" w:hAnsi="仿宋" w:eastAsia="仿宋" w:cs="仿宋"/>
          <w:sz w:val="32"/>
          <w:szCs w:val="32"/>
        </w:rPr>
        <w:t>（一）部门开展预算绩效管理情况。</w:t>
      </w:r>
    </w:p>
    <w:p>
      <w:pPr>
        <w:ind w:firstLine="640" w:firstLineChars="200"/>
        <w:rPr>
          <w:rFonts w:hint="eastAsia"/>
        </w:rPr>
      </w:pPr>
      <w:r>
        <w:rPr>
          <w:rFonts w:hint="eastAsia" w:ascii="仿宋_GB2312" w:hAnsi="仿宋_GB2312" w:eastAsia="仿宋_GB2312" w:cs="仿宋_GB2312"/>
          <w:sz w:val="32"/>
          <w:szCs w:val="32"/>
        </w:rPr>
        <w:t>为了保障项目资金安全、规范运行，我局依据</w:t>
      </w:r>
      <w:r>
        <w:rPr>
          <w:rFonts w:hint="eastAsia" w:ascii="仿宋_GB2312" w:hAnsi="仿宋_GB2312" w:eastAsia="仿宋_GB2312" w:cs="仿宋_GB2312"/>
          <w:sz w:val="32"/>
          <w:szCs w:val="32"/>
          <w:lang w:eastAsia="zh-CN"/>
        </w:rPr>
        <w:t>预算法、会计法等法规文件</w:t>
      </w:r>
      <w:r>
        <w:rPr>
          <w:rFonts w:hint="eastAsia" w:ascii="仿宋_GB2312" w:hAnsi="仿宋_GB2312" w:eastAsia="仿宋_GB2312" w:cs="仿宋_GB2312"/>
          <w:sz w:val="32"/>
          <w:szCs w:val="32"/>
        </w:rPr>
        <w:t>，先后建立了</w:t>
      </w:r>
      <w:r>
        <w:rPr>
          <w:rFonts w:hint="eastAsia" w:ascii="仿宋_GB2312" w:hAnsi="仿宋_GB2312" w:eastAsia="仿宋_GB2312" w:cs="仿宋_GB2312"/>
          <w:sz w:val="32"/>
          <w:szCs w:val="32"/>
          <w:lang w:val="en-US" w:eastAsia="zh-CN"/>
        </w:rPr>
        <w:t>健全了相关规章制度，严格各项审批制度</w:t>
      </w:r>
      <w:r>
        <w:rPr>
          <w:rFonts w:hint="eastAsia" w:ascii="仿宋_GB2312" w:hAnsi="仿宋_GB2312" w:eastAsia="仿宋_GB2312" w:cs="仿宋_GB2312"/>
          <w:sz w:val="32"/>
          <w:szCs w:val="32"/>
        </w:rPr>
        <w:t>。全面履行监管责任，提升交通运输行业管理水平</w:t>
      </w:r>
      <w:r>
        <w:rPr>
          <w:rFonts w:hint="eastAsia" w:ascii="仿宋_GB2312" w:hAnsi="仿宋_GB2312" w:eastAsia="仿宋_GB2312" w:cs="仿宋_GB2312"/>
          <w:sz w:val="32"/>
          <w:szCs w:val="32"/>
          <w:lang w:eastAsia="zh-CN"/>
        </w:rPr>
        <w:t>。根据项目开展情况，定期期召开项目调度会，对项目中遇到的问题及时解决，确保项目工程顺利开展，确保达到预期目标。</w:t>
      </w:r>
    </w:p>
    <w:p>
      <w:pPr>
        <w:adjustRightInd w:val="0"/>
        <w:ind w:firstLine="480" w:firstLineChars="150"/>
        <w:rPr>
          <w:rFonts w:hint="eastAsia" w:ascii="仿宋" w:hAnsi="仿宋" w:eastAsia="仿宋" w:cs="仿宋"/>
          <w:sz w:val="32"/>
          <w:szCs w:val="32"/>
        </w:rPr>
      </w:pPr>
      <w:r>
        <w:rPr>
          <w:rFonts w:hint="eastAsia" w:ascii="仿宋" w:hAnsi="仿宋" w:eastAsia="仿宋" w:cs="仿宋"/>
          <w:sz w:val="32"/>
          <w:szCs w:val="32"/>
        </w:rPr>
        <w:t>（二）工作履行活动完成情况。</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2021年</w:t>
      </w:r>
      <w:r>
        <w:rPr>
          <w:rFonts w:hint="default" w:ascii="仿宋_GB2312" w:hAnsi="仿宋_GB2312" w:eastAsia="仿宋_GB2312" w:cs="仿宋_GB2312"/>
          <w:sz w:val="32"/>
          <w:szCs w:val="32"/>
        </w:rPr>
        <w:t>我局紧紧围绕县委、县政府</w:t>
      </w:r>
      <w:r>
        <w:rPr>
          <w:rFonts w:hint="default" w:ascii="仿宋_GB2312" w:hAnsi="仿宋_GB2312" w:eastAsia="仿宋_GB2312" w:cs="仿宋_GB2312"/>
          <w:sz w:val="32"/>
          <w:szCs w:val="32"/>
          <w:lang w:eastAsia="zh-CN"/>
        </w:rPr>
        <w:t>中心工作、凝心聚力、担当作为</w:t>
      </w:r>
      <w:r>
        <w:rPr>
          <w:rFonts w:hint="default" w:ascii="仿宋_GB2312" w:hAnsi="仿宋_GB2312" w:eastAsia="仿宋_GB2312" w:cs="仿宋_GB2312"/>
          <w:sz w:val="32"/>
          <w:szCs w:val="32"/>
        </w:rPr>
        <w:t>，统筹推进疫情防控和交通运输工作，重点推进交通项目建设，“十四五”交通综合规划、四好农村路、危货车辆整治、交通综合执法等工作，圆满完成了年初既定交通各项工作目标任务，</w:t>
      </w:r>
      <w:r>
        <w:rPr>
          <w:rFonts w:hint="eastAsia" w:ascii="仿宋_GB2312" w:hAnsi="仿宋_GB2312" w:eastAsia="仿宋_GB2312" w:cs="仿宋_GB2312"/>
          <w:sz w:val="32"/>
          <w:szCs w:val="32"/>
          <w:lang w:val="en-US" w:eastAsia="zh-CN"/>
        </w:rPr>
        <w:t>具体情况</w:t>
      </w:r>
      <w:r>
        <w:rPr>
          <w:rFonts w:hint="default" w:ascii="仿宋_GB2312" w:hAnsi="仿宋_GB2312" w:eastAsia="仿宋_GB2312" w:cs="仿宋_GB2312"/>
          <w:sz w:val="32"/>
          <w:szCs w:val="32"/>
        </w:rPr>
        <w:t>如下：</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一、精准发力、全速推进，加快推进交通重点项目建设</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2021年，我局共承担政府交通类重点建设项目5 个，其中，续建项目1个、新建项目4个，固投入统项目4个，1—11月，我县完成交通建设固定资产投资6699 万元，一是农村公路和主街道工程，共涉及10个乡镇（开发区），197个行政村，总里程390.86公里，目前已全部完工；二是“翻浆路”改造项目，共涉及8个乡镇、40个村、26条道路；三是泰然农业园区南门口路段建设工程，全长0.42公里，已全部完工。</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二、高标准、高质量，认真做好“十四五”期间交通重大基础设施项目谋划</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为扎实做好“十四五”期间交通重大基础设施项目谋划，高标准编制完成了我县综合交通专项规划，“十四五”期间规划道路共39条。以上项目已全部列入我县国土空间规划，占用基本农田已全部调出。</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三、精准施策、狠抓落实，持续加强和规范运输市场管理</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①年初与各道路运输企业签订“安全生产承诺书”，落实企业主体责任；②圆满完成2021年春运、“五一”、“十一”黄金周期间的旅客运输工作；③完成2021年道路运输企业质量信誉考核工作；④完成了县级交通一卡通互联互通工作。⑤完成了国三及以下排放标准营运柴油货车淘汰补贴工作。⑥高效率、高标准完成了“快递进村”工作。</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四、突出亮点、提升形象，全力加强县域干线公路和农村公路建管护运工作</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一是干线公路和农村公路日常养护方面。对干线公路完成路面清扫</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整修标准化路基</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清理塌方、垫补路面坑槽</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维修三桩</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环境卫生整治、打造标准化路段，路树涂红刷白等</w:t>
      </w:r>
      <w:r>
        <w:rPr>
          <w:rFonts w:hint="eastAsia" w:ascii="仿宋_GB2312" w:hAnsi="仿宋_GB2312" w:eastAsia="仿宋_GB2312" w:cs="仿宋_GB2312"/>
          <w:sz w:val="32"/>
          <w:szCs w:val="32"/>
          <w:lang w:val="en-US" w:eastAsia="zh-CN"/>
        </w:rPr>
        <w:t>日常养护工作</w:t>
      </w:r>
      <w:r>
        <w:rPr>
          <w:rFonts w:hint="default" w:ascii="仿宋_GB2312" w:hAnsi="仿宋_GB2312" w:eastAsia="仿宋_GB2312" w:cs="仿宋_GB2312"/>
          <w:sz w:val="32"/>
          <w:szCs w:val="32"/>
        </w:rPr>
        <w:t>。二是养护工程方面。</w:t>
      </w:r>
      <w:r>
        <w:rPr>
          <w:rFonts w:hint="eastAsia" w:ascii="仿宋_GB2312" w:hAnsi="仿宋_GB2312" w:eastAsia="仿宋_GB2312" w:cs="仿宋_GB2312"/>
          <w:sz w:val="32"/>
          <w:szCs w:val="32"/>
          <w:lang w:val="en-US" w:eastAsia="zh-CN"/>
        </w:rPr>
        <w:t>完成</w:t>
      </w:r>
      <w:r>
        <w:rPr>
          <w:rFonts w:hint="default" w:ascii="仿宋_GB2312" w:hAnsi="仿宋_GB2312" w:eastAsia="仿宋_GB2312" w:cs="仿宋_GB2312"/>
          <w:sz w:val="32"/>
          <w:szCs w:val="32"/>
        </w:rPr>
        <w:t>干线公路路面封面累</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路面挖补</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路面灌缝</w:t>
      </w:r>
      <w:r>
        <w:rPr>
          <w:rFonts w:hint="eastAsia" w:ascii="仿宋_GB2312" w:hAnsi="仿宋_GB2312" w:eastAsia="仿宋_GB2312" w:cs="仿宋_GB2312"/>
          <w:sz w:val="32"/>
          <w:szCs w:val="32"/>
          <w:lang w:val="en-US" w:eastAsia="zh-CN"/>
        </w:rPr>
        <w:t>等养护工程项目。</w:t>
      </w:r>
      <w:r>
        <w:rPr>
          <w:rFonts w:hint="default" w:ascii="仿宋_GB2312" w:hAnsi="仿宋_GB2312" w:eastAsia="仿宋_GB2312" w:cs="仿宋_GB2312"/>
          <w:sz w:val="32"/>
          <w:szCs w:val="32"/>
        </w:rPr>
        <w:t>三是平安交通建设方面。</w:t>
      </w:r>
      <w:r>
        <w:rPr>
          <w:rFonts w:hint="eastAsia" w:ascii="仿宋_GB2312" w:hAnsi="仿宋_GB2312" w:eastAsia="仿宋_GB2312" w:cs="仿宋_GB2312"/>
          <w:sz w:val="32"/>
          <w:szCs w:val="32"/>
          <w:lang w:val="en-US" w:eastAsia="zh-CN"/>
        </w:rPr>
        <w:t>完成</w:t>
      </w:r>
      <w:r>
        <w:rPr>
          <w:rFonts w:hint="default" w:ascii="仿宋_GB2312" w:hAnsi="仿宋_GB2312" w:eastAsia="仿宋_GB2312" w:cs="仿宋_GB2312"/>
          <w:sz w:val="32"/>
          <w:szCs w:val="32"/>
        </w:rPr>
        <w:t>干线公路修剪路树、设置警示标牌</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农村公路平交道口改造</w:t>
      </w:r>
      <w:r>
        <w:rPr>
          <w:rFonts w:hint="eastAsia" w:ascii="仿宋_GB2312" w:hAnsi="仿宋_GB2312" w:eastAsia="仿宋_GB2312" w:cs="仿宋_GB2312"/>
          <w:sz w:val="32"/>
          <w:szCs w:val="32"/>
          <w:lang w:val="en-US" w:eastAsia="zh-CN"/>
        </w:rPr>
        <w:t>等</w:t>
      </w:r>
      <w:r>
        <w:rPr>
          <w:rFonts w:hint="default" w:ascii="仿宋_GB2312" w:hAnsi="仿宋_GB2312" w:eastAsia="仿宋_GB2312" w:cs="仿宋_GB2312"/>
          <w:sz w:val="32"/>
          <w:szCs w:val="32"/>
        </w:rPr>
        <w:t>，进一步减少交通安全隐患，保障群众出行安全。四是开展创建省级“四好农村路”示范乡镇和创建省级美丽农村精品示范路工作。</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五、文明执法、为民服务，全面提升交通综合执法水平</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一是依法行政工作方面。今年以来共出动执法车辆800余辆次，出动执法人员4200余人次强化县域内国省干线、县乡道路日常巡查，突出对“黑车”非法营运、“两客一危”等重点车辆的查处整治，严厉打击各类交通违法行为，维护道路运输市场经营秩序，确保道路运输市场安全稳定，保障了合法经营者权益。二是治理超限超载工作方面。以官亭治超站为依托，在全县范围内开展流动治超，路政交警执法人员24小时驻站执法，利用不停车检测系统对230国道货运车辆进行检测，严厉打击恶性超限超载，</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六、紧盯重点、守牢底线，强化疫情防控和安全生产等工作</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pPr>
      <w:r>
        <w:rPr>
          <w:rFonts w:hint="default" w:ascii="仿宋_GB2312" w:hAnsi="仿宋_GB2312" w:eastAsia="仿宋_GB2312" w:cs="仿宋_GB2312"/>
          <w:sz w:val="32"/>
          <w:szCs w:val="32"/>
        </w:rPr>
        <w:t>一是全力做好疫情防控常态化工作。对客运站，坚持每天定时消毒、通风、人员防护和交通工具消杀；对货运车辆，通过北斗系统实时24小时动态监控。二是有效开展大气污染防治。对大型货车加大巡查、在车辆聚集较多的一行大道两侧安装隔离墩等，防止随意停车造成污染。对国省干线停车场明确专人，每天开展日常巡查，严格落实生态环境要求。三是高度重视安全生产工作。对监管干部和企业负责人、安全管理人员开展常态化培训的同时，特别是强化安全设施安装，截止目前，“两客一危”车辆智能视频监控系统、农村客运车辆动态监控系统安装使用实现全覆盖。</w:t>
      </w:r>
    </w:p>
    <w:p>
      <w:pPr>
        <w:numPr>
          <w:ilvl w:val="0"/>
          <w:numId w:val="2"/>
        </w:numPr>
        <w:adjustRightInd w:val="0"/>
        <w:ind w:firstLine="482" w:firstLineChars="150"/>
        <w:rPr>
          <w:rFonts w:hint="eastAsia" w:ascii="仿宋" w:hAnsi="仿宋" w:eastAsia="仿宋" w:cs="仿宋"/>
          <w:sz w:val="32"/>
          <w:szCs w:val="32"/>
        </w:rPr>
      </w:pPr>
      <w:r>
        <w:rPr>
          <w:rFonts w:hint="eastAsia" w:ascii="仿宋" w:hAnsi="仿宋" w:eastAsia="仿宋" w:cs="仿宋"/>
          <w:b/>
          <w:bCs/>
          <w:sz w:val="32"/>
          <w:szCs w:val="32"/>
        </w:rPr>
        <w:t>实施履职活动产生的效果或服务对象满意程度。</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各项交通基础设施的投入，推动了我县交通运输事业稳步发展，改善了区域交通基础设施条件，优化了交通通行环境和人居环境。满足了人民群众的生活、生产需求，促进了农产品的快速流通和乡村旅游业的发展，提升了广大群众的生活质量，有力的助推了乡村振兴，同时带动了我县区域经济发展和现代化建设，得到了县委、县政府的认可和广大群众的一致好评。</w:t>
      </w:r>
    </w:p>
    <w:p>
      <w:pPr>
        <w:pStyle w:val="23"/>
        <w:numPr>
          <w:ilvl w:val="0"/>
          <w:numId w:val="0"/>
        </w:numPr>
        <w:ind w:left="709" w:leftChars="0"/>
        <w:rPr>
          <w:rFonts w:ascii="黑体" w:hAnsi="黑体" w:eastAsia="黑体" w:cs="仿宋"/>
          <w:sz w:val="32"/>
          <w:szCs w:val="32"/>
        </w:rPr>
      </w:pPr>
      <w:r>
        <w:rPr>
          <w:rFonts w:hint="eastAsia" w:ascii="黑体" w:hAnsi="黑体" w:eastAsia="黑体" w:cs="仿宋"/>
          <w:sz w:val="32"/>
          <w:szCs w:val="32"/>
          <w:lang w:val="en-US" w:eastAsia="zh-CN"/>
        </w:rPr>
        <w:t>三、</w:t>
      </w:r>
      <w:r>
        <w:rPr>
          <w:rFonts w:hint="eastAsia" w:ascii="黑体" w:hAnsi="黑体" w:eastAsia="黑体" w:cs="仿宋"/>
          <w:sz w:val="32"/>
          <w:szCs w:val="32"/>
        </w:rPr>
        <w:t>绩效评价的组织实施情况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t>为加强我局预算绩效管理，不断提高财政资金配置和使用效益，我局成立了绩效自评小组，以绩效考核的各项文件精神为指导，以整体绩效支出为内容，根据部门整体支出绩效评价指标体系评分表，结合我局工作实际，</w:t>
      </w:r>
      <w:r>
        <w:rPr>
          <w:rFonts w:hint="eastAsia" w:ascii="仿宋_GB2312" w:hAnsi="仿宋_GB2312" w:eastAsia="仿宋_GB2312" w:cs="仿宋_GB2312"/>
          <w:sz w:val="32"/>
          <w:szCs w:val="32"/>
          <w:lang w:eastAsia="zh-CN"/>
        </w:rPr>
        <w:t>从投入、过程产出、效果四个方面，具体到绩效目标的设定、预算配置情况、预算执行与管理情况、资产管理情况和职责履等指标进行评价</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通过开展部门整体支出绩效评价，促进部门从整体上提升预算资金管理工作水平，强化部门支出责任，规范资金管理行为，提高财政资金使用效益 ，保障部门更好地履行职责，使财政资金通过部门行使其职能，更好的服务社会、群众，使其变得更有效益和效率，根据《部门整体支出绩效评价指标》自评分92分，部门整体支出绩效为“优”。</w:t>
      </w:r>
    </w:p>
    <w:p>
      <w:pPr>
        <w:pStyle w:val="23"/>
        <w:numPr>
          <w:ilvl w:val="0"/>
          <w:numId w:val="3"/>
        </w:numPr>
        <w:rPr>
          <w:rFonts w:hint="eastAsia" w:ascii="黑体" w:hAnsi="黑体" w:eastAsia="黑体" w:cs="仿宋"/>
          <w:sz w:val="32"/>
          <w:szCs w:val="32"/>
        </w:rPr>
      </w:pPr>
      <w:r>
        <w:rPr>
          <w:rFonts w:hint="eastAsia" w:ascii="黑体" w:hAnsi="黑体" w:eastAsia="黑体" w:cs="仿宋"/>
          <w:sz w:val="32"/>
          <w:szCs w:val="32"/>
        </w:rPr>
        <w:t>各项绩效目标的实现程度及差异性原因分析。</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2021年根据本单位年初工作规划和重点工作，围绕县委、县政府工作部署，积极履行部门职责，</w:t>
      </w:r>
      <w:r>
        <w:rPr>
          <w:rFonts w:hint="eastAsia" w:ascii="仿宋_GB2312" w:hAnsi="仿宋_GB2312" w:eastAsia="仿宋_GB2312" w:cs="仿宋_GB2312"/>
          <w:kern w:val="2"/>
          <w:sz w:val="32"/>
          <w:szCs w:val="32"/>
          <w:lang w:val="en-US" w:eastAsia="zh-CN" w:bidi="ar-SA"/>
        </w:rPr>
        <w:t>过交通系统全体职工共同努力，较好地完成了年初确定的各项工作任务，推进交通事业各项工作进展，取得了较好的成绩，为我县市经济社会发展作出了积极贡献。</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资金使用上严格按照国家财经法规，并依据相关法规制度制定符合本单位财务管理制度规定以及有关专项资金管理办法，严格财务审批制度。重大开支党组会集体研究，保证资金使用合法合规，同时资金使用无截留、挤占、挪用、虚列支出等情况。同时加强预算收支的管理，建立健全内部管理制度，严格内部管理流程，单位整体支出管理得到了提升。年度预算完成率达98%，较好了完成了支出绩效目标。但预算调整率较大，失分较大，主要为地方财政财力有限，年初上报预算批复较少；部分上级资金下达在预算批复后等不确定因素，导致后续追加预算较多。政府采购年初预算与实际执行偏差大，政府采购预算编制准确性有待提高，主要是部分项目采用公开招投标方式，养护工程总资金量大但养护内容繁多未达到政府采购限额。</w:t>
      </w:r>
    </w:p>
    <w:p>
      <w:pPr>
        <w:pStyle w:val="23"/>
        <w:numPr>
          <w:ilvl w:val="0"/>
          <w:numId w:val="0"/>
        </w:numPr>
        <w:ind w:firstLine="640" w:firstLineChars="200"/>
        <w:rPr>
          <w:rFonts w:ascii="黑体" w:hAnsi="黑体" w:eastAsia="黑体" w:cs="仿宋"/>
          <w:sz w:val="32"/>
          <w:szCs w:val="32"/>
        </w:rPr>
      </w:pPr>
      <w:r>
        <w:rPr>
          <w:rFonts w:hint="eastAsia" w:ascii="黑体" w:hAnsi="黑体" w:eastAsia="黑体" w:cs="仿宋"/>
          <w:sz w:val="32"/>
          <w:szCs w:val="32"/>
          <w:lang w:val="en-US" w:eastAsia="zh-CN"/>
        </w:rPr>
        <w:t>五、</w:t>
      </w:r>
      <w:r>
        <w:rPr>
          <w:rFonts w:hint="eastAsia" w:ascii="黑体" w:hAnsi="黑体" w:eastAsia="黑体" w:cs="仿宋"/>
          <w:sz w:val="32"/>
          <w:szCs w:val="32"/>
        </w:rPr>
        <w:t>存在问题</w:t>
      </w:r>
    </w:p>
    <w:p>
      <w:pPr>
        <w:adjustRightInd w:val="0"/>
        <w:ind w:firstLine="480" w:firstLineChars="150"/>
        <w:jc w:val="left"/>
        <w:rPr>
          <w:rFonts w:hint="default" w:ascii="仿宋" w:hAnsi="仿宋" w:eastAsia="仿宋" w:cs="仿宋"/>
          <w:sz w:val="32"/>
          <w:szCs w:val="32"/>
          <w:lang w:val="en-US" w:eastAsia="zh-CN"/>
        </w:rPr>
      </w:pPr>
      <w:r>
        <w:rPr>
          <w:rFonts w:hint="eastAsia" w:ascii="仿宋" w:hAnsi="仿宋" w:eastAsia="仿宋" w:cs="仿宋"/>
          <w:sz w:val="32"/>
          <w:szCs w:val="32"/>
        </w:rPr>
        <w:t>2021年我部门科学有效地使用项目资金取得了较好的经济、社会效益，但还存在一些问题：</w:t>
      </w:r>
      <w:r>
        <w:rPr>
          <w:rFonts w:hint="eastAsia" w:ascii="仿宋" w:hAnsi="仿宋" w:eastAsia="仿宋" w:cs="仿宋"/>
          <w:sz w:val="32"/>
          <w:szCs w:val="32"/>
          <w:lang w:val="en-US" w:eastAsia="zh-CN"/>
        </w:rPr>
        <w:t>一</w:t>
      </w:r>
      <w:r>
        <w:rPr>
          <w:rFonts w:hint="eastAsia" w:ascii="仿宋" w:hAnsi="仿宋" w:eastAsia="仿宋" w:cs="仿宋"/>
          <w:sz w:val="32"/>
          <w:szCs w:val="32"/>
        </w:rPr>
        <w:t>是在人员方面配备不足、缺乏专业的绩效管理人员</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主要为部门主要业务人员，专业能力方面有一定不足</w:t>
      </w:r>
      <w:r>
        <w:rPr>
          <w:rFonts w:hint="eastAsia" w:ascii="仿宋" w:hAnsi="仿宋" w:eastAsia="仿宋" w:cs="仿宋"/>
          <w:sz w:val="32"/>
          <w:szCs w:val="32"/>
        </w:rPr>
        <w:t>。</w:t>
      </w:r>
      <w:r>
        <w:rPr>
          <w:rFonts w:hint="eastAsia" w:ascii="仿宋" w:hAnsi="仿宋" w:eastAsia="仿宋" w:cs="仿宋"/>
          <w:sz w:val="32"/>
          <w:szCs w:val="32"/>
          <w:lang w:val="en-US" w:eastAsia="zh-CN"/>
        </w:rPr>
        <w:t>二是交通建设项目资金需求大，我县财力有限，年初预算批复少，导致后期追加大，预算调整相对较大。</w:t>
      </w:r>
    </w:p>
    <w:p>
      <w:pPr>
        <w:pStyle w:val="23"/>
        <w:numPr>
          <w:ilvl w:val="0"/>
          <w:numId w:val="0"/>
        </w:numPr>
        <w:ind w:firstLine="640" w:firstLineChars="200"/>
        <w:rPr>
          <w:rFonts w:ascii="黑体" w:hAnsi="黑体" w:eastAsia="黑体" w:cs="仿宋"/>
          <w:sz w:val="32"/>
          <w:szCs w:val="32"/>
        </w:rPr>
      </w:pPr>
      <w:r>
        <w:rPr>
          <w:rFonts w:hint="eastAsia" w:ascii="黑体" w:hAnsi="黑体" w:eastAsia="黑体" w:cs="仿宋"/>
          <w:sz w:val="32"/>
          <w:szCs w:val="32"/>
          <w:lang w:val="en-US" w:eastAsia="zh-CN"/>
        </w:rPr>
        <w:t>六、</w:t>
      </w:r>
      <w:r>
        <w:rPr>
          <w:rFonts w:hint="eastAsia" w:ascii="黑体" w:hAnsi="黑体" w:eastAsia="黑体" w:cs="仿宋"/>
          <w:sz w:val="32"/>
          <w:szCs w:val="32"/>
        </w:rPr>
        <w:t>采取的纠偏措施及改进绩效管理建议。</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sz w:val="32"/>
          <w:szCs w:val="32"/>
        </w:rPr>
        <w:t>加强预算分析，创新思路，拓宽视角，切实提高财务管理与决策的科学化精细化水平。立足部门实际情况，分析预算实现的可能性和难度，做到程序规范、方法科学、内容完整、数据准确，保证预算与目标的一致性。严禁随意增加或减少预算，当预算根据实际情况调整时，严格按照预算相关程序进行调整审批。二是加强</w:t>
      </w:r>
      <w:r>
        <w:rPr>
          <w:rFonts w:hint="eastAsia" w:ascii="仿宋_GB2312" w:hAnsi="仿宋_GB2312" w:eastAsia="仿宋_GB2312" w:cs="仿宋_GB2312"/>
          <w:sz w:val="32"/>
          <w:szCs w:val="32"/>
          <w:lang w:eastAsia="zh-CN"/>
        </w:rPr>
        <w:t>相关人员绩效管理的学习，</w:t>
      </w:r>
      <w:r>
        <w:rPr>
          <w:rFonts w:hint="eastAsia" w:ascii="仿宋_GB2312" w:hAnsi="仿宋_GB2312" w:eastAsia="仿宋_GB2312" w:cs="仿宋_GB2312"/>
          <w:sz w:val="32"/>
          <w:szCs w:val="32"/>
        </w:rPr>
        <w:t>学习预算绩效管理的法律法规、规范要求</w:t>
      </w:r>
      <w:r>
        <w:rPr>
          <w:rFonts w:hint="eastAsia" w:ascii="仿宋_GB2312" w:hAnsi="仿宋_GB2312" w:eastAsia="仿宋_GB2312" w:cs="仿宋_GB2312"/>
          <w:sz w:val="32"/>
          <w:szCs w:val="32"/>
          <w:lang w:eastAsia="zh-CN"/>
        </w:rPr>
        <w:t>等内容</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增强人员综合素质和业务能力，</w:t>
      </w:r>
      <w:r>
        <w:rPr>
          <w:rFonts w:hint="eastAsia" w:ascii="仿宋_GB2312" w:hAnsi="仿宋_GB2312" w:eastAsia="仿宋_GB2312" w:cs="仿宋_GB2312"/>
          <w:sz w:val="32"/>
          <w:szCs w:val="32"/>
        </w:rPr>
        <w:t>提高业务人员分析、量化绩效指标的能力，提高预算编制严谨性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可控性</w:t>
      </w:r>
      <w:r>
        <w:rPr>
          <w:rFonts w:hint="eastAsia" w:ascii="仿宋_GB2312" w:hAnsi="仿宋_GB2312" w:eastAsia="仿宋_GB2312" w:cs="仿宋_GB2312"/>
          <w:sz w:val="32"/>
          <w:szCs w:val="32"/>
          <w:lang w:eastAsia="zh-CN"/>
        </w:rPr>
        <w:t>及</w:t>
      </w:r>
      <w:r>
        <w:rPr>
          <w:rFonts w:hint="eastAsia" w:ascii="仿宋_GB2312" w:hAnsi="仿宋_GB2312" w:eastAsia="仿宋_GB2312" w:cs="仿宋_GB2312"/>
          <w:sz w:val="32"/>
          <w:szCs w:val="32"/>
        </w:rPr>
        <w:t>绩效</w:t>
      </w:r>
      <w:r>
        <w:rPr>
          <w:rFonts w:hint="eastAsia" w:ascii="仿宋_GB2312" w:hAnsi="仿宋_GB2312" w:eastAsia="仿宋_GB2312" w:cs="仿宋_GB2312"/>
          <w:sz w:val="32"/>
          <w:szCs w:val="32"/>
          <w:lang w:eastAsia="zh-CN"/>
        </w:rPr>
        <w:t>管理</w:t>
      </w:r>
      <w:r>
        <w:rPr>
          <w:rFonts w:hint="eastAsia" w:ascii="仿宋_GB2312" w:hAnsi="仿宋_GB2312" w:eastAsia="仿宋_GB2312" w:cs="仿宋_GB2312"/>
          <w:sz w:val="32"/>
          <w:szCs w:val="32"/>
        </w:rPr>
        <w:t>质量。</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sz w:val="32"/>
          <w:szCs w:val="32"/>
        </w:rPr>
        <w:t>多渠道积极筹措资金，取得各级财政的资金支持，协调相关部门落实加快交通发展各项政策措施。</w:t>
      </w:r>
    </w:p>
    <w:p>
      <w:pPr>
        <w:pStyle w:val="23"/>
        <w:numPr>
          <w:ilvl w:val="0"/>
          <w:numId w:val="0"/>
        </w:numPr>
        <w:ind w:left="709" w:leftChars="0"/>
        <w:rPr>
          <w:rFonts w:ascii="黑体" w:hAnsi="黑体" w:eastAsia="黑体" w:cs="仿宋"/>
          <w:sz w:val="32"/>
          <w:szCs w:val="32"/>
        </w:rPr>
      </w:pPr>
    </w:p>
    <w:sectPr>
      <w:footerReference r:id="rId3" w:type="default"/>
      <w:footerReference r:id="rId4" w:type="even"/>
      <w:pgSz w:w="11906" w:h="16838"/>
      <w:pgMar w:top="1985" w:right="1418" w:bottom="1985" w:left="1418" w:header="851" w:footer="1701" w:gutter="0"/>
      <w:cols w:space="425" w:num="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outside" w:y="1"/>
      <w:rPr>
        <w:rStyle w:val="16"/>
      </w:rPr>
    </w:pPr>
    <w:r>
      <w:rPr>
        <w:rStyle w:val="16"/>
      </w:rPr>
      <w:fldChar w:fldCharType="begin"/>
    </w:r>
    <w:r>
      <w:rPr>
        <w:rStyle w:val="16"/>
      </w:rPr>
      <w:instrText xml:space="preserve">PAGE  </w:instrText>
    </w:r>
    <w:r>
      <w:rPr>
        <w:rStyle w:val="16"/>
      </w:rPr>
      <w:fldChar w:fldCharType="end"/>
    </w:r>
  </w:p>
  <w:p>
    <w:pPr>
      <w:pStyle w:val="11"/>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F56155"/>
    <w:multiLevelType w:val="singleLevel"/>
    <w:tmpl w:val="8AF56155"/>
    <w:lvl w:ilvl="0" w:tentative="0">
      <w:start w:val="3"/>
      <w:numFmt w:val="chineseCounting"/>
      <w:suff w:val="nothing"/>
      <w:lvlText w:val="（%1）"/>
      <w:lvlJc w:val="left"/>
      <w:pPr>
        <w:ind w:left="480" w:leftChars="0" w:firstLine="0" w:firstLineChars="0"/>
      </w:pPr>
      <w:rPr>
        <w:rFonts w:hint="eastAsia"/>
      </w:rPr>
    </w:lvl>
  </w:abstractNum>
  <w:abstractNum w:abstractNumId="1">
    <w:nsid w:val="FA0F7DA1"/>
    <w:multiLevelType w:val="singleLevel"/>
    <w:tmpl w:val="FA0F7DA1"/>
    <w:lvl w:ilvl="0" w:tentative="0">
      <w:start w:val="4"/>
      <w:numFmt w:val="chineseCounting"/>
      <w:suff w:val="nothing"/>
      <w:lvlText w:val="%1、"/>
      <w:lvlJc w:val="left"/>
      <w:rPr>
        <w:rFonts w:hint="eastAsia"/>
      </w:rPr>
    </w:lvl>
  </w:abstractNum>
  <w:abstractNum w:abstractNumId="2">
    <w:nsid w:val="2390A967"/>
    <w:multiLevelType w:val="singleLevel"/>
    <w:tmpl w:val="2390A967"/>
    <w:lvl w:ilvl="0" w:tentative="0">
      <w:start w:val="3"/>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31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42933"/>
    <w:rsid w:val="00002F2C"/>
    <w:rsid w:val="000070A8"/>
    <w:rsid w:val="00016CA4"/>
    <w:rsid w:val="000324AE"/>
    <w:rsid w:val="00042933"/>
    <w:rsid w:val="00074438"/>
    <w:rsid w:val="0008033E"/>
    <w:rsid w:val="00083780"/>
    <w:rsid w:val="0008759D"/>
    <w:rsid w:val="00094F2B"/>
    <w:rsid w:val="000B0A83"/>
    <w:rsid w:val="000B6322"/>
    <w:rsid w:val="000C2CC1"/>
    <w:rsid w:val="000E4A5A"/>
    <w:rsid w:val="00103547"/>
    <w:rsid w:val="00136EC7"/>
    <w:rsid w:val="0017068B"/>
    <w:rsid w:val="00185A3C"/>
    <w:rsid w:val="00192D5A"/>
    <w:rsid w:val="001C59B3"/>
    <w:rsid w:val="001D49CC"/>
    <w:rsid w:val="001E0886"/>
    <w:rsid w:val="001F7E31"/>
    <w:rsid w:val="002071BC"/>
    <w:rsid w:val="00225AE6"/>
    <w:rsid w:val="002270EB"/>
    <w:rsid w:val="00235F0F"/>
    <w:rsid w:val="00255783"/>
    <w:rsid w:val="00290BA1"/>
    <w:rsid w:val="002A6AEA"/>
    <w:rsid w:val="002F07DF"/>
    <w:rsid w:val="002F2268"/>
    <w:rsid w:val="003C50C2"/>
    <w:rsid w:val="0041099F"/>
    <w:rsid w:val="00436A1D"/>
    <w:rsid w:val="004379D7"/>
    <w:rsid w:val="004A68B1"/>
    <w:rsid w:val="004B64F3"/>
    <w:rsid w:val="004E3B64"/>
    <w:rsid w:val="005020C5"/>
    <w:rsid w:val="00567FE6"/>
    <w:rsid w:val="0058162A"/>
    <w:rsid w:val="005B2327"/>
    <w:rsid w:val="005B3616"/>
    <w:rsid w:val="005E12FA"/>
    <w:rsid w:val="006279F4"/>
    <w:rsid w:val="00683167"/>
    <w:rsid w:val="006A1CCC"/>
    <w:rsid w:val="006A5056"/>
    <w:rsid w:val="006E64C9"/>
    <w:rsid w:val="007048FF"/>
    <w:rsid w:val="00712100"/>
    <w:rsid w:val="0071700D"/>
    <w:rsid w:val="00742652"/>
    <w:rsid w:val="00752E24"/>
    <w:rsid w:val="00756EFC"/>
    <w:rsid w:val="00772600"/>
    <w:rsid w:val="007D5D41"/>
    <w:rsid w:val="007F01F9"/>
    <w:rsid w:val="00856BA1"/>
    <w:rsid w:val="00867620"/>
    <w:rsid w:val="008709E0"/>
    <w:rsid w:val="008A6A10"/>
    <w:rsid w:val="008A6A31"/>
    <w:rsid w:val="008C54C8"/>
    <w:rsid w:val="00904AF4"/>
    <w:rsid w:val="00905542"/>
    <w:rsid w:val="00917700"/>
    <w:rsid w:val="00921750"/>
    <w:rsid w:val="00956F74"/>
    <w:rsid w:val="009841E5"/>
    <w:rsid w:val="009B0B5F"/>
    <w:rsid w:val="009C04DA"/>
    <w:rsid w:val="009C4C62"/>
    <w:rsid w:val="009E3627"/>
    <w:rsid w:val="009F53E7"/>
    <w:rsid w:val="00A11BF8"/>
    <w:rsid w:val="00A14A33"/>
    <w:rsid w:val="00A6449D"/>
    <w:rsid w:val="00A768DB"/>
    <w:rsid w:val="00AA09C8"/>
    <w:rsid w:val="00AD5F30"/>
    <w:rsid w:val="00B0681D"/>
    <w:rsid w:val="00B56C08"/>
    <w:rsid w:val="00B9023F"/>
    <w:rsid w:val="00BC1FDC"/>
    <w:rsid w:val="00BD0FD8"/>
    <w:rsid w:val="00C44804"/>
    <w:rsid w:val="00C6362A"/>
    <w:rsid w:val="00C81363"/>
    <w:rsid w:val="00CB27A5"/>
    <w:rsid w:val="00CD55ED"/>
    <w:rsid w:val="00CD63C0"/>
    <w:rsid w:val="00CE62A0"/>
    <w:rsid w:val="00D21F0C"/>
    <w:rsid w:val="00D366C1"/>
    <w:rsid w:val="00D36CB5"/>
    <w:rsid w:val="00D877F7"/>
    <w:rsid w:val="00DB2D43"/>
    <w:rsid w:val="00E266F1"/>
    <w:rsid w:val="00E924C0"/>
    <w:rsid w:val="00EB16A8"/>
    <w:rsid w:val="00EC7904"/>
    <w:rsid w:val="00F72E93"/>
    <w:rsid w:val="00F87A11"/>
    <w:rsid w:val="00FB2D24"/>
    <w:rsid w:val="00FB7E01"/>
    <w:rsid w:val="00FE5F4C"/>
    <w:rsid w:val="00FF39F6"/>
    <w:rsid w:val="05374814"/>
    <w:rsid w:val="0C8F0285"/>
    <w:rsid w:val="0F8F6BFC"/>
    <w:rsid w:val="107166F3"/>
    <w:rsid w:val="16144A40"/>
    <w:rsid w:val="192B72DB"/>
    <w:rsid w:val="197C4A8C"/>
    <w:rsid w:val="1ACA04C3"/>
    <w:rsid w:val="1B386363"/>
    <w:rsid w:val="1C841DE7"/>
    <w:rsid w:val="24BA2356"/>
    <w:rsid w:val="2A504E1C"/>
    <w:rsid w:val="2A5305B3"/>
    <w:rsid w:val="33642260"/>
    <w:rsid w:val="3791647A"/>
    <w:rsid w:val="3FF11446"/>
    <w:rsid w:val="455969D8"/>
    <w:rsid w:val="46725F3E"/>
    <w:rsid w:val="48725571"/>
    <w:rsid w:val="4BDB04ED"/>
    <w:rsid w:val="4C2C754D"/>
    <w:rsid w:val="51B4798B"/>
    <w:rsid w:val="51EA1CF7"/>
    <w:rsid w:val="526A3656"/>
    <w:rsid w:val="52B006EF"/>
    <w:rsid w:val="53CD5365"/>
    <w:rsid w:val="5D643D56"/>
    <w:rsid w:val="64283056"/>
    <w:rsid w:val="67B74D48"/>
    <w:rsid w:val="69BD0A47"/>
    <w:rsid w:val="6CC22C47"/>
    <w:rsid w:val="6D0F1E56"/>
    <w:rsid w:val="700D4A63"/>
    <w:rsid w:val="71A911C9"/>
    <w:rsid w:val="7793669D"/>
    <w:rsid w:val="7B466747"/>
    <w:rsid w:val="7CCC213E"/>
    <w:rsid w:val="7FD74F2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21"/>
    <w:qFormat/>
    <w:uiPriority w:val="9"/>
    <w:pPr>
      <w:spacing w:before="100" w:beforeAutospacing="1" w:after="100" w:afterAutospacing="1"/>
      <w:jc w:val="left"/>
      <w:outlineLvl w:val="0"/>
    </w:pPr>
    <w:rPr>
      <w:rFonts w:hint="eastAsia" w:ascii="宋体" w:hAnsi="宋体" w:eastAsia="宋体" w:cs="宋体"/>
      <w:b/>
      <w:kern w:val="44"/>
      <w:sz w:val="48"/>
      <w:szCs w:val="48"/>
    </w:rPr>
  </w:style>
  <w:style w:type="character" w:default="1" w:styleId="14">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1"/>
    <w:qFormat/>
    <w:uiPriority w:val="99"/>
    <w:pPr>
      <w:spacing w:after="120"/>
      <w:ind w:left="420" w:leftChars="200"/>
    </w:pPr>
  </w:style>
  <w:style w:type="paragraph" w:styleId="5">
    <w:name w:val="Body Text"/>
    <w:basedOn w:val="1"/>
    <w:next w:val="6"/>
    <w:qFormat/>
    <w:uiPriority w:val="99"/>
    <w:pPr>
      <w:autoSpaceDE w:val="0"/>
      <w:autoSpaceDN w:val="0"/>
      <w:adjustRightInd w:val="0"/>
      <w:snapToGrid w:val="0"/>
      <w:spacing w:line="588" w:lineRule="atLeast"/>
    </w:pPr>
    <w:rPr>
      <w:rFonts w:ascii="宋体" w:hAnsi="宋体" w:eastAsia="仿宋_GB2312"/>
      <w:spacing w:val="-2"/>
      <w:sz w:val="32"/>
      <w:szCs w:val="24"/>
    </w:rPr>
  </w:style>
  <w:style w:type="paragraph" w:customStyle="1" w:styleId="6">
    <w:name w:val="正文部分 Char Char Char"/>
    <w:basedOn w:val="5"/>
    <w:next w:val="7"/>
    <w:qFormat/>
    <w:uiPriority w:val="99"/>
    <w:pPr>
      <w:adjustRightInd w:val="0"/>
      <w:snapToGrid w:val="0"/>
      <w:spacing w:line="460" w:lineRule="exact"/>
      <w:textAlignment w:val="baseline"/>
    </w:pPr>
    <w:rPr>
      <w:rFonts w:hAnsi="Calibri"/>
      <w:sz w:val="24"/>
      <w:szCs w:val="24"/>
    </w:rPr>
  </w:style>
  <w:style w:type="paragraph" w:customStyle="1" w:styleId="7">
    <w:name w:val="章标题"/>
    <w:basedOn w:val="8"/>
    <w:qFormat/>
    <w:uiPriority w:val="99"/>
    <w:pPr>
      <w:spacing w:line="360" w:lineRule="auto"/>
    </w:pPr>
  </w:style>
  <w:style w:type="paragraph" w:styleId="8">
    <w:name w:val="Title"/>
    <w:basedOn w:val="1"/>
    <w:next w:val="1"/>
    <w:qFormat/>
    <w:uiPriority w:val="99"/>
    <w:pPr>
      <w:spacing w:before="240" w:after="60"/>
      <w:jc w:val="center"/>
      <w:outlineLvl w:val="0"/>
    </w:pPr>
    <w:rPr>
      <w:rFonts w:ascii="Cambria" w:hAnsi="Cambria" w:cs="Cambria"/>
      <w:b/>
      <w:bCs/>
      <w:kern w:val="0"/>
      <w:sz w:val="32"/>
      <w:szCs w:val="32"/>
    </w:rPr>
  </w:style>
  <w:style w:type="paragraph" w:styleId="9">
    <w:name w:val="Plain Text"/>
    <w:basedOn w:val="1"/>
    <w:link w:val="20"/>
    <w:qFormat/>
    <w:uiPriority w:val="0"/>
    <w:rPr>
      <w:rFonts w:ascii="宋体" w:hAnsi="Courier New" w:eastAsia="宋体" w:cs="Courier New"/>
      <w:szCs w:val="21"/>
    </w:rPr>
  </w:style>
  <w:style w:type="paragraph" w:styleId="10">
    <w:name w:val="Body Text Indent 2"/>
    <w:basedOn w:val="5"/>
    <w:qFormat/>
    <w:uiPriority w:val="99"/>
    <w:pPr>
      <w:ind w:left="420" w:leftChars="200"/>
    </w:pPr>
    <w:rPr>
      <w:rFonts w:eastAsia="仿宋_GB2312"/>
      <w:color w:val="000000"/>
      <w:sz w:val="32"/>
      <w:szCs w:val="32"/>
    </w:rPr>
  </w:style>
  <w:style w:type="paragraph" w:styleId="11">
    <w:name w:val="footer"/>
    <w:basedOn w:val="1"/>
    <w:link w:val="19"/>
    <w:unhideWhenUsed/>
    <w:qFormat/>
    <w:uiPriority w:val="99"/>
    <w:pPr>
      <w:tabs>
        <w:tab w:val="center" w:pos="4153"/>
        <w:tab w:val="right" w:pos="8306"/>
      </w:tabs>
      <w:snapToGrid w:val="0"/>
      <w:jc w:val="left"/>
    </w:pPr>
    <w:rPr>
      <w:sz w:val="18"/>
      <w:szCs w:val="18"/>
    </w:rPr>
  </w:style>
  <w:style w:type="paragraph" w:styleId="12">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15">
    <w:name w:val="Strong"/>
    <w:basedOn w:val="14"/>
    <w:qFormat/>
    <w:uiPriority w:val="22"/>
    <w:rPr>
      <w:b/>
      <w:bCs/>
    </w:rPr>
  </w:style>
  <w:style w:type="character" w:styleId="16">
    <w:name w:val="page number"/>
    <w:basedOn w:val="14"/>
    <w:semiHidden/>
    <w:unhideWhenUsed/>
    <w:qFormat/>
    <w:uiPriority w:val="99"/>
  </w:style>
  <w:style w:type="character" w:customStyle="1" w:styleId="18">
    <w:name w:val="页眉 Char"/>
    <w:basedOn w:val="14"/>
    <w:link w:val="12"/>
    <w:qFormat/>
    <w:uiPriority w:val="99"/>
    <w:rPr>
      <w:sz w:val="18"/>
      <w:szCs w:val="18"/>
    </w:rPr>
  </w:style>
  <w:style w:type="character" w:customStyle="1" w:styleId="19">
    <w:name w:val="页脚 Char"/>
    <w:basedOn w:val="14"/>
    <w:link w:val="11"/>
    <w:qFormat/>
    <w:uiPriority w:val="99"/>
    <w:rPr>
      <w:sz w:val="18"/>
      <w:szCs w:val="18"/>
    </w:rPr>
  </w:style>
  <w:style w:type="character" w:customStyle="1" w:styleId="20">
    <w:name w:val="纯文本 Char"/>
    <w:basedOn w:val="14"/>
    <w:link w:val="9"/>
    <w:qFormat/>
    <w:uiPriority w:val="0"/>
    <w:rPr>
      <w:rFonts w:ascii="宋体" w:hAnsi="Courier New" w:eastAsia="宋体" w:cs="Courier New"/>
      <w:szCs w:val="21"/>
    </w:rPr>
  </w:style>
  <w:style w:type="character" w:customStyle="1" w:styleId="21">
    <w:name w:val="标题 1 Char"/>
    <w:basedOn w:val="14"/>
    <w:link w:val="4"/>
    <w:qFormat/>
    <w:uiPriority w:val="9"/>
    <w:rPr>
      <w:rFonts w:ascii="宋体" w:hAnsi="宋体" w:eastAsia="宋体" w:cs="宋体"/>
      <w:b/>
      <w:kern w:val="44"/>
      <w:sz w:val="48"/>
      <w:szCs w:val="48"/>
    </w:rPr>
  </w:style>
  <w:style w:type="character" w:customStyle="1" w:styleId="22">
    <w:name w:val="font31"/>
    <w:basedOn w:val="14"/>
    <w:qFormat/>
    <w:uiPriority w:val="0"/>
    <w:rPr>
      <w:rFonts w:hint="eastAsia" w:ascii="宋体" w:hAnsi="宋体" w:eastAsia="宋体" w:cs="宋体"/>
      <w:b/>
      <w:color w:val="000000"/>
      <w:sz w:val="36"/>
      <w:szCs w:val="36"/>
      <w:u w:val="none"/>
    </w:rPr>
  </w:style>
  <w:style w:type="paragraph" w:styleId="2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9755</Words>
  <Characters>10223</Characters>
  <Lines>40</Lines>
  <Paragraphs>11</Paragraphs>
  <TotalTime>5</TotalTime>
  <ScaleCrop>false</ScaleCrop>
  <LinksUpToDate>false</LinksUpToDate>
  <CharactersWithSpaces>10324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2016-02-22T07:07:00Z</dcterms:created>
  <dc:creator>Administrator</dc:creator>
  <cp:lastModifiedBy>云</cp:lastModifiedBy>
  <cp:lastPrinted>2022-05-06T00:51:00Z</cp:lastPrinted>
  <dcterms:modified xsi:type="dcterms:W3CDTF">2025-02-19T12:09:59Z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C583AED451D84D3FABED4D5E10DD46E8</vt:lpwstr>
  </property>
</Properties>
</file>