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44"/>
          <w:szCs w:val="44"/>
        </w:rPr>
      </w:pPr>
    </w:p>
    <w:p>
      <w:pPr>
        <w:snapToGrid w:val="0"/>
        <w:spacing w:line="580" w:lineRule="exact"/>
        <w:jc w:val="center"/>
        <w:rPr>
          <w:rFonts w:hint="eastAsia" w:ascii="方正小标宋_GBK" w:hAnsi="宋体" w:eastAsia="方正小标宋_GBK" w:cs="Tahoma"/>
          <w:kern w:val="0"/>
          <w:sz w:val="44"/>
          <w:szCs w:val="44"/>
          <w:lang w:eastAsia="zh-CN"/>
        </w:rPr>
      </w:pPr>
      <w:r>
        <w:rPr>
          <w:rFonts w:hint="eastAsia" w:ascii="方正小标宋_GBK" w:hAnsi="宋体" w:eastAsia="方正小标宋_GBK" w:cs="Tahoma"/>
          <w:kern w:val="0"/>
          <w:sz w:val="44"/>
          <w:szCs w:val="44"/>
        </w:rPr>
        <w:t>202</w:t>
      </w:r>
      <w:r>
        <w:rPr>
          <w:rFonts w:hint="eastAsia" w:ascii="方正小标宋_GBK" w:hAnsi="宋体" w:eastAsia="方正小标宋_GBK" w:cs="Tahoma"/>
          <w:kern w:val="0"/>
          <w:sz w:val="44"/>
          <w:szCs w:val="44"/>
          <w:lang w:val="en-US" w:eastAsia="zh-CN"/>
        </w:rPr>
        <w:t>3</w:t>
      </w:r>
      <w:r>
        <w:rPr>
          <w:rFonts w:hint="eastAsia" w:ascii="方正小标宋_GBK" w:hAnsi="宋体" w:eastAsia="方正小标宋_GBK" w:cs="Tahoma"/>
          <w:kern w:val="0"/>
          <w:sz w:val="44"/>
          <w:szCs w:val="44"/>
        </w:rPr>
        <w:t>年度</w:t>
      </w:r>
      <w:r>
        <w:rPr>
          <w:rFonts w:hint="eastAsia" w:ascii="方正小标宋_GBK" w:hAnsi="宋体" w:eastAsia="方正小标宋_GBK" w:cs="Tahoma"/>
          <w:kern w:val="0"/>
          <w:sz w:val="44"/>
          <w:szCs w:val="44"/>
          <w:lang w:eastAsia="zh-CN"/>
        </w:rPr>
        <w:t>巨鹿县交通运输局</w:t>
      </w:r>
    </w:p>
    <w:p>
      <w:pPr>
        <w:snapToGrid w:val="0"/>
        <w:spacing w:line="580" w:lineRule="exact"/>
        <w:jc w:val="center"/>
        <w:rPr>
          <w:rFonts w:hint="eastAsia" w:ascii="方正小标宋_GBK" w:hAnsi="宋体" w:eastAsia="方正小标宋_GBK"/>
          <w:sz w:val="44"/>
          <w:szCs w:val="44"/>
        </w:rPr>
      </w:pPr>
      <w:r>
        <w:rPr>
          <w:rFonts w:hint="eastAsia" w:ascii="方正小标宋_GBK" w:hAnsi="宋体" w:eastAsia="方正小标宋_GBK"/>
          <w:sz w:val="44"/>
          <w:szCs w:val="44"/>
          <w:lang w:val="en-US" w:eastAsia="zh-CN"/>
        </w:rPr>
        <w:t>2023年巨鹿县农村公路养护工程</w:t>
      </w:r>
      <w:r>
        <w:rPr>
          <w:rFonts w:hint="eastAsia" w:ascii="方正小标宋_GBK" w:hAnsi="宋体" w:eastAsia="方正小标宋_GBK"/>
          <w:sz w:val="44"/>
          <w:szCs w:val="44"/>
        </w:rPr>
        <w:t>绩效自评</w:t>
      </w:r>
    </w:p>
    <w:p>
      <w:pPr>
        <w:snapToGrid w:val="0"/>
        <w:spacing w:line="580" w:lineRule="exact"/>
        <w:jc w:val="center"/>
        <w:rPr>
          <w:rFonts w:ascii="方正小标宋_GBK" w:hAnsi="宋体" w:eastAsia="方正小标宋_GBK"/>
          <w:sz w:val="44"/>
          <w:szCs w:val="44"/>
        </w:rPr>
      </w:pPr>
      <w:r>
        <w:rPr>
          <w:rFonts w:hint="eastAsia" w:ascii="方正小标宋_GBK" w:hAnsi="宋体" w:eastAsia="方正小标宋_GBK"/>
          <w:sz w:val="44"/>
          <w:szCs w:val="44"/>
        </w:rPr>
        <w:t>工作报告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ind w:right="0" w:firstLine="6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为加强财政支出管理，优化财政支出结构，强化落实支出责任，提高财政资金使用效益，查找和分析项目组织实施管理中存在的问题，并提出建议与对策，为领导决策提供科学有力的依据。根据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市局绩效评价工作的通知</w:t>
      </w:r>
      <w:r>
        <w:rPr>
          <w:rFonts w:hint="eastAsia" w:ascii="仿宋" w:hAnsi="仿宋" w:eastAsia="仿宋" w:cs="仿宋"/>
          <w:sz w:val="32"/>
          <w:szCs w:val="32"/>
        </w:rPr>
        <w:t>，对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2023年上级补助资金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进</w:t>
      </w:r>
      <w:r>
        <w:rPr>
          <w:rFonts w:hint="eastAsia" w:ascii="仿宋" w:hAnsi="仿宋" w:eastAsia="仿宋" w:cs="仿宋"/>
          <w:sz w:val="32"/>
          <w:szCs w:val="32"/>
        </w:rPr>
        <w:t>行绩效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评价</w:t>
      </w:r>
      <w:r>
        <w:rPr>
          <w:rFonts w:hint="eastAsia" w:ascii="仿宋" w:hAnsi="仿宋" w:eastAsia="仿宋" w:cs="仿宋"/>
          <w:sz w:val="32"/>
          <w:szCs w:val="32"/>
        </w:rPr>
        <w:t>，通过收集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、整理相关资料，查看凭证、实地调研和问卷调查等方式进行了解核实，并对相关评价指标进行汇总分析，对照评价指标和标准进行评议打分，形成绩效评价报告。</w:t>
      </w:r>
    </w:p>
    <w:p>
      <w:pPr>
        <w:ind w:right="0" w:firstLine="6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/>
          <w:sz w:val="32"/>
          <w:szCs w:val="32"/>
        </w:rPr>
        <w:t>、项目实施基本情况</w:t>
      </w:r>
    </w:p>
    <w:p>
      <w:pPr>
        <w:ind w:right="0" w:firstLine="600"/>
        <w:jc w:val="both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(一）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绩效评价对象</w:t>
      </w:r>
    </w:p>
    <w:p>
      <w:pPr>
        <w:pStyle w:val="3"/>
        <w:spacing w:before="0" w:beforeAutospacing="0" w:after="0" w:afterAutospacing="0" w:line="700" w:lineRule="exact"/>
        <w:ind w:firstLine="640" w:firstLineChars="200"/>
        <w:jc w:val="both"/>
        <w:rPr>
          <w:rFonts w:hint="default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2023年巨鹿县农村公路养护工程，建设内容：县道沥青路面挖补8189平方米，乡、村道水泥混凝土路面挖补10834.8平方米，应急水毁修复7209立方米，喷涂标线、冷喷标线19903平方米，施划震荡标线2135平方米。</w:t>
      </w:r>
    </w:p>
    <w:p>
      <w:pPr>
        <w:numPr>
          <w:ilvl w:val="0"/>
          <w:numId w:val="1"/>
        </w:numPr>
        <w:ind w:right="0" w:firstLine="600"/>
        <w:jc w:val="both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财务管理情况</w:t>
      </w:r>
    </w:p>
    <w:p>
      <w:pPr>
        <w:numPr>
          <w:ilvl w:val="0"/>
          <w:numId w:val="0"/>
        </w:numPr>
        <w:ind w:right="0" w:rightChars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2023年巨鹿县农村公路养护工程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上级补助资金364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，具体为：</w:t>
      </w:r>
    </w:p>
    <w:p>
      <w:pPr>
        <w:numPr>
          <w:ilvl w:val="0"/>
          <w:numId w:val="2"/>
        </w:numPr>
        <w:ind w:right="0" w:rightChars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农村公路养护工程资金197万元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（冀财建[2021]196号）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；</w:t>
      </w:r>
    </w:p>
    <w:p>
      <w:pPr>
        <w:numPr>
          <w:ilvl w:val="0"/>
          <w:numId w:val="2"/>
        </w:numPr>
        <w:ind w:right="0" w:rightChars="0" w:firstLine="640" w:firstLineChars="200"/>
        <w:jc w:val="both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农村公路养护工程167万元（冀财建[2022]267号），</w:t>
      </w:r>
    </w:p>
    <w:p>
      <w:pPr>
        <w:numPr>
          <w:ilvl w:val="0"/>
          <w:numId w:val="0"/>
        </w:numPr>
        <w:ind w:right="0" w:rightChars="0" w:firstLine="640" w:firstLineChars="200"/>
        <w:jc w:val="both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已拨付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364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资金拨付比例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。</w:t>
      </w:r>
    </w:p>
    <w:p>
      <w:pPr>
        <w:ind w:right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sz w:val="32"/>
          <w:szCs w:val="32"/>
        </w:rPr>
        <w:t>）项目绩效目标</w:t>
      </w:r>
    </w:p>
    <w:p>
      <w:pPr>
        <w:pStyle w:val="3"/>
        <w:spacing w:before="0" w:beforeAutospacing="0" w:after="0" w:afterAutospacing="0" w:line="700" w:lineRule="exact"/>
        <w:ind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绩效目标: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通过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完成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项目的建设，进一步优化我县的路域环境，改善我县农村出行环境和人居环境，提升公共服务能力，为创建全国“四好农村路”做出应有贡献。</w:t>
      </w:r>
    </w:p>
    <w:p>
      <w:pPr>
        <w:ind w:right="0" w:firstLine="600"/>
        <w:jc w:val="both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、绩效评价工作情况</w:t>
      </w:r>
    </w:p>
    <w:p>
      <w:pPr>
        <w:ind w:right="0" w:firstLine="6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(一）评价目的</w:t>
      </w:r>
    </w:p>
    <w:p>
      <w:pPr>
        <w:ind w:right="0" w:firstLine="6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绩效管理是政府改革的重要方向，财政支出绩效评价是建设效能、责任和廉洁政府的重要手段。为客观评价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2023年上级补助资金项目</w:t>
      </w:r>
      <w:r>
        <w:rPr>
          <w:rFonts w:hint="eastAsia" w:ascii="仿宋" w:hAnsi="仿宋" w:eastAsia="仿宋" w:cs="仿宋"/>
          <w:sz w:val="32"/>
          <w:szCs w:val="32"/>
        </w:rPr>
        <w:t>绩效，结合项目特点，制定项目绩效评价指标体系，运用科学、规范的评价方法，客观地对项目进行综合性评价，剖析</w:t>
      </w:r>
      <w:r>
        <w:rPr>
          <w:rFonts w:hint="eastAsia" w:ascii="仿宋" w:hAnsi="仿宋" w:eastAsia="仿宋" w:cs="仿宋"/>
          <w:kern w:val="2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</w:rPr>
        <w:t>支出在预算、管理及项目实施过程中存在的问题，探究其可能的原因，最后提出相应的解决对策。通过绩效评价，在项目资金管理中引入绩效管理理念，规范管理方式，总结项目管理经验，同时加强项目资金管理，优化财政支出结构，进一步提升财政专项资金使用效益和政府公共服务水平，为领导科学决策提供确实有力的依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ind w:right="0" w:firstLine="6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(二）评价指标</w:t>
      </w:r>
    </w:p>
    <w:p>
      <w:pPr>
        <w:ind w:right="0" w:firstLine="6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根据项目相关性、重要性，可比性、经济性、系统性原则，结合财政支出项目绩效评价的相关要求设立相应的指标，并分配相应的权重（分值）。本项目评价指标拟设置4个一级指标(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产出指标、效益指标、满意度指标、预算执行率</w:t>
      </w:r>
      <w:r>
        <w:rPr>
          <w:rFonts w:hint="eastAsia" w:ascii="仿宋" w:hAnsi="仿宋" w:eastAsia="仿宋" w:cs="仿宋"/>
          <w:sz w:val="32"/>
          <w:szCs w:val="32"/>
        </w:rPr>
        <w:t>）；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个二级指标（数量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</w:rPr>
        <w:t>、质量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</w:rPr>
        <w:t>、时效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</w:rPr>
        <w:t>、成本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</w:rPr>
        <w:t>、经济效益指标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社会效益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满意度指标、预算执行率</w:t>
      </w:r>
      <w:r>
        <w:rPr>
          <w:rFonts w:hint="eastAsia" w:ascii="仿宋" w:hAnsi="仿宋" w:eastAsia="仿宋" w:cs="仿宋"/>
          <w:sz w:val="32"/>
          <w:szCs w:val="32"/>
        </w:rPr>
        <w:t>）；根据项目实施具体情况，共设置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个三级指标。本项目绩效评价以100分计，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产出指标、效益指标、满意度指标、预算执行率</w:t>
      </w:r>
      <w:r>
        <w:rPr>
          <w:rFonts w:hint="eastAsia" w:ascii="仿宋" w:hAnsi="仿宋" w:eastAsia="仿宋" w:cs="仿宋"/>
          <w:sz w:val="32"/>
          <w:szCs w:val="32"/>
        </w:rPr>
        <w:t>四个一级指标分别权重为：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50</w:t>
      </w:r>
      <w:r>
        <w:rPr>
          <w:rFonts w:hint="eastAsia" w:ascii="仿宋" w:hAnsi="仿宋" w:eastAsia="仿宋" w:cs="仿宋"/>
          <w:sz w:val="32"/>
          <w:szCs w:val="32"/>
        </w:rPr>
        <w:t>%，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0%，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0%，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0%。</w:t>
      </w:r>
    </w:p>
    <w:p>
      <w:pPr>
        <w:ind w:right="0" w:firstLine="6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(三）评价依据</w:t>
      </w:r>
    </w:p>
    <w:p>
      <w:pPr>
        <w:ind w:right="0" w:firstLine="6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1.《中华人民共和国预算法》；</w:t>
      </w:r>
    </w:p>
    <w:p>
      <w:pPr>
        <w:ind w:right="0" w:firstLine="6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2.《中华人民共和国会计法》；</w:t>
      </w:r>
    </w:p>
    <w:p>
      <w:pPr>
        <w:ind w:right="0" w:firstLine="6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3.《中华人民共和国政府采购法》；</w:t>
      </w:r>
    </w:p>
    <w:p>
      <w:pPr>
        <w:ind w:right="0" w:firstLine="6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4.《财政部关于印发&lt;项目支出绩效评价管理办法&gt;的通知》(财预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</w:t>
      </w:r>
      <w:r>
        <w:rPr>
          <w:rFonts w:hint="eastAsia" w:ascii="仿宋" w:hAnsi="仿宋" w:eastAsia="仿宋" w:cs="仿宋"/>
          <w:sz w:val="32"/>
          <w:szCs w:val="32"/>
        </w:rPr>
        <w:t>2020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]</w:t>
      </w:r>
      <w:r>
        <w:rPr>
          <w:rFonts w:hint="eastAsia" w:ascii="仿宋" w:hAnsi="仿宋" w:eastAsia="仿宋" w:cs="仿宋"/>
          <w:sz w:val="32"/>
          <w:szCs w:val="32"/>
        </w:rPr>
        <w:t>〕10号）；</w:t>
      </w:r>
    </w:p>
    <w:p>
      <w:pPr>
        <w:ind w:right="0" w:firstLine="6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5.《中共中央国务院关于全面实施预算绩效管理的意见》(中发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</w:t>
      </w:r>
      <w:r>
        <w:rPr>
          <w:rFonts w:hint="eastAsia" w:ascii="仿宋" w:hAnsi="仿宋" w:eastAsia="仿宋" w:cs="仿宋"/>
          <w:sz w:val="32"/>
          <w:szCs w:val="32"/>
        </w:rPr>
        <w:t>2018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]</w:t>
      </w:r>
      <w:r>
        <w:rPr>
          <w:rFonts w:hint="eastAsia" w:ascii="仿宋" w:hAnsi="仿宋" w:eastAsia="仿宋" w:cs="仿宋"/>
          <w:sz w:val="32"/>
          <w:szCs w:val="32"/>
        </w:rPr>
        <w:t>34号）；</w:t>
      </w:r>
    </w:p>
    <w:p>
      <w:pPr>
        <w:ind w:right="0" w:firstLine="6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6.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《河北省省对下转移支付资金绩效管理办法》（冀财绩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2019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]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5号）;</w:t>
      </w:r>
    </w:p>
    <w:p>
      <w:pPr>
        <w:ind w:right="0" w:firstLine="6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7.《河北省省级部门预算项目绩效自评管理办法》（冀财绩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2019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]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10号）</w:t>
      </w:r>
    </w:p>
    <w:p>
      <w:pPr>
        <w:ind w:right="0" w:firstLine="48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.项目其他相关依据。</w:t>
      </w:r>
    </w:p>
    <w:p>
      <w:pPr>
        <w:ind w:right="0" w:firstLine="48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(四）评价的主要方法及等级设定</w:t>
      </w:r>
    </w:p>
    <w:p>
      <w:pPr>
        <w:ind w:right="0" w:firstLine="480"/>
        <w:jc w:val="both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根据《财政部关于印发&lt;项目支出绩效评价管理办法〉的通知》（财预（2020〕10号），单位自评采用定量与定性评价相结合的比较法，总分由各项指标得分汇总形成。评价结果根据指标完成情况分为达成年度指标、部分达成年度指标并具有一定效果、未达成年度指标且效果较差三档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具体如下：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4"/>
        <w:gridCol w:w="2280"/>
        <w:gridCol w:w="2895"/>
        <w:gridCol w:w="19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434" w:type="dxa"/>
            <w:vAlign w:val="center"/>
          </w:tcPr>
          <w:p>
            <w:pPr>
              <w:ind w:right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项目</w:t>
            </w:r>
          </w:p>
        </w:tc>
        <w:tc>
          <w:tcPr>
            <w:tcW w:w="2280" w:type="dxa"/>
            <w:vAlign w:val="center"/>
          </w:tcPr>
          <w:p>
            <w:pPr>
              <w:ind w:right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达成年度指标</w:t>
            </w:r>
          </w:p>
        </w:tc>
        <w:tc>
          <w:tcPr>
            <w:tcW w:w="2895" w:type="dxa"/>
            <w:vAlign w:val="center"/>
          </w:tcPr>
          <w:p>
            <w:pPr>
              <w:ind w:right="0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部分达成年度指标</w:t>
            </w:r>
          </w:p>
          <w:p>
            <w:pPr>
              <w:ind w:right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并具有一定效果</w:t>
            </w:r>
          </w:p>
        </w:tc>
        <w:tc>
          <w:tcPr>
            <w:tcW w:w="1913" w:type="dxa"/>
            <w:vAlign w:val="center"/>
          </w:tcPr>
          <w:p>
            <w:pPr>
              <w:ind w:right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未达成年度指标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1434" w:type="dxa"/>
            <w:vAlign w:val="center"/>
          </w:tcPr>
          <w:p>
            <w:pPr>
              <w:ind w:right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分值</w:t>
            </w:r>
          </w:p>
        </w:tc>
        <w:tc>
          <w:tcPr>
            <w:tcW w:w="2280" w:type="dxa"/>
            <w:vAlign w:val="center"/>
          </w:tcPr>
          <w:p>
            <w:pPr>
              <w:ind w:right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≥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80分</w:t>
            </w:r>
          </w:p>
        </w:tc>
        <w:tc>
          <w:tcPr>
            <w:tcW w:w="2895" w:type="dxa"/>
            <w:vAlign w:val="center"/>
          </w:tcPr>
          <w:p>
            <w:pPr>
              <w:ind w:right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≥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60分，＜80分</w:t>
            </w:r>
          </w:p>
        </w:tc>
        <w:tc>
          <w:tcPr>
            <w:tcW w:w="1913" w:type="dxa"/>
            <w:vAlign w:val="center"/>
          </w:tcPr>
          <w:p>
            <w:pPr>
              <w:ind w:right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＜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60分</w:t>
            </w:r>
          </w:p>
        </w:tc>
      </w:tr>
    </w:tbl>
    <w:p>
      <w:pPr>
        <w:ind w:right="0" w:firstLine="480"/>
        <w:jc w:val="both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、绩效评价得分情况</w:t>
      </w:r>
    </w:p>
    <w:p>
      <w:pPr>
        <w:pStyle w:val="3"/>
        <w:spacing w:before="0" w:beforeAutospacing="0" w:after="0" w:afterAutospacing="0" w:line="700" w:lineRule="exact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eastAsia="zh-CN"/>
        </w:rPr>
        <w:t>（一）产出指标</w:t>
      </w:r>
    </w:p>
    <w:p>
      <w:pPr>
        <w:pStyle w:val="3"/>
        <w:spacing w:before="0" w:beforeAutospacing="0" w:after="0" w:afterAutospacing="0" w:line="700" w:lineRule="exact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1.数量指标：2023年巨鹿县农村公路养护工程按照预期数量指标完成建设任务；资金按时完成支付，自评得分20分。</w:t>
      </w:r>
    </w:p>
    <w:p>
      <w:pPr>
        <w:pStyle w:val="3"/>
        <w:spacing w:before="0" w:beforeAutospacing="0" w:after="0" w:afterAutospacing="0" w:line="700" w:lineRule="exact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2.质量指标：按照建设进程，分项进行检测均达到合格，自评得分10分。</w:t>
      </w:r>
    </w:p>
    <w:p>
      <w:pPr>
        <w:pStyle w:val="3"/>
        <w:spacing w:before="0" w:beforeAutospacing="0" w:after="0" w:afterAutospacing="0" w:line="700" w:lineRule="exact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3.时效指标：严格按照工期按时完成项目建设，自评得分10分。</w:t>
      </w:r>
    </w:p>
    <w:p>
      <w:pPr>
        <w:pStyle w:val="3"/>
        <w:spacing w:before="0" w:beforeAutospacing="0" w:after="0" w:afterAutospacing="0" w:line="700" w:lineRule="exact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4.成本指标：项目未超概算，自评得分10分。</w:t>
      </w:r>
    </w:p>
    <w:p>
      <w:pPr>
        <w:pStyle w:val="3"/>
        <w:spacing w:before="0" w:beforeAutospacing="0" w:after="0" w:afterAutospacing="0" w:line="700" w:lineRule="exact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（二）效益指标</w:t>
      </w:r>
    </w:p>
    <w:p>
      <w:pPr>
        <w:pStyle w:val="3"/>
        <w:spacing w:before="0" w:beforeAutospacing="0" w:after="0" w:afterAutospacing="0" w:line="700" w:lineRule="exact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1.经济效益指标：项目建设完成后拉动了地区经济发展；公路建成运营后创造价值，方便了公路沿线乡镇与外界的交流，自评得分15分。</w:t>
      </w:r>
    </w:p>
    <w:p>
      <w:pPr>
        <w:pStyle w:val="3"/>
        <w:spacing w:before="0" w:beforeAutospacing="0" w:after="0" w:afterAutospacing="0" w:line="700" w:lineRule="exact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2.社会效益指标：达到设计标准，通行状况基本改善，方便了群众安全、便捷出行，自评得分15分。</w:t>
      </w:r>
    </w:p>
    <w:p>
      <w:pPr>
        <w:pStyle w:val="3"/>
        <w:spacing w:before="0" w:beforeAutospacing="0" w:after="0" w:afterAutospacing="0" w:line="700" w:lineRule="exact"/>
        <w:ind w:firstLine="640" w:firstLineChars="200"/>
        <w:jc w:val="both"/>
        <w:rPr>
          <w:rFonts w:hint="eastAsia" w:ascii="仿宋" w:hAnsi="仿宋" w:eastAsia="仿宋" w:cs="仿宋"/>
          <w:spacing w:val="-11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（三）满意度指标：</w:t>
      </w:r>
      <w:r>
        <w:rPr>
          <w:rFonts w:hint="eastAsia" w:ascii="仿宋" w:hAnsi="仿宋" w:eastAsia="仿宋" w:cs="仿宋"/>
          <w:spacing w:val="-11"/>
          <w:kern w:val="2"/>
          <w:sz w:val="32"/>
          <w:szCs w:val="32"/>
          <w:lang w:val="en-US" w:eastAsia="zh-CN"/>
        </w:rPr>
        <w:t>为了准确了解群众对公路交通基础设施满意度情况，面向政府部门人员、周边群众、司乘人员等群众进行满意度调查，综合评价非常满意，自评得分10分。</w:t>
      </w:r>
    </w:p>
    <w:p>
      <w:pPr>
        <w:pStyle w:val="3"/>
        <w:spacing w:before="0" w:beforeAutospacing="0" w:after="0" w:afterAutospacing="0" w:line="700" w:lineRule="exact"/>
        <w:ind w:firstLine="640" w:firstLineChars="200"/>
        <w:jc w:val="both"/>
        <w:rPr>
          <w:rFonts w:hint="default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（四）预算执行率：资金支付率均达到100%，自评得分10分。</w:t>
      </w:r>
    </w:p>
    <w:p>
      <w:pPr>
        <w:pStyle w:val="3"/>
        <w:spacing w:before="0" w:beforeAutospacing="0" w:after="0" w:afterAutospacing="0" w:line="700" w:lineRule="exact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eastAsia="zh-CN"/>
        </w:rPr>
        <w:t>综</w:t>
      </w:r>
      <w:r>
        <w:rPr>
          <w:rFonts w:hint="eastAsia" w:ascii="仿宋" w:hAnsi="仿宋" w:eastAsia="仿宋" w:cs="仿宋"/>
          <w:kern w:val="2"/>
          <w:sz w:val="32"/>
          <w:szCs w:val="32"/>
        </w:rPr>
        <w:t>合上述资金规划符合有关政策，工作目标明确，绩效指标设定合理、可衡量，</w:t>
      </w:r>
      <w:r>
        <w:rPr>
          <w:rFonts w:hint="eastAsia" w:ascii="仿宋" w:hAnsi="仿宋" w:eastAsia="仿宋" w:cs="仿宋"/>
          <w:kern w:val="2"/>
          <w:sz w:val="32"/>
          <w:szCs w:val="32"/>
          <w:lang w:eastAsia="zh-CN"/>
        </w:rPr>
        <w:t>评价得分：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100分，</w:t>
      </w:r>
      <w:r>
        <w:rPr>
          <w:rFonts w:hint="eastAsia" w:ascii="仿宋" w:hAnsi="仿宋" w:eastAsia="仿宋" w:cs="仿宋"/>
          <w:kern w:val="2"/>
          <w:sz w:val="32"/>
          <w:szCs w:val="32"/>
        </w:rPr>
        <w:t>评价级别</w:t>
      </w:r>
      <w:r>
        <w:rPr>
          <w:rFonts w:hint="eastAsia" w:ascii="仿宋" w:hAnsi="仿宋" w:eastAsia="仿宋" w:cs="仿宋"/>
          <w:kern w:val="2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kern w:val="2"/>
          <w:sz w:val="32"/>
          <w:szCs w:val="32"/>
        </w:rPr>
        <w:t>达成年度指标。</w:t>
      </w:r>
    </w:p>
    <w:p>
      <w:pPr>
        <w:pStyle w:val="3"/>
        <w:spacing w:before="0" w:beforeAutospacing="0" w:after="0" w:afterAutospacing="0" w:line="700" w:lineRule="exact"/>
        <w:ind w:firstLine="640" w:firstLineChars="200"/>
        <w:jc w:val="both"/>
        <w:rPr>
          <w:rFonts w:hint="eastAsia" w:ascii="仿宋" w:hAnsi="仿宋" w:eastAsia="仿宋" w:cs="仿宋"/>
          <w:spacing w:val="-11"/>
          <w:kern w:val="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四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pacing w:val="-11"/>
          <w:kern w:val="2"/>
          <w:sz w:val="32"/>
          <w:szCs w:val="32"/>
        </w:rPr>
        <w:t>工作活动(项目)存在的问题、改进工作的意见及建议</w:t>
      </w:r>
    </w:p>
    <w:p>
      <w:pPr>
        <w:pStyle w:val="3"/>
        <w:spacing w:before="0" w:beforeAutospacing="0" w:after="0" w:afterAutospacing="0" w:line="700" w:lineRule="exact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目前我局绩效管理正处在起步阶段，绩效管理专业的人员相对较少，缺乏相关绩效管理经验，预算编制过程中的绩效目标确定、预算执行过程中的绩效监控、绩效评价结果的应用等管理模式还在探索之中。</w:t>
      </w:r>
    </w:p>
    <w:p>
      <w:pPr>
        <w:pStyle w:val="3"/>
        <w:spacing w:before="0" w:beforeAutospacing="0" w:after="0" w:afterAutospacing="0" w:line="700" w:lineRule="exact"/>
        <w:ind w:firstLine="640" w:firstLineChars="200"/>
        <w:jc w:val="both"/>
        <w:rPr>
          <w:rFonts w:hint="eastAsia" w:ascii="仿宋" w:hAnsi="仿宋" w:eastAsia="仿宋" w:cs="仿宋"/>
          <w:spacing w:val="-17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eastAsia="zh-CN"/>
        </w:rPr>
        <w:t>下一步我局将</w:t>
      </w:r>
      <w:r>
        <w:rPr>
          <w:rFonts w:hint="eastAsia" w:ascii="仿宋" w:hAnsi="仿宋" w:eastAsia="仿宋" w:cs="仿宋"/>
          <w:kern w:val="2"/>
          <w:sz w:val="32"/>
          <w:szCs w:val="32"/>
        </w:rPr>
        <w:t>加强业务学习、培训,提升人员综合业务能力，进一</w:t>
      </w:r>
      <w:r>
        <w:rPr>
          <w:rFonts w:hint="eastAsia" w:ascii="仿宋" w:hAnsi="仿宋" w:eastAsia="仿宋" w:cs="仿宋"/>
          <w:spacing w:val="-17"/>
          <w:kern w:val="2"/>
          <w:sz w:val="32"/>
          <w:szCs w:val="32"/>
        </w:rPr>
        <w:t>步加强理论研究,对绩效评价的范围、方法、技术手段进行探索和研究,形成理论和实践互为促进的良好局面。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DC3DE4"/>
    <w:multiLevelType w:val="singleLevel"/>
    <w:tmpl w:val="C6DC3DE4"/>
    <w:lvl w:ilvl="0" w:tentative="0">
      <w:start w:val="2"/>
      <w:numFmt w:val="chineseCounting"/>
      <w:suff w:val="nothing"/>
      <w:lvlText w:val="(%1）"/>
      <w:lvlJc w:val="left"/>
      <w:rPr>
        <w:rFonts w:hint="eastAsia"/>
      </w:rPr>
    </w:lvl>
  </w:abstractNum>
  <w:abstractNum w:abstractNumId="1">
    <w:nsid w:val="CBA3D491"/>
    <w:multiLevelType w:val="singleLevel"/>
    <w:tmpl w:val="CBA3D49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RhNjQ0MTljMThlYTgwMTA3ODdlZjM3Y2ZjMGEzOGMifQ=="/>
  </w:docVars>
  <w:rsids>
    <w:rsidRoot w:val="006C0625"/>
    <w:rsid w:val="00255F3D"/>
    <w:rsid w:val="006C0625"/>
    <w:rsid w:val="008C14DC"/>
    <w:rsid w:val="02474A49"/>
    <w:rsid w:val="02B72408"/>
    <w:rsid w:val="0B277CA9"/>
    <w:rsid w:val="11373D47"/>
    <w:rsid w:val="1D945C0B"/>
    <w:rsid w:val="23B21D9E"/>
    <w:rsid w:val="28EA6ACC"/>
    <w:rsid w:val="2BCE466D"/>
    <w:rsid w:val="35C66FC1"/>
    <w:rsid w:val="425A20E3"/>
    <w:rsid w:val="438A12B3"/>
    <w:rsid w:val="44DB5385"/>
    <w:rsid w:val="4D170188"/>
    <w:rsid w:val="4E924E62"/>
    <w:rsid w:val="514F665C"/>
    <w:rsid w:val="51594984"/>
    <w:rsid w:val="6140505E"/>
    <w:rsid w:val="71760D33"/>
    <w:rsid w:val="7B96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5">
    <w:name w:val="Table Grid"/>
    <w:basedOn w:val="4"/>
    <w:autoRedefine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2021-08-23T05:06:00Z</dcterms:created>
  <dc:creator>Microsoft Office User</dc:creator>
  <cp:lastModifiedBy>Taurus</cp:lastModifiedBy>
  <dcterms:modified xsi:type="dcterms:W3CDTF">2024-02-29T02:43:10Z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139FE2A9CDB74ABA8E32D28249C75A9F_13</vt:lpwstr>
  </property>
</Properties>
</file>