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r>
        <w:rPr>
          <w:rFonts w:hint="eastAsia" w:ascii="宋体" w:hAnsi="宋体"/>
          <w:b/>
          <w:sz w:val="44"/>
          <w:szCs w:val="44"/>
        </w:rPr>
        <w:t>巨鹿县运输管理站</w:t>
      </w:r>
    </w:p>
    <w:p>
      <w:pPr>
        <w:jc w:val="center"/>
        <w:rPr>
          <w:rFonts w:hint="eastAsia" w:ascii="宋体" w:hAnsi="宋体"/>
          <w:b/>
          <w:sz w:val="44"/>
          <w:szCs w:val="44"/>
        </w:rPr>
      </w:pPr>
      <w:r>
        <w:rPr>
          <w:rFonts w:hint="eastAsia" w:ascii="宋体" w:hAnsi="宋体"/>
          <w:b/>
          <w:sz w:val="44"/>
          <w:szCs w:val="44"/>
        </w:rPr>
        <w:t>20</w:t>
      </w:r>
      <w:r>
        <w:rPr>
          <w:rFonts w:hint="eastAsia" w:ascii="宋体" w:hAnsi="宋体"/>
          <w:b/>
          <w:sz w:val="44"/>
          <w:szCs w:val="44"/>
          <w:lang w:val="en-US" w:eastAsia="zh-CN"/>
        </w:rPr>
        <w:t>22</w:t>
      </w:r>
      <w:r>
        <w:rPr>
          <w:rFonts w:hint="eastAsia" w:ascii="宋体" w:hAnsi="宋体"/>
          <w:b/>
          <w:sz w:val="44"/>
          <w:szCs w:val="44"/>
        </w:rPr>
        <w:t>年度农村道路客运油补专项资金绩效</w:t>
      </w:r>
    </w:p>
    <w:p>
      <w:pPr>
        <w:jc w:val="center"/>
        <w:rPr>
          <w:rFonts w:ascii="宋体" w:hAnsi="宋体"/>
          <w:b/>
          <w:sz w:val="44"/>
          <w:szCs w:val="44"/>
        </w:rPr>
      </w:pPr>
      <w:r>
        <w:rPr>
          <w:rFonts w:hint="eastAsia" w:ascii="宋体" w:hAnsi="宋体"/>
          <w:b/>
          <w:sz w:val="44"/>
          <w:szCs w:val="44"/>
        </w:rPr>
        <w:t>自评报告</w:t>
      </w:r>
    </w:p>
    <w:p>
      <w:pPr>
        <w:ind w:firstLine="640" w:firstLineChars="200"/>
        <w:rPr>
          <w:rFonts w:ascii="黑体" w:hAnsi="黑体" w:eastAsia="黑体"/>
          <w:sz w:val="32"/>
          <w:szCs w:val="32"/>
        </w:rPr>
      </w:pPr>
      <w:r>
        <w:rPr>
          <w:rFonts w:hint="eastAsia" w:ascii="黑体" w:hAnsi="黑体" w:eastAsia="黑体"/>
          <w:sz w:val="32"/>
          <w:szCs w:val="32"/>
        </w:rPr>
        <w:t>一、财政专项资金基本情况</w:t>
      </w:r>
    </w:p>
    <w:p>
      <w:pPr>
        <w:ind w:firstLine="640" w:firstLineChars="200"/>
        <w:rPr>
          <w:rFonts w:ascii="仿宋" w:hAnsi="仿宋" w:eastAsia="仿宋"/>
          <w:sz w:val="32"/>
          <w:szCs w:val="32"/>
        </w:rPr>
      </w:pPr>
      <w:r>
        <w:rPr>
          <w:rFonts w:hint="eastAsia" w:ascii="楷体" w:hAnsi="楷体" w:eastAsia="楷体"/>
          <w:bCs/>
          <w:sz w:val="32"/>
          <w:szCs w:val="32"/>
        </w:rPr>
        <w:t>（一）总体情况。</w:t>
      </w:r>
      <w:r>
        <w:rPr>
          <w:rFonts w:hint="eastAsia" w:ascii="仿宋" w:hAnsi="仿宋" w:eastAsia="仿宋" w:cs="仿宋"/>
          <w:b w:val="0"/>
          <w:bCs w:val="0"/>
          <w:sz w:val="32"/>
          <w:szCs w:val="40"/>
          <w:lang w:val="en-US" w:eastAsia="zh-CN"/>
        </w:rPr>
        <w:t xml:space="preserve"> 河北省财政厅下发了《关于印发2022年度农村道路、水路客运补贴和城市交通发展奖励资金政策实施方案的通知》（冀交财</w:t>
      </w:r>
      <w:r>
        <w:rPr>
          <w:rFonts w:hint="eastAsia" w:ascii="宋体" w:hAnsi="宋体" w:eastAsia="宋体" w:cs="宋体"/>
          <w:b w:val="0"/>
          <w:bCs w:val="0"/>
          <w:sz w:val="32"/>
          <w:szCs w:val="40"/>
          <w:lang w:val="en-US" w:eastAsia="zh-CN"/>
        </w:rPr>
        <w:t>[</w:t>
      </w:r>
      <w:r>
        <w:rPr>
          <w:rFonts w:hint="eastAsia" w:ascii="仿宋" w:hAnsi="仿宋" w:eastAsia="仿宋" w:cs="仿宋"/>
          <w:b w:val="0"/>
          <w:bCs w:val="0"/>
          <w:sz w:val="32"/>
          <w:szCs w:val="40"/>
          <w:lang w:val="en-US" w:eastAsia="zh-CN"/>
        </w:rPr>
        <w:t>2023]93号）文件，下达补贴资金总额</w:t>
      </w:r>
      <w:r>
        <w:rPr>
          <w:rFonts w:hint="eastAsia" w:ascii="仿宋_GB2312" w:hAnsi="仿宋_GB2312" w:eastAsia="仿宋_GB2312" w:cs="仿宋_GB2312"/>
          <w:sz w:val="32"/>
          <w:szCs w:val="32"/>
          <w:lang w:val="en-US" w:eastAsia="zh-CN"/>
        </w:rPr>
        <w:t>1683500</w:t>
      </w:r>
      <w:r>
        <w:rPr>
          <w:rFonts w:hint="eastAsia" w:ascii="仿宋" w:hAnsi="仿宋" w:eastAsia="仿宋" w:cs="仿宋"/>
          <w:b w:val="0"/>
          <w:bCs w:val="0"/>
          <w:sz w:val="32"/>
          <w:szCs w:val="40"/>
          <w:lang w:val="en-US" w:eastAsia="zh-CN"/>
        </w:rPr>
        <w:t>元</w:t>
      </w:r>
      <w:r>
        <w:rPr>
          <w:rFonts w:hint="eastAsia" w:ascii="仿宋" w:hAnsi="仿宋" w:eastAsia="仿宋"/>
          <w:sz w:val="28"/>
          <w:szCs w:val="28"/>
        </w:rPr>
        <w:t>，</w:t>
      </w:r>
      <w:r>
        <w:rPr>
          <w:rFonts w:hint="eastAsia" w:ascii="仿宋" w:hAnsi="仿宋" w:eastAsia="仿宋"/>
          <w:sz w:val="28"/>
          <w:szCs w:val="28"/>
          <w:lang w:val="en-US" w:eastAsia="zh-CN"/>
        </w:rPr>
        <w:t>经核实需核拨</w:t>
      </w:r>
      <w:r>
        <w:rPr>
          <w:rFonts w:hint="eastAsia" w:ascii="仿宋" w:hAnsi="仿宋" w:eastAsia="仿宋"/>
          <w:sz w:val="32"/>
          <w:szCs w:val="32"/>
        </w:rPr>
        <w:t>本年度油价补贴资金共计</w:t>
      </w:r>
      <w:r>
        <w:rPr>
          <w:rFonts w:hint="eastAsia" w:ascii="仿宋" w:hAnsi="仿宋" w:eastAsia="仿宋"/>
          <w:sz w:val="32"/>
          <w:szCs w:val="32"/>
          <w:lang w:val="en-US" w:eastAsia="zh-CN"/>
        </w:rPr>
        <w:t>1649020</w:t>
      </w:r>
      <w:r>
        <w:rPr>
          <w:rFonts w:hint="eastAsia" w:ascii="仿宋" w:hAnsi="仿宋" w:eastAsia="仿宋"/>
          <w:sz w:val="32"/>
          <w:szCs w:val="32"/>
        </w:rPr>
        <w:t>元，。以上资金年度内全部到位。根据计划要求，按照绩效评价指标体系内容预期年度内完成所有项目产出和效能指标，设定项目绩效评分为</w:t>
      </w:r>
      <w:r>
        <w:rPr>
          <w:rFonts w:hint="eastAsia" w:ascii="仿宋" w:hAnsi="仿宋" w:eastAsia="仿宋"/>
          <w:sz w:val="32"/>
          <w:szCs w:val="32"/>
          <w:lang w:val="en-US" w:eastAsia="zh-CN"/>
        </w:rPr>
        <w:t>100</w:t>
      </w:r>
      <w:r>
        <w:rPr>
          <w:rFonts w:hint="eastAsia" w:ascii="仿宋" w:hAnsi="仿宋" w:eastAsia="仿宋"/>
          <w:sz w:val="32"/>
          <w:szCs w:val="32"/>
        </w:rPr>
        <w:t>分。</w:t>
      </w:r>
    </w:p>
    <w:p>
      <w:pPr>
        <w:ind w:firstLine="640" w:firstLineChars="200"/>
        <w:rPr>
          <w:rFonts w:ascii="楷体" w:hAnsi="楷体" w:eastAsia="楷体"/>
          <w:sz w:val="32"/>
          <w:szCs w:val="32"/>
        </w:rPr>
      </w:pPr>
      <w:r>
        <w:rPr>
          <w:rFonts w:hint="eastAsia" w:ascii="楷体" w:hAnsi="楷体" w:eastAsia="楷体"/>
          <w:sz w:val="32"/>
          <w:szCs w:val="32"/>
        </w:rPr>
        <w:t>（二）具体情况。</w:t>
      </w:r>
    </w:p>
    <w:p>
      <w:pPr>
        <w:ind w:firstLine="592" w:firstLineChars="185"/>
        <w:rPr>
          <w:rFonts w:hint="default" w:ascii="仿宋" w:hAnsi="仿宋" w:eastAsia="仿宋"/>
          <w:sz w:val="32"/>
          <w:szCs w:val="32"/>
          <w:lang w:val="en-US" w:eastAsia="zh-CN"/>
        </w:rPr>
      </w:pPr>
      <w:r>
        <w:rPr>
          <w:rFonts w:hint="eastAsia" w:ascii="仿宋" w:hAnsi="仿宋" w:eastAsia="仿宋"/>
          <w:sz w:val="32"/>
          <w:szCs w:val="32"/>
          <w:lang w:val="en-US" w:eastAsia="zh-CN"/>
        </w:rPr>
        <w:t>按照</w:t>
      </w:r>
      <w:r>
        <w:rPr>
          <w:rFonts w:hint="eastAsia" w:ascii="仿宋" w:hAnsi="仿宋" w:eastAsia="仿宋" w:cs="仿宋"/>
          <w:b w:val="0"/>
          <w:bCs w:val="0"/>
          <w:sz w:val="32"/>
          <w:szCs w:val="40"/>
          <w:lang w:val="en-US" w:eastAsia="zh-CN"/>
        </w:rPr>
        <w:t>河北省财政厅下发的《关于印发2022年度农村道路、水路客运补贴和城市交通发展奖励资金政策实施方案的通知》（冀交财</w:t>
      </w:r>
      <w:r>
        <w:rPr>
          <w:rFonts w:hint="eastAsia" w:ascii="宋体" w:hAnsi="宋体" w:eastAsia="宋体" w:cs="宋体"/>
          <w:b w:val="0"/>
          <w:bCs w:val="0"/>
          <w:sz w:val="32"/>
          <w:szCs w:val="40"/>
          <w:lang w:val="en-US" w:eastAsia="zh-CN"/>
        </w:rPr>
        <w:t>[</w:t>
      </w:r>
      <w:r>
        <w:rPr>
          <w:rFonts w:hint="eastAsia" w:ascii="仿宋" w:hAnsi="仿宋" w:eastAsia="仿宋" w:cs="仿宋"/>
          <w:b w:val="0"/>
          <w:bCs w:val="0"/>
          <w:sz w:val="32"/>
          <w:szCs w:val="40"/>
          <w:lang w:val="en-US" w:eastAsia="zh-CN"/>
        </w:rPr>
        <w:t>2023]93号）文件，</w:t>
      </w:r>
      <w:r>
        <w:rPr>
          <w:rFonts w:hint="eastAsia" w:ascii="仿宋" w:hAnsi="仿宋" w:eastAsia="仿宋"/>
          <w:sz w:val="32"/>
          <w:szCs w:val="32"/>
        </w:rPr>
        <w:t>将下达我县</w:t>
      </w:r>
      <w:r>
        <w:rPr>
          <w:rFonts w:hint="eastAsia" w:ascii="仿宋" w:hAnsi="仿宋" w:eastAsia="仿宋" w:cs="仿宋"/>
          <w:b w:val="0"/>
          <w:bCs w:val="0"/>
          <w:sz w:val="32"/>
          <w:szCs w:val="40"/>
          <w:lang w:val="en-US" w:eastAsia="zh-CN"/>
        </w:rPr>
        <w:t xml:space="preserve">2023年农村客运补贴资金（用于2022年度）中涨价补贴资金712200元，对符合2023年度涨价补贴资金（用于2022年度）条件的28辆客运车辆进行发放377720元。对符合2023年度涨价补贴资金（用于2022年度）和城市交通发展奖励资金（用于2022年度）条件的28辆新能源营运车辆发放615200元，剩余补助资金 </w:t>
      </w:r>
      <w:r>
        <w:rPr>
          <w:rFonts w:hint="eastAsia" w:ascii="仿宋" w:hAnsi="仿宋" w:eastAsia="仿宋"/>
          <w:b w:val="0"/>
          <w:bCs w:val="0"/>
          <w:sz w:val="32"/>
          <w:szCs w:val="32"/>
          <w:lang w:val="en-US" w:eastAsia="zh-CN"/>
        </w:rPr>
        <w:t>34480</w:t>
      </w:r>
      <w:r>
        <w:rPr>
          <w:rFonts w:hint="eastAsia" w:ascii="仿宋" w:hAnsi="仿宋" w:eastAsia="仿宋" w:cs="仿宋"/>
          <w:b w:val="0"/>
          <w:bCs w:val="0"/>
          <w:sz w:val="32"/>
          <w:szCs w:val="40"/>
          <w:lang w:val="en-US" w:eastAsia="zh-CN"/>
        </w:rPr>
        <w:t>元退回县财政局。</w:t>
      </w:r>
      <w:r>
        <w:rPr>
          <w:rFonts w:hint="eastAsia" w:ascii="仿宋" w:hAnsi="仿宋" w:eastAsia="仿宋"/>
          <w:sz w:val="32"/>
          <w:szCs w:val="32"/>
        </w:rPr>
        <w:t>将202</w:t>
      </w:r>
      <w:r>
        <w:rPr>
          <w:rFonts w:hint="eastAsia" w:ascii="仿宋" w:hAnsi="仿宋" w:eastAsia="仿宋"/>
          <w:sz w:val="32"/>
          <w:szCs w:val="32"/>
          <w:lang w:val="en-US" w:eastAsia="zh-CN"/>
        </w:rPr>
        <w:t>3</w:t>
      </w:r>
      <w:r>
        <w:rPr>
          <w:rFonts w:hint="eastAsia" w:ascii="仿宋" w:hAnsi="仿宋" w:eastAsia="仿宋"/>
          <w:sz w:val="32"/>
          <w:szCs w:val="32"/>
        </w:rPr>
        <w:t>年出租车</w:t>
      </w:r>
      <w:r>
        <w:rPr>
          <w:rFonts w:hint="eastAsia" w:ascii="仿宋" w:hAnsi="仿宋" w:eastAsia="仿宋"/>
          <w:sz w:val="32"/>
          <w:szCs w:val="32"/>
          <w:lang w:val="en-US" w:eastAsia="zh-CN"/>
        </w:rPr>
        <w:t>城市交通发展奖励资金（用于2022年度）中费改税356100</w:t>
      </w:r>
      <w:r>
        <w:rPr>
          <w:rFonts w:hint="eastAsia" w:ascii="仿宋" w:hAnsi="仿宋" w:eastAsia="仿宋"/>
          <w:sz w:val="32"/>
          <w:szCs w:val="32"/>
        </w:rPr>
        <w:t>元，对202</w:t>
      </w:r>
      <w:r>
        <w:rPr>
          <w:rFonts w:hint="eastAsia" w:ascii="仿宋" w:hAnsi="仿宋" w:eastAsia="仿宋"/>
          <w:sz w:val="32"/>
          <w:szCs w:val="32"/>
          <w:lang w:val="en-US" w:eastAsia="zh-CN"/>
        </w:rPr>
        <w:t>2</w:t>
      </w:r>
      <w:r>
        <w:rPr>
          <w:rFonts w:hint="eastAsia" w:ascii="仿宋" w:hAnsi="仿宋" w:eastAsia="仿宋"/>
          <w:sz w:val="32"/>
          <w:szCs w:val="32"/>
        </w:rPr>
        <w:t>年度运营的120辆出租车进行发放</w:t>
      </w:r>
      <w:r>
        <w:rPr>
          <w:rFonts w:hint="eastAsia" w:ascii="仿宋" w:hAnsi="仿宋" w:eastAsia="仿宋"/>
          <w:sz w:val="32"/>
          <w:szCs w:val="32"/>
          <w:lang w:eastAsia="zh-CN"/>
        </w:rPr>
        <w:t>。</w:t>
      </w:r>
      <w:r>
        <w:rPr>
          <w:rFonts w:hint="eastAsia" w:ascii="仿宋" w:hAnsi="仿宋" w:eastAsia="仿宋" w:cs="仿宋"/>
          <w:b w:val="0"/>
          <w:bCs w:val="0"/>
          <w:sz w:val="32"/>
          <w:szCs w:val="40"/>
          <w:lang w:val="en-US" w:eastAsia="zh-CN"/>
        </w:rPr>
        <w:t>对农村道路客运补贴资金中的涨价补贴资金服务建制村通客车的三级及以上汽车客运站运营补贴资金300000元对邢台交通运输集团有限公司巨鹿分公司进行发放。</w:t>
      </w:r>
    </w:p>
    <w:p>
      <w:pPr>
        <w:ind w:firstLine="640" w:firstLineChars="200"/>
        <w:rPr>
          <w:rFonts w:ascii="仿宋" w:hAnsi="仿宋" w:eastAsia="仿宋"/>
          <w:sz w:val="32"/>
          <w:szCs w:val="32"/>
        </w:rPr>
      </w:pPr>
      <w:r>
        <w:rPr>
          <w:rFonts w:hint="eastAsia" w:ascii="仿宋" w:hAnsi="仿宋" w:eastAsia="仿宋"/>
          <w:sz w:val="32"/>
          <w:szCs w:val="32"/>
        </w:rPr>
        <w:t>该项资金项目实施达到预期目标，补助资金发放到位，利于推动农村道路客运的发展,方便人民群众安全、便捷出行；促进道路运输安全与效率。</w:t>
      </w:r>
    </w:p>
    <w:p>
      <w:pPr>
        <w:ind w:firstLine="480" w:firstLineChars="150"/>
        <w:rPr>
          <w:rFonts w:ascii="黑体" w:hAnsi="黑体" w:eastAsia="黑体"/>
          <w:sz w:val="32"/>
          <w:szCs w:val="32"/>
        </w:rPr>
      </w:pPr>
      <w:r>
        <w:rPr>
          <w:rFonts w:hint="eastAsia" w:ascii="黑体" w:hAnsi="黑体" w:eastAsia="黑体"/>
          <w:sz w:val="32"/>
          <w:szCs w:val="32"/>
        </w:rPr>
        <w:t>二、绩效自评工作开展情况</w:t>
      </w:r>
    </w:p>
    <w:p>
      <w:pPr>
        <w:ind w:firstLine="640" w:firstLineChars="200"/>
        <w:rPr>
          <w:rFonts w:ascii="仿宋" w:hAnsi="仿宋" w:eastAsia="仿宋"/>
          <w:bCs/>
          <w:sz w:val="32"/>
          <w:szCs w:val="32"/>
        </w:rPr>
      </w:pPr>
      <w:r>
        <w:rPr>
          <w:rFonts w:hint="eastAsia" w:ascii="楷体" w:hAnsi="楷体" w:eastAsia="楷体"/>
          <w:bCs/>
          <w:sz w:val="32"/>
          <w:szCs w:val="32"/>
        </w:rPr>
        <w:t>（一）前期准备。</w:t>
      </w:r>
      <w:r>
        <w:rPr>
          <w:rFonts w:hint="eastAsia" w:ascii="仿宋" w:hAnsi="仿宋" w:eastAsia="仿宋"/>
          <w:bCs/>
          <w:sz w:val="32"/>
          <w:szCs w:val="32"/>
        </w:rPr>
        <w:t>项目进展严格按照制定的实施方案内容执行，保质保量完成项目计划。成立项目绩效考核小组，项目完成后开展绩效自评工作。</w:t>
      </w:r>
    </w:p>
    <w:p>
      <w:pPr>
        <w:ind w:firstLine="640" w:firstLineChars="200"/>
        <w:rPr>
          <w:rFonts w:ascii="仿宋" w:hAnsi="仿宋" w:eastAsia="仿宋"/>
          <w:sz w:val="32"/>
          <w:szCs w:val="32"/>
        </w:rPr>
      </w:pPr>
      <w:r>
        <w:rPr>
          <w:rFonts w:hint="eastAsia" w:ascii="楷体" w:hAnsi="楷体" w:eastAsia="楷体"/>
          <w:bCs/>
          <w:sz w:val="32"/>
          <w:szCs w:val="32"/>
        </w:rPr>
        <w:t>（二）组织实施。</w:t>
      </w:r>
      <w:r>
        <w:rPr>
          <w:rFonts w:hint="eastAsia" w:ascii="仿宋" w:hAnsi="仿宋" w:eastAsia="仿宋"/>
          <w:bCs/>
          <w:sz w:val="32"/>
          <w:szCs w:val="32"/>
        </w:rPr>
        <w:t>汇总相关材料数据，组织人员对项目按照绩效评价指标体系逐项评价打分，并开展社会调查，征求社会各界人员对项目建设效果意见和建议；参照绩效评价指标体系内容逐项对各项目进行自评。</w:t>
      </w:r>
    </w:p>
    <w:p>
      <w:pPr>
        <w:ind w:firstLine="640" w:firstLineChars="200"/>
        <w:rPr>
          <w:rFonts w:ascii="黑体" w:hAnsi="黑体" w:eastAsia="黑体"/>
          <w:sz w:val="32"/>
          <w:szCs w:val="32"/>
        </w:rPr>
      </w:pPr>
      <w:r>
        <w:rPr>
          <w:rFonts w:hint="eastAsia" w:ascii="黑体" w:hAnsi="黑体" w:eastAsia="黑体"/>
          <w:sz w:val="32"/>
          <w:szCs w:val="32"/>
        </w:rPr>
        <w:t>三、综合评价结论</w:t>
      </w:r>
    </w:p>
    <w:p>
      <w:pPr>
        <w:ind w:firstLine="640" w:firstLineChars="200"/>
        <w:rPr>
          <w:rFonts w:ascii="楷体" w:hAnsi="楷体" w:eastAsia="楷体"/>
          <w:bCs/>
          <w:sz w:val="32"/>
          <w:szCs w:val="32"/>
        </w:rPr>
      </w:pPr>
      <w:r>
        <w:rPr>
          <w:rFonts w:hint="eastAsia" w:ascii="楷体" w:hAnsi="楷体" w:eastAsia="楷体"/>
          <w:bCs/>
          <w:sz w:val="32"/>
          <w:szCs w:val="32"/>
        </w:rPr>
        <w:t>（一）部门全部项目评价指标优良率</w:t>
      </w:r>
    </w:p>
    <w:p>
      <w:pPr>
        <w:ind w:firstLine="640" w:firstLineChars="200"/>
        <w:rPr>
          <w:rFonts w:ascii="仿宋" w:hAnsi="仿宋" w:eastAsia="仿宋"/>
          <w:sz w:val="32"/>
          <w:szCs w:val="32"/>
        </w:rPr>
      </w:pPr>
      <w:r>
        <w:rPr>
          <w:rFonts w:hint="eastAsia" w:ascii="仿宋" w:hAnsi="仿宋" w:eastAsia="仿宋"/>
          <w:sz w:val="32"/>
          <w:szCs w:val="32"/>
        </w:rPr>
        <w:t>20</w:t>
      </w:r>
      <w:r>
        <w:rPr>
          <w:rFonts w:hint="eastAsia" w:ascii="仿宋" w:hAnsi="仿宋" w:eastAsia="仿宋"/>
          <w:sz w:val="32"/>
          <w:szCs w:val="32"/>
          <w:lang w:val="en-US" w:eastAsia="zh-CN"/>
        </w:rPr>
        <w:t>22</w:t>
      </w:r>
      <w:r>
        <w:rPr>
          <w:rFonts w:hint="eastAsia" w:ascii="仿宋" w:hAnsi="仿宋" w:eastAsia="仿宋"/>
          <w:sz w:val="32"/>
          <w:szCs w:val="32"/>
        </w:rPr>
        <w:t>年度农村道路客运油价补贴资金通过指标自评，评分为</w:t>
      </w:r>
      <w:r>
        <w:rPr>
          <w:rFonts w:hint="eastAsia" w:ascii="仿宋" w:hAnsi="仿宋" w:eastAsia="仿宋"/>
          <w:sz w:val="32"/>
          <w:szCs w:val="32"/>
          <w:lang w:val="en-US" w:eastAsia="zh-CN"/>
        </w:rPr>
        <w:t>90</w:t>
      </w:r>
      <w:r>
        <w:rPr>
          <w:rFonts w:hint="eastAsia" w:ascii="仿宋" w:hAnsi="仿宋" w:eastAsia="仿宋"/>
          <w:sz w:val="32"/>
          <w:szCs w:val="32"/>
        </w:rPr>
        <w:t>分。</w:t>
      </w:r>
    </w:p>
    <w:p>
      <w:pPr>
        <w:ind w:firstLine="640" w:firstLineChars="200"/>
        <w:rPr>
          <w:rFonts w:ascii="楷体" w:hAnsi="楷体" w:eastAsia="楷体"/>
          <w:sz w:val="32"/>
          <w:szCs w:val="32"/>
        </w:rPr>
      </w:pPr>
      <w:r>
        <w:rPr>
          <w:rFonts w:hint="eastAsia" w:ascii="楷体" w:hAnsi="楷体" w:eastAsia="楷体"/>
          <w:sz w:val="32"/>
          <w:szCs w:val="32"/>
        </w:rPr>
        <w:t>（二）部门整体绩效目标的完成情况</w:t>
      </w:r>
    </w:p>
    <w:p>
      <w:pPr>
        <w:ind w:firstLine="640" w:firstLineChars="200"/>
        <w:rPr>
          <w:rFonts w:ascii="仿宋" w:hAnsi="仿宋" w:eastAsia="仿宋"/>
          <w:sz w:val="32"/>
          <w:szCs w:val="32"/>
        </w:rPr>
      </w:pPr>
      <w:r>
        <w:rPr>
          <w:rFonts w:hint="eastAsia" w:ascii="仿宋" w:hAnsi="仿宋" w:eastAsia="仿宋"/>
          <w:sz w:val="32"/>
          <w:szCs w:val="32"/>
        </w:rPr>
        <w:t>成效考核自评均如期完成，资金拨付按照进度拨付，达到产出指标和效果指标要求。</w:t>
      </w:r>
    </w:p>
    <w:p>
      <w:pPr>
        <w:ind w:firstLine="640" w:firstLineChars="200"/>
        <w:rPr>
          <w:rFonts w:ascii="黑体" w:hAnsi="黑体" w:eastAsia="黑体"/>
          <w:sz w:val="32"/>
          <w:szCs w:val="32"/>
        </w:rPr>
      </w:pPr>
      <w:r>
        <w:rPr>
          <w:rFonts w:hint="eastAsia" w:ascii="黑体" w:hAnsi="黑体" w:eastAsia="黑体"/>
          <w:sz w:val="32"/>
          <w:szCs w:val="32"/>
        </w:rPr>
        <w:t>四、绩效评价结果拟应用情况</w:t>
      </w:r>
    </w:p>
    <w:p>
      <w:pPr>
        <w:ind w:firstLine="640" w:firstLineChars="200"/>
        <w:rPr>
          <w:rFonts w:ascii="仿宋" w:hAnsi="仿宋" w:eastAsia="仿宋"/>
          <w:sz w:val="32"/>
          <w:szCs w:val="32"/>
        </w:rPr>
      </w:pPr>
      <w:r>
        <w:rPr>
          <w:rFonts w:hint="eastAsia" w:ascii="仿宋" w:hAnsi="仿宋" w:eastAsia="仿宋"/>
          <w:sz w:val="32"/>
          <w:szCs w:val="32"/>
        </w:rPr>
        <w:t>通过运用绩效评价指标体系对项目进行综合评价，项目的实施有利于推动农村道路客运</w:t>
      </w:r>
      <w:r>
        <w:rPr>
          <w:rFonts w:hint="eastAsia" w:ascii="仿宋" w:hAnsi="仿宋" w:eastAsia="仿宋"/>
          <w:sz w:val="32"/>
          <w:szCs w:val="32"/>
          <w:lang w:val="en-US" w:eastAsia="zh-CN"/>
        </w:rPr>
        <w:t>和出租车行业</w:t>
      </w:r>
      <w:r>
        <w:rPr>
          <w:rFonts w:hint="eastAsia" w:ascii="仿宋" w:hAnsi="仿宋" w:eastAsia="仿宋"/>
          <w:sz w:val="32"/>
          <w:szCs w:val="32"/>
        </w:rPr>
        <w:t>的发展,方便人民群众安全、便捷出行</w:t>
      </w:r>
      <w:r>
        <w:rPr>
          <w:rFonts w:hint="eastAsia" w:ascii="仿宋" w:hAnsi="仿宋" w:eastAsia="仿宋"/>
          <w:sz w:val="32"/>
          <w:szCs w:val="32"/>
          <w:lang w:eastAsia="zh-CN"/>
        </w:rPr>
        <w:t>，</w:t>
      </w:r>
      <w:r>
        <w:rPr>
          <w:rFonts w:hint="eastAsia" w:ascii="仿宋" w:hAnsi="仿宋" w:eastAsia="仿宋"/>
          <w:sz w:val="32"/>
          <w:szCs w:val="32"/>
        </w:rPr>
        <w:t>促进道路运输安全与效率。</w:t>
      </w:r>
    </w:p>
    <w:p>
      <w:pPr>
        <w:ind w:firstLine="5440" w:firstLineChars="1700"/>
        <w:rPr>
          <w:rFonts w:hint="eastAsia" w:ascii="仿宋" w:hAnsi="仿宋" w:eastAsia="仿宋"/>
          <w:sz w:val="32"/>
          <w:szCs w:val="32"/>
        </w:rPr>
      </w:pPr>
    </w:p>
    <w:p>
      <w:pPr>
        <w:ind w:firstLine="5440" w:firstLineChars="1700"/>
        <w:rPr>
          <w:rFonts w:hint="eastAsia" w:ascii="仿宋" w:hAnsi="仿宋" w:eastAsia="仿宋"/>
          <w:sz w:val="32"/>
          <w:szCs w:val="32"/>
        </w:rPr>
      </w:pPr>
    </w:p>
    <w:p>
      <w:pPr>
        <w:ind w:firstLine="5440" w:firstLineChars="1700"/>
        <w:rPr>
          <w:rFonts w:hint="eastAsia" w:ascii="仿宋" w:hAnsi="仿宋" w:eastAsia="仿宋"/>
          <w:sz w:val="32"/>
          <w:szCs w:val="32"/>
        </w:rPr>
      </w:pPr>
    </w:p>
    <w:p>
      <w:pPr>
        <w:ind w:firstLine="5440" w:firstLineChars="1700"/>
        <w:rPr>
          <w:rFonts w:ascii="锐字工房云字库小标宋GBK" w:hAnsi="锐字工房云字库小标宋GBK" w:eastAsia="锐字工房云字库小标宋GBK" w:cs="锐字工房云字库小标宋GBK"/>
          <w:sz w:val="44"/>
          <w:szCs w:val="44"/>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7</w:t>
      </w:r>
      <w:r>
        <w:rPr>
          <w:rFonts w:hint="eastAsia" w:ascii="仿宋" w:hAnsi="仿宋" w:eastAsia="仿宋"/>
          <w:sz w:val="32"/>
          <w:szCs w:val="32"/>
        </w:rPr>
        <w:t>日</w:t>
      </w:r>
    </w:p>
    <w:p>
      <w:pPr>
        <w:adjustRightInd w:val="0"/>
        <w:snapToGrid w:val="0"/>
        <w:spacing w:line="590" w:lineRule="exact"/>
        <w:jc w:val="center"/>
        <w:rPr>
          <w:rFonts w:asciiTheme="majorEastAsia" w:hAnsiTheme="majorEastAsia" w:eastAsiaTheme="majorEastAsia" w:cstheme="majorEastAsia"/>
          <w:b/>
          <w:sz w:val="44"/>
          <w:szCs w:val="44"/>
        </w:rPr>
      </w:pPr>
    </w:p>
    <w:p>
      <w:pPr>
        <w:adjustRightInd w:val="0"/>
        <w:snapToGrid w:val="0"/>
        <w:spacing w:line="590" w:lineRule="exact"/>
        <w:ind w:firstLine="320" w:firstLineChars="100"/>
        <w:rPr>
          <w:rFonts w:ascii="仿宋" w:hAnsi="仿宋" w:eastAsia="仿宋" w:cs="仿宋"/>
          <w:bCs/>
          <w:sz w:val="32"/>
          <w:szCs w:val="32"/>
        </w:rPr>
      </w:pPr>
      <w:r>
        <w:rPr>
          <w:rFonts w:hint="eastAsia" w:ascii="仿宋" w:hAnsi="仿宋" w:eastAsia="仿宋" w:cs="仿宋"/>
          <w:bCs/>
          <w:sz w:val="32"/>
          <w:szCs w:val="32"/>
        </w:rPr>
        <w:t xml:space="preserve">        </w:t>
      </w:r>
    </w:p>
    <w:sectPr>
      <w:footerReference r:id="rId3" w:type="default"/>
      <w:pgSz w:w="11906" w:h="16838"/>
      <w:pgMar w:top="1440" w:right="1418" w:bottom="113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3DD3DB-7C25-46AE-943A-7F17AF38E3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C7DAD95-13F7-4450-8562-455CE1DC04BA}"/>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3" w:fontKey="{3EB32A6F-B4A4-4CC3-9DCE-9E27AC9EC748}"/>
  </w:font>
  <w:font w:name="楷体">
    <w:panose1 w:val="02010609060101010101"/>
    <w:charset w:val="86"/>
    <w:family w:val="modern"/>
    <w:pitch w:val="default"/>
    <w:sig w:usb0="800002BF" w:usb1="38CF7CFA" w:usb2="00000016" w:usb3="00000000" w:csb0="00040001" w:csb1="00000000"/>
    <w:embedRegular r:id="rId4" w:fontKey="{BC65C89F-38EF-4658-B16C-66C17FA8B66D}"/>
  </w:font>
  <w:font w:name="仿宋_GB2312">
    <w:altName w:val="仿宋"/>
    <w:panose1 w:val="02010609030101010101"/>
    <w:charset w:val="86"/>
    <w:family w:val="auto"/>
    <w:pitch w:val="default"/>
    <w:sig w:usb0="00000000" w:usb1="00000000" w:usb2="00000000" w:usb3="00000000" w:csb0="00040000" w:csb1="00000000"/>
    <w:embedRegular r:id="rId5" w:fontKey="{52971F27-01B5-4A43-92E4-C654B77DAF38}"/>
  </w:font>
  <w:font w:name="锐字工房云字库小标宋GBK">
    <w:altName w:val="宋体"/>
    <w:panose1 w:val="00000000000000000000"/>
    <w:charset w:val="86"/>
    <w:family w:val="auto"/>
    <w:pitch w:val="default"/>
    <w:sig w:usb0="00000000" w:usb1="00000000" w:usb2="00000000" w:usb3="00000000" w:csb0="00000000" w:csb1="00000000"/>
    <w:embedRegular r:id="rId6" w:fontKey="{55BCD466-3F94-4901-8BE7-64429832693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t>2</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YwMTMxY2U4MGQxZDQ3ODYxYmFhOTJkZjZkMDUyZjIifQ=="/>
  </w:docVars>
  <w:rsids>
    <w:rsidRoot w:val="11101F94"/>
    <w:rsid w:val="00045AA0"/>
    <w:rsid w:val="00130C45"/>
    <w:rsid w:val="00135356"/>
    <w:rsid w:val="0018054F"/>
    <w:rsid w:val="001B4355"/>
    <w:rsid w:val="001B47C6"/>
    <w:rsid w:val="0025341E"/>
    <w:rsid w:val="0027083A"/>
    <w:rsid w:val="002742A3"/>
    <w:rsid w:val="00274379"/>
    <w:rsid w:val="002A3BA9"/>
    <w:rsid w:val="002E61B8"/>
    <w:rsid w:val="003C377E"/>
    <w:rsid w:val="004C2080"/>
    <w:rsid w:val="004F58C7"/>
    <w:rsid w:val="005A2F67"/>
    <w:rsid w:val="00683E51"/>
    <w:rsid w:val="006E5A41"/>
    <w:rsid w:val="0072311D"/>
    <w:rsid w:val="007404EF"/>
    <w:rsid w:val="00754636"/>
    <w:rsid w:val="00794B11"/>
    <w:rsid w:val="0082798A"/>
    <w:rsid w:val="00865931"/>
    <w:rsid w:val="008D32DD"/>
    <w:rsid w:val="009324D0"/>
    <w:rsid w:val="009B3820"/>
    <w:rsid w:val="009F4523"/>
    <w:rsid w:val="00AC23C6"/>
    <w:rsid w:val="00AC2D5A"/>
    <w:rsid w:val="00AE2525"/>
    <w:rsid w:val="00B868D2"/>
    <w:rsid w:val="00BA1F1C"/>
    <w:rsid w:val="00C718B2"/>
    <w:rsid w:val="00CB3F13"/>
    <w:rsid w:val="00D1452F"/>
    <w:rsid w:val="00D715C1"/>
    <w:rsid w:val="00E66EC8"/>
    <w:rsid w:val="00F413CC"/>
    <w:rsid w:val="0F694D72"/>
    <w:rsid w:val="11101F94"/>
    <w:rsid w:val="15856B45"/>
    <w:rsid w:val="2D3275F5"/>
    <w:rsid w:val="2E3579EA"/>
    <w:rsid w:val="3737388F"/>
    <w:rsid w:val="38543F62"/>
    <w:rsid w:val="3AF71E6A"/>
    <w:rsid w:val="3CA47376"/>
    <w:rsid w:val="4C1978E9"/>
    <w:rsid w:val="4DE04814"/>
    <w:rsid w:val="4E056AE0"/>
    <w:rsid w:val="57791A71"/>
    <w:rsid w:val="60763362"/>
    <w:rsid w:val="60EC3091"/>
    <w:rsid w:val="626F7EE4"/>
    <w:rsid w:val="62DC10F7"/>
    <w:rsid w:val="695228F9"/>
    <w:rsid w:val="6C3D0B1C"/>
    <w:rsid w:val="72CA5821"/>
    <w:rsid w:val="7C071DE0"/>
    <w:rsid w:val="7F2B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ascii="Calibri" w:hAnsi="Calibri" w:eastAsia="宋体" w:cs="Times New Roman"/>
      <w:kern w:val="2"/>
      <w:sz w:val="18"/>
      <w:szCs w:val="18"/>
    </w:rPr>
  </w:style>
  <w:style w:type="paragraph" w:customStyle="1" w:styleId="7">
    <w:name w:val="列出段落1"/>
    <w:basedOn w:val="1"/>
    <w:qFormat/>
    <w:uiPriority w:val="0"/>
    <w:pPr>
      <w:ind w:firstLine="420" w:firstLineChars="200"/>
    </w:pPr>
    <w:rPr>
      <w:rFonts w:ascii="等线" w:hAnsi="等线" w:eastAsia="等线"/>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1071</Words>
  <Characters>1187</Characters>
  <Lines>7</Lines>
  <Paragraphs>1</Paragraphs>
  <TotalTime>0</TotalTime>
  <ScaleCrop>false</ScaleCrop>
  <LinksUpToDate>false</LinksUpToDate>
  <CharactersWithSpaces>1201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2020-01-30T02:04:00Z</dcterms:created>
  <dc:creator>璀璨</dc:creator>
  <cp:lastModifiedBy>云</cp:lastModifiedBy>
  <cp:lastPrinted>2024-05-07T06:43:34Z</cp:lastPrinted>
  <dcterms:modified xsi:type="dcterms:W3CDTF">2024-05-07T06:43:42Z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B3EDF9078FFF412CBF8A2E5D11B5ABAB</vt:lpwstr>
  </property>
</Properties>
</file>