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  <w:lang w:val="en-US" w:eastAsia="zh-CN"/>
        </w:rPr>
        <w:t>巨鹿县2000人以上建制村通双车道建设工程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jc w:val="center"/>
        <w:textAlignment w:val="auto"/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绩效</w:t>
      </w:r>
      <w:r>
        <w:rPr>
          <w:rFonts w:hint="eastAsia" w:ascii="仿宋_GB2312" w:hAnsi="仿宋_GB2312" w:eastAsia="仿宋_GB2312" w:cs="仿宋_GB2312"/>
          <w:b/>
          <w:bCs/>
          <w:color w:val="auto"/>
          <w:spacing w:val="0"/>
          <w:sz w:val="40"/>
          <w:szCs w:val="48"/>
          <w:lang w:val="en-US" w:eastAsia="zh-CN"/>
        </w:rPr>
        <w:t>自评</w:t>
      </w:r>
      <w:r>
        <w:rPr>
          <w:rFonts w:hint="eastAsia" w:ascii="仿宋_GB2312" w:hAnsi="仿宋_GB2312" w:eastAsia="仿宋_GB2312" w:cs="仿宋_GB2312"/>
          <w:b/>
          <w:bCs/>
          <w:color w:val="auto"/>
          <w:sz w:val="40"/>
          <w:szCs w:val="48"/>
        </w:rPr>
        <w:t>报告</w:t>
      </w:r>
    </w:p>
    <w:p>
      <w:pPr>
        <w:rPr>
          <w:rFonts w:hint="eastAsia" w:ascii="仿宋_GB2312" w:hAnsi="仿宋_GB2312" w:eastAsia="仿宋_GB2312" w:cs="仿宋_GB2312"/>
          <w:color w:va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lang w:val="en-US" w:eastAsia="zh-CN"/>
        </w:rPr>
        <w:t xml:space="preserve">                     </w:t>
      </w:r>
    </w:p>
    <w:p>
      <w:pPr>
        <w:rPr>
          <w:rFonts w:hint="default" w:ascii="仿宋_GB2312" w:hAnsi="仿宋_GB2312" w:eastAsia="仿宋_GB2312" w:cs="仿宋_GB2312"/>
          <w:color w:val="auto"/>
          <w:lang w:val="en-US" w:eastAsia="zh-CN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120" w:lineRule="exact"/>
        <w:ind w:left="0" w:leftChars="0" w:firstLine="0" w:firstLineChars="0"/>
        <w:textAlignment w:val="center"/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0" w:name="_Toc9525"/>
      <w:bookmarkStart w:id="1" w:name="_Toc6314"/>
      <w:bookmarkStart w:id="2" w:name="_Toc2245"/>
      <w:bookmarkStart w:id="3" w:name="_Toc30335"/>
      <w:bookmarkStart w:id="4" w:name="_Toc11301"/>
      <w:bookmarkStart w:id="5" w:name="_Toc23411"/>
      <w:bookmarkStart w:id="6" w:name="_Toc4013"/>
      <w:bookmarkStart w:id="7" w:name="_Toc13153"/>
      <w:bookmarkStart w:id="8" w:name="_Toc16913"/>
      <w:bookmarkStart w:id="9" w:name="_Toc18334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一、项目概况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 w:line="560" w:lineRule="exact"/>
        <w:ind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10" w:name="_Toc26594"/>
      <w:bookmarkStart w:id="11" w:name="_Toc32656"/>
      <w:bookmarkStart w:id="12" w:name="_Toc24191"/>
      <w:bookmarkStart w:id="13" w:name="_Toc27552"/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该项目为巨鹿县提升农村公路建设水平的基础设施工程，项目涉及王虎寨镇、阎障镇、堤村乡、张王瞳乡等 4 个乡镇，杨官线-南原庄、赵庄-东旧城、塔堤村-甜水张庄、大孟庄西-梁庄，共计4条路线。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全段采用双向两车道三级公路标准，项目路基宽度为8.0m，路面宽度为6.5m，土路肩宽度为0.75m，设计速度30km/h，荷载等级为公路-Ⅱ级。</w:t>
      </w:r>
    </w:p>
    <w:p>
      <w:pPr>
        <w:pStyle w:val="6"/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 w:ascii="仿宋" w:hAnsi="仿宋" w:eastAsia="仿宋" w:cs="Times New Roman"/>
          <w:color w:val="000000"/>
          <w:sz w:val="32"/>
          <w:szCs w:val="32"/>
          <w:lang w:val="en-US" w:eastAsia="zh-CN"/>
        </w:rPr>
        <w:t>项目信息统计表</w:t>
      </w:r>
    </w:p>
    <w:tbl>
      <w:tblPr>
        <w:tblStyle w:val="8"/>
        <w:tblW w:w="9051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51"/>
        <w:gridCol w:w="995"/>
        <w:gridCol w:w="1255"/>
        <w:gridCol w:w="2523"/>
        <w:gridCol w:w="1486"/>
        <w:gridCol w:w="941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185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99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类型</w:t>
            </w:r>
          </w:p>
        </w:tc>
        <w:tc>
          <w:tcPr>
            <w:tcW w:w="125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建设里程（km）</w:t>
            </w:r>
          </w:p>
        </w:tc>
        <w:tc>
          <w:tcPr>
            <w:tcW w:w="2523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主要内容</w:t>
            </w:r>
          </w:p>
        </w:tc>
        <w:tc>
          <w:tcPr>
            <w:tcW w:w="1486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预算（万元）</w:t>
            </w:r>
          </w:p>
        </w:tc>
        <w:tc>
          <w:tcPr>
            <w:tcW w:w="941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6" w:hRule="atLeast"/>
        </w:trPr>
        <w:tc>
          <w:tcPr>
            <w:tcW w:w="185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巨鹿县2000人以上建制村通双车道建设工程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EPC</w:t>
            </w:r>
          </w:p>
        </w:tc>
        <w:tc>
          <w:tcPr>
            <w:tcW w:w="125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11.216</w:t>
            </w:r>
          </w:p>
        </w:tc>
        <w:tc>
          <w:tcPr>
            <w:tcW w:w="25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旧路挖除、路床掺水泥处理、石灰土基层、水稳、沥青砼面层及交安设施等</w:t>
            </w:r>
          </w:p>
        </w:tc>
        <w:tc>
          <w:tcPr>
            <w:tcW w:w="1486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2939.19</w:t>
            </w:r>
          </w:p>
        </w:tc>
        <w:tc>
          <w:tcPr>
            <w:tcW w:w="941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10"/>
      <w:bookmarkEnd w:id="11"/>
      <w:bookmarkEnd w:id="12"/>
      <w:bookmarkEnd w:id="13"/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14" w:name="_Toc31876"/>
      <w:bookmarkStart w:id="15" w:name="_Toc17743"/>
      <w:bookmarkStart w:id="16" w:name="_Toc11365"/>
      <w:bookmarkStart w:id="17" w:name="_Toc22812"/>
      <w:bookmarkStart w:id="18" w:name="_Toc10886"/>
      <w:bookmarkStart w:id="19" w:name="_Toc13114"/>
      <w:bookmarkStart w:id="20" w:name="_Toc20844"/>
      <w:bookmarkStart w:id="21" w:name="_Toc9227"/>
      <w:bookmarkStart w:id="22" w:name="_Toc17067"/>
      <w:bookmarkStart w:id="23" w:name="_Toc4138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二、财务管理情况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center"/>
        <w:textAlignment w:val="center"/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巨鹿县2000人以上建制村通双车道建设工程，截止目前已支付800万元，其中2023年支付300万元，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拨付比例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lang w:eastAsia="zh-CN"/>
        </w:rPr>
        <w:t>。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</w:pPr>
      <w:bookmarkStart w:id="24" w:name="_Toc21501"/>
      <w:bookmarkStart w:id="25" w:name="_Toc12150"/>
      <w:bookmarkStart w:id="26" w:name="_Toc29800"/>
      <w:bookmarkStart w:id="27" w:name="_Toc20904"/>
      <w:bookmarkStart w:id="28" w:name="_Toc6451"/>
      <w:bookmarkStart w:id="29" w:name="_Toc10651"/>
      <w:bookmarkStart w:id="30" w:name="_Toc5317"/>
      <w:bookmarkStart w:id="31" w:name="_Toc18915"/>
      <w:bookmarkStart w:id="32" w:name="_Toc26855"/>
      <w:bookmarkStart w:id="33" w:name="_Toc5215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三、绩效评价工作情况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bookmarkStart w:id="34" w:name="_Toc17355"/>
      <w:bookmarkStart w:id="35" w:name="_Toc4056"/>
      <w:bookmarkStart w:id="36" w:name="_Toc14742"/>
      <w:bookmarkStart w:id="37" w:name="_Toc5105"/>
      <w:bookmarkStart w:id="38" w:name="_Toc8077"/>
      <w:bookmarkStart w:id="39" w:name="_Toc7570"/>
      <w:bookmarkStart w:id="40" w:name="_Toc22771"/>
      <w:bookmarkStart w:id="41" w:name="_Toc15730"/>
      <w:bookmarkStart w:id="42" w:name="_Toc25600"/>
      <w:bookmarkStart w:id="43" w:name="_Toc23608"/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  <w:t>（一）评价目的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40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通过项目的建设，进一步优化我县的路网结构，改善我县农村出行环境和人居环境，提升公共服务能力，为建设“邢东强县、美丽古郡，幸福巨鹿”做出应有贡献。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bookmarkStart w:id="44" w:name="_Toc8288"/>
      <w:bookmarkStart w:id="45" w:name="_Toc22727"/>
      <w:bookmarkStart w:id="46" w:name="_Toc25746"/>
      <w:bookmarkStart w:id="47" w:name="_Toc27199"/>
      <w:bookmarkStart w:id="48" w:name="_Toc18502"/>
      <w:bookmarkStart w:id="49" w:name="_Toc27346"/>
      <w:bookmarkStart w:id="50" w:name="_Toc3910"/>
      <w:bookmarkStart w:id="51" w:name="_Toc30351"/>
      <w:bookmarkStart w:id="52" w:name="_Toc16971"/>
      <w:bookmarkStart w:id="53" w:name="_Toc16121"/>
      <w:r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  <w:t>评价指标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根据项目相关性、重要性，可比性、经济性、系统性原则，结合财政支出项目绩效评价的相关要求设立相应的指标，并分配相应的权重（分值）。本项目评价指标拟设置4个一级指标(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个二级指标（数量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、质量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、时效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、成本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、经济效益指标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</w:rPr>
        <w:t>社会效益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指标</w:t>
      </w:r>
      <w:r>
        <w:rPr>
          <w:rFonts w:hint="eastAsia" w:ascii="仿宋" w:hAnsi="仿宋" w:eastAsia="仿宋" w:cs="仿宋"/>
          <w:sz w:val="32"/>
          <w:szCs w:val="32"/>
        </w:rPr>
        <w:t>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满意度指标、预算执行率</w:t>
      </w:r>
      <w:r>
        <w:rPr>
          <w:rFonts w:hint="eastAsia" w:ascii="仿宋" w:hAnsi="仿宋" w:eastAsia="仿宋" w:cs="仿宋"/>
          <w:sz w:val="32"/>
          <w:szCs w:val="32"/>
        </w:rPr>
        <w:t>）；根据项目实施具体情况，共设置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个三级指标。本项目绩效评价以100分计，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产出指标、效益指标、满意度指标、预算执行率</w:t>
      </w:r>
      <w:r>
        <w:rPr>
          <w:rFonts w:hint="eastAsia" w:ascii="仿宋" w:hAnsi="仿宋" w:eastAsia="仿宋" w:cs="仿宋"/>
          <w:sz w:val="32"/>
          <w:szCs w:val="32"/>
        </w:rPr>
        <w:t>四个一级指标分别权重为：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50</w:t>
      </w:r>
      <w:r>
        <w:rPr>
          <w:rFonts w:hint="eastAsia" w:ascii="仿宋" w:hAnsi="仿宋" w:eastAsia="仿宋" w:cs="仿宋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0%，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="210"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54" w:name="_Toc11684"/>
      <w:bookmarkStart w:id="55" w:name="_Toc5304"/>
      <w:bookmarkStart w:id="56" w:name="_Toc32306"/>
      <w:bookmarkStart w:id="57" w:name="_Toc19068"/>
      <w:bookmarkStart w:id="58" w:name="_Toc25343"/>
      <w:bookmarkStart w:id="59" w:name="_Toc19154"/>
      <w:bookmarkStart w:id="60" w:name="_Toc23270"/>
      <w:bookmarkStart w:id="61" w:name="_Toc5587"/>
      <w:bookmarkStart w:id="62" w:name="_Toc32241"/>
      <w:bookmarkStart w:id="63" w:name="_Toc12572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评价依据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1.《中华人民共和国预算法》；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2.《中华人民共和国会计法》；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3.《中华人民共和国政府采购法》；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4.《财政部关于印发&lt;项目支出绩效评价管理办法&gt;的通知》(财预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〕10号）；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5.《中共中央国务院关于全面实施预算绩效管理的意见》(中发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" w:hAnsi="仿宋" w:eastAsia="仿宋" w:cs="仿宋"/>
          <w:sz w:val="32"/>
          <w:szCs w:val="32"/>
        </w:rPr>
        <w:t>34号）；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6.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《河北省省对下转移支付资金绩效管理办法》（冀财绩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5号）;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7.《河北省省级部门预算项目绩效自评管理办法》（冀财绩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[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2019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]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10号）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.项目其他相关依据。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0" w:firstLineChars="200"/>
        <w:textAlignment w:val="auto"/>
        <w:outlineLvl w:val="1"/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</w:pPr>
      <w:bookmarkStart w:id="64" w:name="_Toc6747"/>
      <w:bookmarkStart w:id="65" w:name="_Toc7393"/>
      <w:bookmarkStart w:id="66" w:name="_Toc24302"/>
      <w:bookmarkStart w:id="67" w:name="_Toc26780"/>
      <w:bookmarkStart w:id="68" w:name="_Toc11243"/>
      <w:bookmarkStart w:id="69" w:name="_Toc9401"/>
      <w:bookmarkStart w:id="70" w:name="_Toc1868"/>
      <w:bookmarkStart w:id="71" w:name="_Toc22038"/>
      <w:bookmarkStart w:id="72" w:name="_Toc13179"/>
      <w:bookmarkStart w:id="73" w:name="_Toc12940"/>
      <w:r>
        <w:rPr>
          <w:rFonts w:hint="eastAsia" w:ascii="仿宋_GB2312" w:hAnsi="仿宋_GB2312" w:eastAsia="仿宋_GB2312" w:cs="仿宋_GB2312"/>
          <w:color w:val="auto"/>
          <w:sz w:val="32"/>
          <w:szCs w:val="40"/>
          <w:lang w:val="en-US" w:eastAsia="zh-CN"/>
        </w:rPr>
        <w:t>（四）评价的主要方法及等级设定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Chars="100" w:right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根据《财政部关于印发&lt;项目支出绩效评价管理办法〉的通知》（财预（2020〕10号），单位自评采用定量与定性评价相结合的比较法，总分由各项指标得分汇总形成。评价结果根据指标完成情况分为达成年度指标、部分达成年度指标并具有一定效果、未达成年度指标且效果较差三档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具体如下：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4"/>
        <w:gridCol w:w="2280"/>
        <w:gridCol w:w="2895"/>
        <w:gridCol w:w="1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项目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达成年度指标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部分达成年度指标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并具有一定效果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未达成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</w:rPr>
              <w:t>年度指标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分值</w:t>
            </w:r>
          </w:p>
        </w:tc>
        <w:tc>
          <w:tcPr>
            <w:tcW w:w="228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 w:firstLine="640" w:firstLineChars="200"/>
              <w:jc w:val="both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80分</w:t>
            </w:r>
          </w:p>
        </w:tc>
        <w:tc>
          <w:tcPr>
            <w:tcW w:w="289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≥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60分，＜80分</w:t>
            </w:r>
          </w:p>
        </w:tc>
        <w:tc>
          <w:tcPr>
            <w:tcW w:w="191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right="0"/>
              <w:jc w:val="center"/>
              <w:textAlignment w:val="auto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eastAsia="zh-CN"/>
              </w:rPr>
              <w:t>＜</w:t>
            </w:r>
            <w:r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  <w:t>60分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100" w:firstLine="643" w:firstLineChars="200"/>
        <w:textAlignment w:val="auto"/>
        <w:outlineLvl w:val="0"/>
        <w:rPr>
          <w:rFonts w:hint="eastAsia" w:ascii="仿宋_GB2312" w:hAnsi="仿宋_GB2312" w:eastAsia="仿宋_GB2312" w:cs="仿宋_GB2312"/>
          <w:lang w:val="en-US" w:eastAsia="zh-CN"/>
        </w:rPr>
      </w:pPr>
      <w:bookmarkStart w:id="74" w:name="_Toc5623"/>
      <w:bookmarkStart w:id="75" w:name="_Toc30508"/>
      <w:bookmarkStart w:id="76" w:name="_Toc21014"/>
      <w:bookmarkStart w:id="77" w:name="_Toc17025"/>
      <w:bookmarkStart w:id="78" w:name="_Toc22222"/>
      <w:bookmarkStart w:id="79" w:name="_Toc28621"/>
      <w:bookmarkStart w:id="80" w:name="_Toc20748"/>
      <w:bookmarkStart w:id="81" w:name="_Toc18842"/>
      <w:bookmarkStart w:id="82" w:name="_Toc6105"/>
      <w:bookmarkStart w:id="83" w:name="_Toc10113"/>
      <w:r>
        <w:rPr>
          <w:rFonts w:hint="eastAsia" w:ascii="仿宋_GB2312" w:hAnsi="仿宋_GB2312" w:eastAsia="仿宋_GB2312" w:cs="仿宋_GB2312"/>
          <w:b/>
          <w:bCs/>
          <w:color w:val="auto"/>
          <w:sz w:val="32"/>
          <w:szCs w:val="40"/>
          <w:lang w:val="en-US" w:eastAsia="zh-CN"/>
        </w:rPr>
        <w:t>四、绩效评价指标体系及得分情况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（一）产出指标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highlight w:val="yellow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yellow"/>
          <w:lang w:val="en-US" w:eastAsia="zh-CN"/>
        </w:rPr>
        <w:t>1.数量指标：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  <w:highlight w:val="yellow"/>
          <w:lang w:val="en-US" w:eastAsia="zh-CN"/>
        </w:rPr>
        <w:t>巨鹿县2000人以上建制村通双车道建设工程正在建设，目前已完成，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highlight w:val="yellow"/>
          <w:lang w:val="en-US" w:eastAsia="zh-CN"/>
        </w:rPr>
        <w:t>自评得分0分。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highlight w:val="none"/>
          <w:lang w:val="en-US" w:eastAsia="zh-CN"/>
        </w:rPr>
        <w:t>2.质量指标：按照建设进程，分项进行检测均达到合格，自评得分12.5分。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3.时效指标：</w:t>
      </w:r>
      <w:r>
        <w:rPr>
          <w:rFonts w:hint="eastAsia" w:ascii="仿宋" w:hAnsi="仿宋" w:eastAsia="仿宋" w:cs="仿宋"/>
          <w:spacing w:val="-23"/>
          <w:kern w:val="2"/>
          <w:sz w:val="32"/>
          <w:szCs w:val="32"/>
          <w:lang w:val="en-US" w:eastAsia="zh-CN"/>
        </w:rPr>
        <w:t>资金支付按照合同约定、工程进度结合财政批复资金支付，自评得分12.5分。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4.成本指标：项目未超概算，自评得分12.5分。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（二）效益指标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1.经济效益指标：项目建设完成后拉动了地区经济发展；公路建成运营后创造价值，方便了公路沿线乡镇与外界的交流，自评得分15分。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2.社会效益指标：达到设计标准，通行状况基本改善，方便了群众安全、便捷出行，自评得分15分。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（三）满意度指标：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为了准确了解群众对公路交通基础设施满意度情况，面向政府部门人员、周边群众、司乘人员等群众进行满意度调查，综合评价非常满意，自评得分10分。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pacing w:val="-11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（四）预算执行率：</w:t>
      </w:r>
      <w:r>
        <w:rPr>
          <w:rFonts w:hint="eastAsia" w:ascii="仿宋" w:hAnsi="仿宋" w:eastAsia="仿宋" w:cs="仿宋"/>
          <w:spacing w:val="-11"/>
          <w:kern w:val="2"/>
          <w:sz w:val="32"/>
          <w:szCs w:val="32"/>
          <w:lang w:val="en-US" w:eastAsia="zh-CN"/>
        </w:rPr>
        <w:t>资金支付率均达到100%，自评得分10分。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  <w:lang w:eastAsia="zh-CN"/>
        </w:rPr>
        <w:t>综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highlight w:val="none"/>
        </w:rPr>
        <w:t>合上述资金规划符合有关政策，工作目标明确，绩效指标设定合理、可衡量，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评价得分：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val="en-US" w:eastAsia="zh-CN"/>
        </w:rPr>
        <w:t>100分，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评价级别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pacing w:val="-6"/>
          <w:kern w:val="2"/>
          <w:sz w:val="32"/>
          <w:szCs w:val="32"/>
          <w:highlight w:val="none"/>
        </w:rPr>
        <w:t>达成年度指标。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3" w:firstLineChars="200"/>
        <w:jc w:val="both"/>
        <w:textAlignment w:val="auto"/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kern w:val="2"/>
          <w:sz w:val="32"/>
          <w:szCs w:val="40"/>
          <w:lang w:val="en-US" w:eastAsia="zh-CN" w:bidi="ar-SA"/>
        </w:rPr>
        <w:t>五、工作活动(项目)存在的问题、改进工作的意见及建议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1、</w:t>
      </w:r>
      <w:r>
        <w:rPr>
          <w:rFonts w:hint="eastAsia" w:ascii="仿宋" w:hAnsi="仿宋" w:eastAsia="仿宋" w:cs="仿宋"/>
          <w:kern w:val="2"/>
          <w:sz w:val="32"/>
          <w:szCs w:val="32"/>
        </w:rPr>
        <w:t>目前我局绩效管理正处在起步阶段，绩效管理专业的人员相对较少，缺乏相关绩效管理经验，预算编制过程中的绩效目标确定、预算执行过程中的绩效监控、绩效评价结果的应用等管理模式还在探索之中。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yellow"/>
          <w:lang w:val="en-US" w:eastAsia="zh-CN"/>
        </w:rPr>
      </w:pPr>
      <w:bookmarkStart w:id="84" w:name="_GoBack"/>
      <w:r>
        <w:rPr>
          <w:rFonts w:hint="eastAsia" w:ascii="仿宋_GB2312" w:hAnsi="仿宋_GB2312" w:eastAsia="仿宋_GB2312" w:cs="仿宋_GB2312"/>
          <w:color w:val="000000"/>
          <w:sz w:val="32"/>
          <w:szCs w:val="32"/>
          <w:highlight w:val="yellow"/>
          <w:lang w:val="en-US" w:eastAsia="zh-CN"/>
        </w:rPr>
        <w:t>2、施工进度缓慢，一是受去年降水影响，部分路段无法正常施工，二是我省毁苗割青政策，部分项目需待到农作物成熟收获后方能实施。三是张王疃乡涉及占地清障等方面原因导致进度缓慢。</w:t>
      </w:r>
    </w:p>
    <w:bookmarkEnd w:id="84"/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ind w:leftChars="100" w:firstLine="640" w:firstLineChars="200"/>
        <w:jc w:val="both"/>
        <w:textAlignment w:val="auto"/>
        <w:rPr>
          <w:rFonts w:hint="default" w:ascii="仿宋" w:hAnsi="仿宋" w:eastAsia="仿宋" w:cs="仿宋"/>
          <w:spacing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pacing w:val="0"/>
          <w:kern w:val="2"/>
          <w:sz w:val="32"/>
          <w:szCs w:val="32"/>
          <w:lang w:eastAsia="zh-CN"/>
        </w:rPr>
        <w:t>下一步我局将</w:t>
      </w:r>
      <w:r>
        <w:rPr>
          <w:rFonts w:hint="eastAsia" w:ascii="仿宋" w:hAnsi="仿宋" w:eastAsia="仿宋" w:cs="仿宋"/>
          <w:spacing w:val="0"/>
          <w:kern w:val="2"/>
          <w:sz w:val="32"/>
          <w:szCs w:val="32"/>
        </w:rPr>
        <w:t>加强业务学习、培训,提升人员综合业务能力，进一步加强理论研究,对绩效评价的范围、方法、技术手段进行探索和研究,形成理论和实践互为促进的良好局面。</w:t>
      </w:r>
      <w:r>
        <w:rPr>
          <w:rFonts w:hint="eastAsia" w:ascii="仿宋" w:hAnsi="仿宋" w:eastAsia="仿宋" w:cs="仿宋"/>
          <w:spacing w:val="0"/>
          <w:kern w:val="2"/>
          <w:sz w:val="32"/>
          <w:szCs w:val="32"/>
          <w:lang w:val="en-US" w:eastAsia="zh-CN"/>
        </w:rPr>
        <w:t>进一步抓好项目督查落实，及时发现和协调解决项目前期工作中存在的艰难和问题，确保项目早日完工。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760" w:firstLineChars="1800"/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</w:pPr>
    </w:p>
    <w:p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Chars="100" w:firstLine="5120" w:firstLineChars="1600"/>
        <w:rPr>
          <w:rFonts w:hint="eastAsia"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2024年4月17日</w:t>
      </w:r>
    </w:p>
    <w:p>
      <w:pPr>
        <w:rPr>
          <w:rFonts w:hint="eastAsia" w:ascii="仿宋" w:hAnsi="仿宋" w:eastAsia="仿宋" w:cs="仿宋"/>
          <w:sz w:val="28"/>
          <w:szCs w:val="36"/>
        </w:rPr>
      </w:pPr>
    </w:p>
    <w:sectPr>
      <w:pgSz w:w="11906" w:h="16838"/>
      <w:pgMar w:top="1327" w:right="1576" w:bottom="1327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B5A233"/>
    <w:multiLevelType w:val="singleLevel"/>
    <w:tmpl w:val="39B5A233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RhNjQ0MTljMThlYTgwMTA3ODdlZjM3Y2ZjMGEzOGMifQ=="/>
  </w:docVars>
  <w:rsids>
    <w:rsidRoot w:val="4B652616"/>
    <w:rsid w:val="0023379E"/>
    <w:rsid w:val="0B183531"/>
    <w:rsid w:val="0E2D3D53"/>
    <w:rsid w:val="13206F97"/>
    <w:rsid w:val="16693328"/>
    <w:rsid w:val="27BF3C95"/>
    <w:rsid w:val="2B043A1A"/>
    <w:rsid w:val="350338CE"/>
    <w:rsid w:val="46BE4328"/>
    <w:rsid w:val="47FC225E"/>
    <w:rsid w:val="4B652616"/>
    <w:rsid w:val="56156F5D"/>
    <w:rsid w:val="57D00088"/>
    <w:rsid w:val="6E6E0DBB"/>
    <w:rsid w:val="711A7E81"/>
    <w:rsid w:val="7650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</w:style>
  <w:style w:type="paragraph" w:customStyle="1" w:styleId="3">
    <w:name w:val="_Style 2"/>
    <w:basedOn w:val="1"/>
    <w:next w:val="1"/>
    <w:qFormat/>
    <w:uiPriority w:val="0"/>
    <w:pPr>
      <w:ind w:firstLine="420"/>
    </w:pPr>
  </w:style>
  <w:style w:type="paragraph" w:styleId="4">
    <w:name w:val="Body Text Indent"/>
    <w:basedOn w:val="1"/>
    <w:qFormat/>
    <w:uiPriority w:val="0"/>
    <w:pPr>
      <w:spacing w:line="600" w:lineRule="exact"/>
      <w:ind w:firstLine="560" w:firstLineChars="200"/>
      <w:textAlignment w:val="center"/>
    </w:pPr>
    <w:rPr>
      <w:rFonts w:ascii="宋体" w:hAnsi="宋体"/>
      <w:color w:val="FF0000"/>
      <w:sz w:val="28"/>
      <w:szCs w:val="28"/>
    </w:rPr>
  </w:style>
  <w:style w:type="paragraph" w:styleId="5">
    <w:name w:val="Body Text First Indent 2"/>
    <w:basedOn w:val="4"/>
    <w:next w:val="1"/>
    <w:qFormat/>
    <w:uiPriority w:val="0"/>
    <w:pPr>
      <w:ind w:firstLine="420"/>
    </w:p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2024-04-17T07:32:00Z</dcterms:created>
  <dc:creator>Taurus</dc:creator>
  <cp:lastModifiedBy>云</cp:lastModifiedBy>
  <dcterms:modified xsi:type="dcterms:W3CDTF">2024-05-09T03:06:10Z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  <property fmtid="{D5CDD505-2E9C-101B-9397-08002B2CF9AE}" pid="3" name="ICV">
    <vt:lpwstr>75A811716E8F4836A9DE431EE7A1C9A4_13</vt:lpwstr>
  </property>
</Properties>
</file>