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40"/>
          <w:szCs w:val="4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40"/>
          <w:szCs w:val="48"/>
          <w:lang w:val="en-US" w:eastAsia="zh-CN"/>
        </w:rPr>
        <w:t>巨鹿县交通运输局农村公路“路田分家”工程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40"/>
          <w:szCs w:val="4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40"/>
          <w:szCs w:val="48"/>
          <w:lang w:val="en-US" w:eastAsia="zh-CN"/>
        </w:rPr>
        <w:t>项目重点</w:t>
      </w:r>
      <w:r>
        <w:rPr>
          <w:rFonts w:hint="eastAsia" w:ascii="仿宋_GB2312" w:hAnsi="仿宋_GB2312" w:eastAsia="仿宋_GB2312" w:cs="仿宋_GB2312"/>
          <w:b/>
          <w:bCs/>
          <w:color w:val="auto"/>
          <w:sz w:val="40"/>
          <w:szCs w:val="48"/>
        </w:rPr>
        <w:t>绩效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40"/>
          <w:szCs w:val="48"/>
          <w:lang w:val="en-US" w:eastAsia="zh-CN"/>
        </w:rPr>
        <w:t>自评</w:t>
      </w:r>
      <w:r>
        <w:rPr>
          <w:rFonts w:hint="eastAsia" w:ascii="仿宋_GB2312" w:hAnsi="仿宋_GB2312" w:eastAsia="仿宋_GB2312" w:cs="仿宋_GB2312"/>
          <w:b/>
          <w:bCs/>
          <w:color w:val="auto"/>
          <w:sz w:val="40"/>
          <w:szCs w:val="48"/>
        </w:rPr>
        <w:t>报告</w:t>
      </w:r>
    </w:p>
    <w:p>
      <w:pPr>
        <w:rPr>
          <w:rFonts w:hint="eastAsia" w:ascii="仿宋_GB2312" w:hAnsi="仿宋_GB2312" w:eastAsia="仿宋_GB2312" w:cs="仿宋_GB2312"/>
          <w:color w:val="auto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 xml:space="preserve">                    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exact"/>
        <w:ind w:left="0" w:leftChars="0" w:firstLine="0" w:firstLineChars="0"/>
        <w:textAlignment w:val="center"/>
        <w:rPr>
          <w:rFonts w:hint="eastAsia" w:ascii="仿宋_GB2312" w:hAnsi="仿宋_GB2312" w:eastAsia="仿宋_GB2312" w:cs="仿宋_GB231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100" w:firstLine="643" w:firstLineChars="200"/>
        <w:textAlignment w:val="auto"/>
        <w:outlineLvl w:val="0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40"/>
          <w:lang w:val="en-US" w:eastAsia="zh-CN"/>
        </w:rPr>
      </w:pPr>
      <w:bookmarkStart w:id="0" w:name="_Toc6314"/>
      <w:bookmarkStart w:id="1" w:name="_Toc4013"/>
      <w:bookmarkStart w:id="2" w:name="_Toc18334"/>
      <w:bookmarkStart w:id="3" w:name="_Toc11301"/>
      <w:bookmarkStart w:id="4" w:name="_Toc23411"/>
      <w:bookmarkStart w:id="5" w:name="_Toc30335"/>
      <w:bookmarkStart w:id="6" w:name="_Toc9525"/>
      <w:bookmarkStart w:id="7" w:name="_Toc2245"/>
      <w:bookmarkStart w:id="8" w:name="_Toc16913"/>
      <w:bookmarkStart w:id="9" w:name="_Toc13153"/>
      <w:bookmarkStart w:id="94" w:name="_GoBack"/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40"/>
          <w:lang w:val="en-US" w:eastAsia="zh-CN"/>
        </w:rPr>
        <w:t>一、项目概况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100" w:right="0" w:rightChars="0"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bookmarkStart w:id="10" w:name="_Toc32656"/>
      <w:bookmarkStart w:id="11" w:name="_Toc26594"/>
      <w:bookmarkStart w:id="12" w:name="_Toc27552"/>
      <w:bookmarkStart w:id="13" w:name="_Toc24191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巨鹿县交通运输局农村公路“路田分家”工程，主要包括明确路界、整修路面、疏通道路两侧边沟、修复路肩、绿化养护及重新划定标线等。项目总投资229.1996万元，已支付229万元。</w:t>
      </w:r>
    </w:p>
    <w:bookmarkEnd w:id="10"/>
    <w:bookmarkEnd w:id="11"/>
    <w:bookmarkEnd w:id="12"/>
    <w:bookmarkEnd w:id="13"/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100" w:firstLine="643" w:firstLineChars="200"/>
        <w:textAlignment w:val="auto"/>
        <w:outlineLvl w:val="0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40"/>
          <w:lang w:val="en-US" w:eastAsia="zh-CN"/>
        </w:rPr>
      </w:pPr>
      <w:bookmarkStart w:id="14" w:name="_Toc2988"/>
      <w:bookmarkStart w:id="15" w:name="_Toc4859"/>
      <w:bookmarkStart w:id="16" w:name="_Toc26109"/>
      <w:bookmarkStart w:id="17" w:name="_Toc6781"/>
      <w:bookmarkStart w:id="18" w:name="_Toc18992"/>
      <w:bookmarkStart w:id="19" w:name="_Toc17782"/>
      <w:bookmarkStart w:id="20" w:name="_Toc7839"/>
      <w:bookmarkStart w:id="21" w:name="_Toc14644"/>
      <w:bookmarkStart w:id="22" w:name="_Toc28908"/>
      <w:bookmarkStart w:id="23" w:name="_Toc12860"/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40"/>
          <w:lang w:val="en-US" w:eastAsia="zh-CN"/>
        </w:rPr>
        <w:t>项目实施情况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10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  <w:t>项目具体实施情况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both"/>
        <w:textAlignment w:val="auto"/>
        <w:rPr>
          <w:rFonts w:ascii="仿宋_GB2312" w:hAnsi="仿宋_GB2312" w:eastAsia="仿宋_GB2312" w:cs="仿宋_GB2312"/>
          <w:kern w:val="2"/>
          <w:sz w:val="32"/>
          <w:szCs w:val="32"/>
        </w:rPr>
      </w:pPr>
      <w:bookmarkStart w:id="24" w:name="_Toc17743"/>
      <w:bookmarkStart w:id="25" w:name="_Toc10886"/>
      <w:bookmarkStart w:id="26" w:name="_Toc4138"/>
      <w:bookmarkStart w:id="27" w:name="_Toc22812"/>
      <w:bookmarkStart w:id="28" w:name="_Toc31876"/>
      <w:bookmarkStart w:id="29" w:name="_Toc20844"/>
      <w:bookmarkStart w:id="30" w:name="_Toc17067"/>
      <w:bookmarkStart w:id="31" w:name="_Toc9227"/>
      <w:bookmarkStart w:id="32" w:name="_Toc13114"/>
      <w:bookmarkStart w:id="33" w:name="_Toc11365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为明确路界设置路界桩78根、警示桩228根；整修路面1485平方米、修复桥梁伸缩缝2处；对道路两侧边沟进行疏通、部分路段铺设排水管道1758米、路口改造7个；邢衡高速桥下排涝疏引工程铺设管涵12米等工程；施划标线59.4平方米；修剪乔木15600棵，修建灌木31.15km等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100" w:right="0" w:firstLine="640" w:firstLineChars="200"/>
        <w:jc w:val="both"/>
        <w:textAlignment w:val="auto"/>
        <w:rPr>
          <w:rFonts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财务管理情况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10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巨鹿县交通运输局农村公路“路田分家”工程截止目前已支付229万元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，具体为：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10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农村公路“路田分家”重点实施流域资金200万元；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100" w:right="0" w:rightChars="0" w:firstLine="640" w:firstLineChars="200"/>
        <w:jc w:val="both"/>
        <w:textAlignment w:val="auto"/>
        <w:rPr>
          <w:rFonts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农村公路“路田分家”重点实施流域资金29万元，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资金拨付比例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。</w:t>
      </w:r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100" w:firstLine="643" w:firstLineChars="200"/>
        <w:textAlignment w:val="auto"/>
        <w:outlineLvl w:val="0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40"/>
          <w:lang w:val="en-US" w:eastAsia="zh-CN"/>
        </w:rPr>
      </w:pPr>
      <w:bookmarkStart w:id="34" w:name="_Toc18915"/>
      <w:bookmarkStart w:id="35" w:name="_Toc20904"/>
      <w:bookmarkStart w:id="36" w:name="_Toc10651"/>
      <w:bookmarkStart w:id="37" w:name="_Toc5317"/>
      <w:bookmarkStart w:id="38" w:name="_Toc26855"/>
      <w:bookmarkStart w:id="39" w:name="_Toc21501"/>
      <w:bookmarkStart w:id="40" w:name="_Toc12150"/>
      <w:bookmarkStart w:id="41" w:name="_Toc29800"/>
      <w:bookmarkStart w:id="42" w:name="_Toc5215"/>
      <w:bookmarkStart w:id="43" w:name="_Toc6451"/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40"/>
          <w:lang w:val="en-US" w:eastAsia="zh-CN"/>
        </w:rPr>
        <w:t>三、绩效评价工作情况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100"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40"/>
          <w:lang w:val="en-US" w:eastAsia="zh-CN"/>
        </w:rPr>
      </w:pPr>
      <w:bookmarkStart w:id="44" w:name="_Toc4056"/>
      <w:bookmarkStart w:id="45" w:name="_Toc5105"/>
      <w:bookmarkStart w:id="46" w:name="_Toc15730"/>
      <w:bookmarkStart w:id="47" w:name="_Toc22771"/>
      <w:bookmarkStart w:id="48" w:name="_Toc14742"/>
      <w:bookmarkStart w:id="49" w:name="_Toc25600"/>
      <w:bookmarkStart w:id="50" w:name="_Toc8077"/>
      <w:bookmarkStart w:id="51" w:name="_Toc17355"/>
      <w:bookmarkStart w:id="52" w:name="_Toc7570"/>
      <w:bookmarkStart w:id="53" w:name="_Toc23608"/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40"/>
          <w:lang w:val="en-US" w:eastAsia="zh-CN"/>
        </w:rPr>
        <w:t>（一）评价目的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100"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通过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完成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项目的建设，进一步优化我县的路域环境，改善我县农村出行环境和人居环境，提升公共服务能力，为创建全国“四好农村路”做出应有贡献。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210" w:leftChars="100"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lang w:val="en-US" w:eastAsia="zh-CN"/>
        </w:rPr>
      </w:pPr>
      <w:bookmarkStart w:id="54" w:name="_Toc27346"/>
      <w:bookmarkStart w:id="55" w:name="_Toc16971"/>
      <w:bookmarkStart w:id="56" w:name="_Toc18502"/>
      <w:bookmarkStart w:id="57" w:name="_Toc30351"/>
      <w:bookmarkStart w:id="58" w:name="_Toc16121"/>
      <w:bookmarkStart w:id="59" w:name="_Toc27199"/>
      <w:bookmarkStart w:id="60" w:name="_Toc8288"/>
      <w:bookmarkStart w:id="61" w:name="_Toc3910"/>
      <w:bookmarkStart w:id="62" w:name="_Toc22727"/>
      <w:bookmarkStart w:id="63" w:name="_Toc25746"/>
      <w:r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lang w:val="en-US" w:eastAsia="zh-CN"/>
        </w:rPr>
        <w:t>评价指标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10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根据项目相关性、重要性，可比性、经济性、系统性原则，结合财政支出项目绩效评价的相关要求设立相应的指标，并分配相应的权重（分值）。本项目评价指标拟设置4个一级指标(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产出指标、效益指标、满意度指标、预算执行率</w:t>
      </w:r>
      <w:r>
        <w:rPr>
          <w:rFonts w:hint="eastAsia" w:ascii="仿宋" w:hAnsi="仿宋" w:eastAsia="仿宋" w:cs="仿宋"/>
          <w:sz w:val="32"/>
          <w:szCs w:val="32"/>
        </w:rPr>
        <w:t>）；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个二级指标（数量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指标</w:t>
      </w:r>
      <w:r>
        <w:rPr>
          <w:rFonts w:hint="eastAsia" w:ascii="仿宋" w:hAnsi="仿宋" w:eastAsia="仿宋" w:cs="仿宋"/>
          <w:sz w:val="32"/>
          <w:szCs w:val="32"/>
        </w:rPr>
        <w:t>、质量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指标</w:t>
      </w:r>
      <w:r>
        <w:rPr>
          <w:rFonts w:hint="eastAsia" w:ascii="仿宋" w:hAnsi="仿宋" w:eastAsia="仿宋" w:cs="仿宋"/>
          <w:sz w:val="32"/>
          <w:szCs w:val="32"/>
        </w:rPr>
        <w:t>、时效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指标</w:t>
      </w:r>
      <w:r>
        <w:rPr>
          <w:rFonts w:hint="eastAsia" w:ascii="仿宋" w:hAnsi="仿宋" w:eastAsia="仿宋" w:cs="仿宋"/>
          <w:sz w:val="32"/>
          <w:szCs w:val="32"/>
        </w:rPr>
        <w:t>、成本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指标</w:t>
      </w:r>
      <w:r>
        <w:rPr>
          <w:rFonts w:hint="eastAsia" w:ascii="仿宋" w:hAnsi="仿宋" w:eastAsia="仿宋" w:cs="仿宋"/>
          <w:sz w:val="32"/>
          <w:szCs w:val="32"/>
        </w:rPr>
        <w:t>、经济效益指标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社会效益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指标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满意度指标、预算执行率</w:t>
      </w:r>
      <w:r>
        <w:rPr>
          <w:rFonts w:hint="eastAsia" w:ascii="仿宋" w:hAnsi="仿宋" w:eastAsia="仿宋" w:cs="仿宋"/>
          <w:sz w:val="32"/>
          <w:szCs w:val="32"/>
        </w:rPr>
        <w:t>）；根据项目实施具体情况，共设置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个三级指标。本项目绩效评价以100分计，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产出指标、效益指标、满意度指标、预算执行率</w:t>
      </w:r>
      <w:r>
        <w:rPr>
          <w:rFonts w:hint="eastAsia" w:ascii="仿宋" w:hAnsi="仿宋" w:eastAsia="仿宋" w:cs="仿宋"/>
          <w:sz w:val="32"/>
          <w:szCs w:val="32"/>
        </w:rPr>
        <w:t>四个一级指标分别权重为：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50</w:t>
      </w:r>
      <w:r>
        <w:rPr>
          <w:rFonts w:hint="eastAsia" w:ascii="仿宋" w:hAnsi="仿宋" w:eastAsia="仿宋" w:cs="仿宋"/>
          <w:sz w:val="32"/>
          <w:szCs w:val="32"/>
        </w:rPr>
        <w:t>%，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0%，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0%，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0%。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210" w:leftChars="100"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</w:pPr>
      <w:bookmarkStart w:id="64" w:name="_Toc19154"/>
      <w:bookmarkStart w:id="65" w:name="_Toc19068"/>
      <w:bookmarkStart w:id="66" w:name="_Toc32306"/>
      <w:bookmarkStart w:id="67" w:name="_Toc5587"/>
      <w:bookmarkStart w:id="68" w:name="_Toc25343"/>
      <w:bookmarkStart w:id="69" w:name="_Toc5304"/>
      <w:bookmarkStart w:id="70" w:name="_Toc12572"/>
      <w:bookmarkStart w:id="71" w:name="_Toc23270"/>
      <w:bookmarkStart w:id="72" w:name="_Toc32241"/>
      <w:bookmarkStart w:id="73" w:name="_Toc11684"/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  <w:t>评价依据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10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1.《中华人民共和国预算法》；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10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2.《中华人民共和国会计法》；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10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3.《中华人民共和国政府采购法》；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10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4.《财政部关于印发&lt;项目支出绩效评价管理办法&gt;的通知》(财预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[</w:t>
      </w:r>
      <w:r>
        <w:rPr>
          <w:rFonts w:hint="eastAsia" w:ascii="仿宋" w:hAnsi="仿宋" w:eastAsia="仿宋" w:cs="仿宋"/>
          <w:sz w:val="32"/>
          <w:szCs w:val="32"/>
        </w:rPr>
        <w:t>2020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]</w:t>
      </w:r>
      <w:r>
        <w:rPr>
          <w:rFonts w:hint="eastAsia" w:ascii="仿宋" w:hAnsi="仿宋" w:eastAsia="仿宋" w:cs="仿宋"/>
          <w:sz w:val="32"/>
          <w:szCs w:val="32"/>
        </w:rPr>
        <w:t>〕10号）；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10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5.《中共中央国务院关于全面实施预算绩效管理的意见》(中发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[</w:t>
      </w:r>
      <w:r>
        <w:rPr>
          <w:rFonts w:hint="eastAsia" w:ascii="仿宋" w:hAnsi="仿宋" w:eastAsia="仿宋" w:cs="仿宋"/>
          <w:sz w:val="32"/>
          <w:szCs w:val="32"/>
        </w:rPr>
        <w:t>2018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]</w:t>
      </w:r>
      <w:r>
        <w:rPr>
          <w:rFonts w:hint="eastAsia" w:ascii="仿宋" w:hAnsi="仿宋" w:eastAsia="仿宋" w:cs="仿宋"/>
          <w:sz w:val="32"/>
          <w:szCs w:val="32"/>
        </w:rPr>
        <w:t>34号）；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10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6.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《河北省省对下转移支付资金绩效管理办法》（冀财绩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[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2019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]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5号）;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10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7.《河北省省级部门预算项目绩效自评管理办法》（冀财绩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[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2019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]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10号）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10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.项目其他相关依据。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100"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</w:pPr>
      <w:bookmarkStart w:id="74" w:name="_Toc1868"/>
      <w:bookmarkStart w:id="75" w:name="_Toc6747"/>
      <w:bookmarkStart w:id="76" w:name="_Toc13179"/>
      <w:bookmarkStart w:id="77" w:name="_Toc9401"/>
      <w:bookmarkStart w:id="78" w:name="_Toc12940"/>
      <w:bookmarkStart w:id="79" w:name="_Toc26780"/>
      <w:bookmarkStart w:id="80" w:name="_Toc24302"/>
      <w:bookmarkStart w:id="81" w:name="_Toc11243"/>
      <w:bookmarkStart w:id="82" w:name="_Toc22038"/>
      <w:bookmarkStart w:id="83" w:name="_Toc7393"/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  <w:t>（四）评价的主要方法及等级设定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10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根据《财政部关于印发&lt;项目支出绩效评价管理办法〉的通知》（财预（2020〕10号），单位自评采用定量与定性评价相结合的比较法，总分由各项指标得分汇总形成。评价结果根据指标完成情况分为达成年度指标、部分达成年度指标并具有一定效果、未达成年度指标且效果较差三档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具体如下：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4"/>
        <w:gridCol w:w="2280"/>
        <w:gridCol w:w="2895"/>
        <w:gridCol w:w="19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</w:trPr>
        <w:tc>
          <w:tcPr>
            <w:tcW w:w="14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项目</w:t>
            </w:r>
          </w:p>
        </w:tc>
        <w:tc>
          <w:tcPr>
            <w:tcW w:w="22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达成年度指标</w:t>
            </w:r>
          </w:p>
        </w:tc>
        <w:tc>
          <w:tcPr>
            <w:tcW w:w="28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部分达成年度指标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并具有一定效果</w:t>
            </w:r>
          </w:p>
        </w:tc>
        <w:tc>
          <w:tcPr>
            <w:tcW w:w="19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未达成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年度指标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14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分值</w:t>
            </w:r>
          </w:p>
        </w:tc>
        <w:tc>
          <w:tcPr>
            <w:tcW w:w="22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firstLine="640" w:firstLineChars="200"/>
              <w:jc w:val="both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≥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80分</w:t>
            </w:r>
          </w:p>
        </w:tc>
        <w:tc>
          <w:tcPr>
            <w:tcW w:w="28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≥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60分，＜80分</w:t>
            </w:r>
          </w:p>
        </w:tc>
        <w:tc>
          <w:tcPr>
            <w:tcW w:w="19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＜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60分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100" w:firstLine="643" w:firstLineChars="200"/>
        <w:textAlignment w:val="auto"/>
        <w:outlineLvl w:val="0"/>
        <w:rPr>
          <w:rFonts w:hint="eastAsia" w:ascii="仿宋_GB2312" w:hAnsi="仿宋_GB2312" w:eastAsia="仿宋_GB2312" w:cs="仿宋_GB2312"/>
          <w:lang w:val="en-US" w:eastAsia="zh-CN"/>
        </w:rPr>
      </w:pPr>
      <w:bookmarkStart w:id="84" w:name="_Toc28621"/>
      <w:bookmarkStart w:id="85" w:name="_Toc20748"/>
      <w:bookmarkStart w:id="86" w:name="_Toc6105"/>
      <w:bookmarkStart w:id="87" w:name="_Toc22222"/>
      <w:bookmarkStart w:id="88" w:name="_Toc17025"/>
      <w:bookmarkStart w:id="89" w:name="_Toc18842"/>
      <w:bookmarkStart w:id="90" w:name="_Toc5623"/>
      <w:bookmarkStart w:id="91" w:name="_Toc21014"/>
      <w:bookmarkStart w:id="92" w:name="_Toc10113"/>
      <w:bookmarkStart w:id="93" w:name="_Toc30508"/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40"/>
          <w:lang w:val="en-US" w:eastAsia="zh-CN"/>
        </w:rPr>
        <w:t>四、绩效评价指标体系及得分情况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eastAsia="zh-CN"/>
        </w:rPr>
        <w:t>（一）产出指标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spacing w:val="-11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1.数量指标：</w:t>
      </w:r>
      <w:r>
        <w:rPr>
          <w:rFonts w:hint="eastAsia" w:ascii="仿宋" w:hAnsi="仿宋" w:eastAsia="仿宋" w:cs="仿宋"/>
          <w:spacing w:val="-11"/>
          <w:sz w:val="32"/>
          <w:szCs w:val="32"/>
          <w:lang w:val="en-US" w:eastAsia="zh-CN"/>
        </w:rPr>
        <w:t>巨鹿县交通运输局农村公路“路田分家”工程</w:t>
      </w:r>
      <w:r>
        <w:rPr>
          <w:rFonts w:hint="eastAsia" w:ascii="仿宋" w:hAnsi="仿宋" w:eastAsia="仿宋" w:cs="仿宋"/>
          <w:spacing w:val="-11"/>
          <w:kern w:val="2"/>
          <w:sz w:val="32"/>
          <w:szCs w:val="32"/>
          <w:lang w:val="en-US" w:eastAsia="zh-CN"/>
        </w:rPr>
        <w:t>按照预期数量指标完成建设任务；资金按时完成支付，自评得分20分。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2.质量指标：按照建设进程，分项进行检测均达到合格，自评得分10分。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spacing w:val="-23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3.时效指标：</w:t>
      </w:r>
      <w:r>
        <w:rPr>
          <w:rFonts w:hint="eastAsia" w:ascii="仿宋" w:hAnsi="仿宋" w:eastAsia="仿宋" w:cs="仿宋"/>
          <w:spacing w:val="-23"/>
          <w:kern w:val="2"/>
          <w:sz w:val="32"/>
          <w:szCs w:val="32"/>
          <w:lang w:val="en-US" w:eastAsia="zh-CN"/>
        </w:rPr>
        <w:t>严格按照工期按时完成项目建设，自评得分10分。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4.成本指标：项目未超概算，自评得分10分。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（二）效益指标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1.经济效益指标：项目建设完成后拉动了地区经济发展；公路建成运营后创造价值，方便了公路沿线乡镇与外界的交流，自评得分15分。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2.社会效益指标：达到设计标准，通行状况基本改善，方便了群众安全、便捷出行，自评得分15分。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spacing w:val="-11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（三）满意度指标：</w:t>
      </w:r>
      <w:r>
        <w:rPr>
          <w:rFonts w:hint="eastAsia" w:ascii="仿宋" w:hAnsi="仿宋" w:eastAsia="仿宋" w:cs="仿宋"/>
          <w:spacing w:val="-11"/>
          <w:kern w:val="2"/>
          <w:sz w:val="32"/>
          <w:szCs w:val="32"/>
          <w:lang w:val="en-US" w:eastAsia="zh-CN"/>
        </w:rPr>
        <w:t>为了准确了解群众对公路交通基础设施满意度情况，面向政府部门人员、周边群众、司乘人员等群众进行满意度调查，综合评价非常满意，自评得分10分。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pacing w:val="-11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（四）预算执行率：</w:t>
      </w:r>
      <w:r>
        <w:rPr>
          <w:rFonts w:hint="eastAsia" w:ascii="仿宋" w:hAnsi="仿宋" w:eastAsia="仿宋" w:cs="仿宋"/>
          <w:spacing w:val="-11"/>
          <w:kern w:val="2"/>
          <w:sz w:val="32"/>
          <w:szCs w:val="32"/>
          <w:lang w:val="en-US" w:eastAsia="zh-CN"/>
        </w:rPr>
        <w:t>资金支付率均达到100%，自评得分10分。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-6"/>
          <w:kern w:val="2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eastAsia="zh-CN"/>
        </w:rPr>
        <w:t>综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</w:rPr>
        <w:t>合上述资金规划符合有关政策，工作目标明确，绩效指标设定合理、可衡量，</w:t>
      </w:r>
      <w:r>
        <w:rPr>
          <w:rFonts w:hint="eastAsia" w:ascii="仿宋" w:hAnsi="仿宋" w:eastAsia="仿宋" w:cs="仿宋"/>
          <w:color w:val="auto"/>
          <w:spacing w:val="-6"/>
          <w:kern w:val="2"/>
          <w:sz w:val="32"/>
          <w:szCs w:val="32"/>
          <w:highlight w:val="none"/>
          <w:lang w:eastAsia="zh-CN"/>
        </w:rPr>
        <w:t>评价得分：</w:t>
      </w:r>
      <w:r>
        <w:rPr>
          <w:rFonts w:hint="eastAsia" w:ascii="仿宋" w:hAnsi="仿宋" w:eastAsia="仿宋" w:cs="仿宋"/>
          <w:color w:val="auto"/>
          <w:spacing w:val="-6"/>
          <w:kern w:val="2"/>
          <w:sz w:val="32"/>
          <w:szCs w:val="32"/>
          <w:highlight w:val="none"/>
          <w:lang w:val="en-US" w:eastAsia="zh-CN"/>
        </w:rPr>
        <w:t>100分，</w:t>
      </w:r>
      <w:r>
        <w:rPr>
          <w:rFonts w:hint="eastAsia" w:ascii="仿宋" w:hAnsi="仿宋" w:eastAsia="仿宋" w:cs="仿宋"/>
          <w:color w:val="auto"/>
          <w:spacing w:val="-6"/>
          <w:kern w:val="2"/>
          <w:sz w:val="32"/>
          <w:szCs w:val="32"/>
          <w:highlight w:val="none"/>
        </w:rPr>
        <w:t>评价级别</w:t>
      </w:r>
      <w:r>
        <w:rPr>
          <w:rFonts w:hint="eastAsia" w:ascii="仿宋" w:hAnsi="仿宋" w:eastAsia="仿宋" w:cs="仿宋"/>
          <w:color w:val="auto"/>
          <w:spacing w:val="-6"/>
          <w:kern w:val="2"/>
          <w:sz w:val="32"/>
          <w:szCs w:val="32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pacing w:val="-6"/>
          <w:kern w:val="2"/>
          <w:sz w:val="32"/>
          <w:szCs w:val="32"/>
          <w:highlight w:val="none"/>
        </w:rPr>
        <w:t>达成年度指标。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Chars="10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4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40"/>
          <w:lang w:val="en-US" w:eastAsia="zh-CN" w:bidi="ar-SA"/>
        </w:rPr>
        <w:t>五、工作活动(项目)存在的问题、改进工作的意见及建议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目前我局绩效管理正处在起步阶段，绩效管理专业的人员相对较少，缺乏相关绩效管理经验，预算编制过程中的绩效目标确定、预算执行过程中的绩效监控、绩效评价结果的应用等管理模式还在探索之中。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spacing w:val="0"/>
          <w:sz w:val="32"/>
          <w:szCs w:val="32"/>
        </w:rPr>
      </w:pPr>
      <w:r>
        <w:rPr>
          <w:rFonts w:hint="eastAsia" w:ascii="仿宋" w:hAnsi="仿宋" w:eastAsia="仿宋" w:cs="仿宋"/>
          <w:spacing w:val="0"/>
          <w:kern w:val="2"/>
          <w:sz w:val="32"/>
          <w:szCs w:val="32"/>
          <w:lang w:eastAsia="zh-CN"/>
        </w:rPr>
        <w:t>下一步我局将</w:t>
      </w:r>
      <w:r>
        <w:rPr>
          <w:rFonts w:hint="eastAsia" w:ascii="仿宋" w:hAnsi="仿宋" w:eastAsia="仿宋" w:cs="仿宋"/>
          <w:spacing w:val="0"/>
          <w:kern w:val="2"/>
          <w:sz w:val="32"/>
          <w:szCs w:val="32"/>
        </w:rPr>
        <w:t>加强业务学习、培训,提升人员综合业务能力，进一步加强理论研究,对绩效评价的范围、方法、技术手段进行探索和研究,形成理论和实践互为促进的良好局面。</w:t>
      </w:r>
    </w:p>
    <w:bookmarkEnd w:id="94"/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100" w:firstLine="5760" w:firstLineChars="18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100" w:firstLine="5120" w:firstLineChars="1600"/>
        <w:rPr>
          <w:rFonts w:hint="eastAsia" w:ascii="仿宋_GB2312" w:hAnsi="仿宋_GB2312" w:eastAsia="仿宋_GB2312" w:cs="仿宋_GB2312"/>
          <w:color w:val="000000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2024年4月17日</w:t>
      </w:r>
    </w:p>
    <w:p>
      <w:pPr>
        <w:rPr>
          <w:rFonts w:hint="eastAsia" w:ascii="仿宋" w:hAnsi="仿宋" w:eastAsia="仿宋" w:cs="仿宋"/>
          <w:sz w:val="28"/>
          <w:szCs w:val="36"/>
        </w:rPr>
      </w:pPr>
    </w:p>
    <w:sectPr>
      <w:pgSz w:w="11906" w:h="16838"/>
      <w:pgMar w:top="1327" w:right="1576" w:bottom="1327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01A9B05"/>
    <w:multiLevelType w:val="singleLevel"/>
    <w:tmpl w:val="A01A9B05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6DC3DE4"/>
    <w:multiLevelType w:val="singleLevel"/>
    <w:tmpl w:val="C6DC3DE4"/>
    <w:lvl w:ilvl="0" w:tentative="0">
      <w:start w:val="2"/>
      <w:numFmt w:val="chineseCounting"/>
      <w:suff w:val="nothing"/>
      <w:lvlText w:val="(%1）"/>
      <w:lvlJc w:val="left"/>
      <w:rPr>
        <w:rFonts w:hint="eastAsia"/>
      </w:rPr>
    </w:lvl>
  </w:abstractNum>
  <w:abstractNum w:abstractNumId="2">
    <w:nsid w:val="CBA3D491"/>
    <w:multiLevelType w:val="singleLevel"/>
    <w:tmpl w:val="CBA3D49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39B5A233"/>
    <w:multiLevelType w:val="singleLevel"/>
    <w:tmpl w:val="39B5A233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RhNjQ0MTljMThlYTgwMTA3ODdlZjM3Y2ZjMGEzOGMifQ=="/>
  </w:docVars>
  <w:rsids>
    <w:rsidRoot w:val="4B652616"/>
    <w:rsid w:val="3C51436A"/>
    <w:rsid w:val="4B652616"/>
    <w:rsid w:val="7EBE5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600" w:lineRule="exact"/>
      <w:ind w:firstLine="560" w:firstLineChars="200"/>
      <w:textAlignment w:val="center"/>
    </w:pPr>
    <w:rPr>
      <w:rFonts w:ascii="宋体" w:hAnsi="宋体"/>
      <w:color w:val="FF0000"/>
      <w:sz w:val="28"/>
      <w:szCs w:val="28"/>
    </w:rPr>
  </w:style>
  <w:style w:type="paragraph" w:styleId="3">
    <w:name w:val="Body Text First Indent 2"/>
    <w:basedOn w:val="2"/>
    <w:next w:val="1"/>
    <w:qFormat/>
    <w:uiPriority w:val="0"/>
    <w:pPr>
      <w:ind w:firstLine="420"/>
    </w:p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2024-04-17T07:32:00Z</dcterms:created>
  <dc:creator>Taurus</dc:creator>
  <cp:lastModifiedBy>云</cp:lastModifiedBy>
  <dcterms:modified xsi:type="dcterms:W3CDTF">2024-05-08T12:11:29Z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C5CEE9E6BB274E9C83EA04EDBC36B55C_13</vt:lpwstr>
  </property>
</Properties>
</file>