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p>
    <w:tbl>
      <w:tblPr>
        <w:tblStyle w:val="8"/>
        <w:tblW w:w="9546" w:type="dxa"/>
        <w:tblInd w:w="-653" w:type="dxa"/>
        <w:tblLayout w:type="fixed"/>
        <w:tblCellMar>
          <w:top w:w="0" w:type="dxa"/>
          <w:left w:w="0" w:type="dxa"/>
          <w:bottom w:w="0" w:type="dxa"/>
          <w:right w:w="0" w:type="dxa"/>
        </w:tblCellMar>
      </w:tblPr>
      <w:tblGrid>
        <w:gridCol w:w="1611"/>
        <w:gridCol w:w="674"/>
        <w:gridCol w:w="2083"/>
        <w:gridCol w:w="759"/>
        <w:gridCol w:w="3600"/>
        <w:gridCol w:w="819"/>
      </w:tblGrid>
      <w:tr>
        <w:tblPrEx>
          <w:tblLayout w:type="fixed"/>
          <w:tblCellMar>
            <w:top w:w="0" w:type="dxa"/>
            <w:left w:w="0" w:type="dxa"/>
            <w:bottom w:w="0" w:type="dxa"/>
            <w:right w:w="0" w:type="dxa"/>
          </w:tblCellMar>
        </w:tblPrEx>
        <w:trPr>
          <w:trHeight w:val="660" w:hRule="atLeast"/>
        </w:trPr>
        <w:tc>
          <w:tcPr>
            <w:tcW w:w="9546" w:type="dxa"/>
            <w:gridSpan w:val="6"/>
            <w:tcBorders>
              <w:top w:val="nil"/>
              <w:left w:val="nil"/>
              <w:bottom w:val="single" w:color="000000" w:sz="4" w:space="0"/>
              <w:right w:val="nil"/>
            </w:tcBorders>
            <w:noWrap w:val="0"/>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bCs/>
                <w:color w:val="auto"/>
                <w:spacing w:val="0"/>
                <w:sz w:val="40"/>
                <w:szCs w:val="48"/>
                <w:lang w:val="en-US" w:eastAsia="zh-CN"/>
              </w:rPr>
            </w:pPr>
            <w:r>
              <w:rPr>
                <w:rFonts w:hint="eastAsia" w:ascii="仿宋_GB2312" w:hAnsi="仿宋_GB2312" w:eastAsia="仿宋_GB2312" w:cs="仿宋_GB2312"/>
                <w:b/>
                <w:bCs/>
                <w:color w:val="auto"/>
                <w:spacing w:val="0"/>
                <w:sz w:val="40"/>
                <w:szCs w:val="48"/>
                <w:lang w:val="en-US" w:eastAsia="zh-CN"/>
              </w:rPr>
              <w:t>巨鹿县2023年“四好农村路”提升工程</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0"/>
                <w:sz w:val="44"/>
                <w:szCs w:val="44"/>
                <w:lang w:eastAsia="zh-CN"/>
              </w:rPr>
            </w:pPr>
            <w:r>
              <w:rPr>
                <w:rFonts w:hint="eastAsia" w:ascii="仿宋_GB2312" w:hAnsi="仿宋_GB2312" w:eastAsia="仿宋_GB2312" w:cs="仿宋_GB2312"/>
                <w:kern w:val="0"/>
                <w:sz w:val="44"/>
                <w:szCs w:val="44"/>
                <w:lang w:val="en-US" w:eastAsia="zh-CN"/>
              </w:rPr>
              <w:t>重点</w:t>
            </w:r>
            <w:r>
              <w:rPr>
                <w:rFonts w:hint="eastAsia" w:ascii="仿宋_GB2312" w:hAnsi="仿宋_GB2312" w:eastAsia="仿宋_GB2312" w:cs="仿宋_GB2312"/>
                <w:kern w:val="0"/>
                <w:sz w:val="44"/>
                <w:szCs w:val="44"/>
                <w:lang w:eastAsia="zh-CN"/>
              </w:rPr>
              <w:t>绩效</w:t>
            </w:r>
            <w:r>
              <w:rPr>
                <w:rFonts w:hint="eastAsia" w:ascii="仿宋_GB2312" w:hAnsi="仿宋_GB2312" w:eastAsia="仿宋_GB2312" w:cs="仿宋_GB2312"/>
                <w:kern w:val="0"/>
                <w:sz w:val="44"/>
                <w:szCs w:val="44"/>
                <w:lang w:val="en-US" w:eastAsia="zh-CN"/>
              </w:rPr>
              <w:t>自评</w:t>
            </w:r>
            <w:r>
              <w:rPr>
                <w:rFonts w:hint="eastAsia" w:ascii="仿宋_GB2312" w:hAnsi="仿宋_GB2312" w:eastAsia="仿宋_GB2312" w:cs="仿宋_GB2312"/>
                <w:kern w:val="0"/>
                <w:sz w:val="44"/>
                <w:szCs w:val="44"/>
                <w:lang w:eastAsia="zh-CN"/>
              </w:rPr>
              <w:t>报告</w:t>
            </w:r>
          </w:p>
          <w:p>
            <w:pPr>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 xml:space="preserve">                              </w:t>
            </w: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spacing w:line="760" w:lineRule="auto"/>
              <w:ind w:firstLine="560" w:firstLineChars="200"/>
              <w:rPr>
                <w:rFonts w:hint="default" w:ascii="仿宋_GB2312" w:hAnsi="仿宋_GB2312" w:eastAsia="仿宋_GB2312" w:cs="仿宋_GB2312"/>
                <w:sz w:val="24"/>
                <w:szCs w:val="24"/>
                <w:u w:val="single"/>
                <w:lang w:val="en-US" w:eastAsia="zh-CN"/>
              </w:rPr>
            </w:pPr>
            <w:r>
              <w:rPr>
                <w:rFonts w:ascii="宋体" w:hAnsi="宋体" w:eastAsia="宋体" w:cs="宋体"/>
                <w:sz w:val="28"/>
                <w:u w:val="none"/>
              </w:rPr>
              <w:t>项</w:t>
            </w:r>
            <w:r>
              <w:rPr>
                <w:rFonts w:ascii="仿宋_GB2312" w:hAnsi="仿宋_GB2312" w:eastAsia="仿宋_GB2312" w:cs="仿宋_GB2312"/>
                <w:sz w:val="28"/>
                <w:u w:val="none"/>
              </w:rPr>
              <w:t xml:space="preserve"> </w:t>
            </w:r>
            <w:r>
              <w:rPr>
                <w:rFonts w:ascii="宋体" w:hAnsi="宋体" w:eastAsia="宋体" w:cs="宋体"/>
                <w:sz w:val="28"/>
                <w:u w:val="none"/>
              </w:rPr>
              <w:t>目</w:t>
            </w:r>
            <w:r>
              <w:rPr>
                <w:rFonts w:ascii="仿宋_GB2312" w:hAnsi="仿宋_GB2312" w:eastAsia="仿宋_GB2312" w:cs="仿宋_GB2312"/>
                <w:sz w:val="28"/>
                <w:u w:val="none"/>
              </w:rPr>
              <w:t xml:space="preserve"> </w:t>
            </w:r>
            <w:r>
              <w:rPr>
                <w:rFonts w:ascii="宋体" w:hAnsi="宋体" w:eastAsia="宋体" w:cs="宋体"/>
                <w:sz w:val="28"/>
                <w:u w:val="none"/>
              </w:rPr>
              <w:t>名</w:t>
            </w:r>
            <w:r>
              <w:rPr>
                <w:rFonts w:ascii="仿宋_GB2312" w:hAnsi="仿宋_GB2312" w:eastAsia="仿宋_GB2312" w:cs="仿宋_GB2312"/>
                <w:sz w:val="28"/>
                <w:u w:val="none"/>
              </w:rPr>
              <w:t xml:space="preserve"> </w:t>
            </w:r>
            <w:r>
              <w:rPr>
                <w:rFonts w:ascii="宋体" w:hAnsi="宋体" w:eastAsia="宋体" w:cs="宋体"/>
                <w:sz w:val="28"/>
                <w:u w:val="none"/>
              </w:rPr>
              <w:t>称：</w:t>
            </w:r>
            <w:r>
              <w:rPr>
                <w:rFonts w:hint="eastAsia" w:ascii="宋体" w:hAnsi="宋体" w:eastAsia="宋体" w:cs="宋体"/>
                <w:sz w:val="28"/>
                <w:u w:val="none"/>
                <w:lang w:val="en-US" w:eastAsia="zh-CN"/>
              </w:rPr>
              <w:t xml:space="preserve"> </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8"/>
                <w:szCs w:val="28"/>
                <w:u w:val="single"/>
                <w:lang w:val="en-US" w:eastAsia="zh-CN"/>
              </w:rPr>
              <w:t xml:space="preserve">巨鹿县2023年“四好农村路”提升工程  </w:t>
            </w:r>
          </w:p>
          <w:p>
            <w:pPr>
              <w:spacing w:line="760" w:lineRule="auto"/>
              <w:ind w:firstLine="560" w:firstLineChars="200"/>
              <w:rPr>
                <w:rFonts w:ascii="仿宋_GB2312" w:hAnsi="仿宋_GB2312" w:eastAsia="仿宋_GB2312" w:cs="仿宋_GB2312"/>
                <w:sz w:val="28"/>
                <w:u w:val="single"/>
              </w:rPr>
            </w:pPr>
            <w:r>
              <w:rPr>
                <w:rFonts w:ascii="宋体" w:hAnsi="宋体" w:eastAsia="宋体" w:cs="宋体"/>
                <w:sz w:val="28"/>
                <w:u w:val="none"/>
              </w:rPr>
              <w:t>项目实施单位：</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巨鹿县交通运输局</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w:t>
            </w:r>
          </w:p>
          <w:p>
            <w:pPr>
              <w:spacing w:line="760" w:lineRule="auto"/>
              <w:ind w:firstLine="560" w:firstLineChars="200"/>
              <w:rPr>
                <w:rFonts w:hint="default" w:ascii="仿宋_GB2312" w:hAnsi="仿宋_GB2312" w:eastAsia="宋体" w:cs="仿宋_GB2312"/>
                <w:sz w:val="28"/>
                <w:u w:val="single"/>
                <w:lang w:val="en-US" w:eastAsia="zh-CN"/>
              </w:rPr>
            </w:pPr>
            <w:r>
              <w:rPr>
                <w:rFonts w:ascii="宋体" w:hAnsi="宋体" w:eastAsia="宋体" w:cs="宋体"/>
                <w:sz w:val="28"/>
                <w:u w:val="none"/>
              </w:rPr>
              <w:t>项目总金额：</w:t>
            </w:r>
            <w:r>
              <w:rPr>
                <w:rFonts w:hint="eastAsia" w:ascii="宋体" w:hAnsi="宋体" w:eastAsia="宋体" w:cs="宋体"/>
                <w:sz w:val="28"/>
                <w:u w:val="non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color w:val="auto"/>
                <w:sz w:val="28"/>
                <w:szCs w:val="28"/>
                <w:u w:val="single"/>
                <w:lang w:val="en-US" w:eastAsia="zh-CN"/>
              </w:rPr>
              <w:t>3931.93</w:t>
            </w:r>
            <w:r>
              <w:rPr>
                <w:rFonts w:hint="eastAsia" w:ascii="仿宋_GB2312" w:hAnsi="仿宋_GB2312" w:eastAsia="仿宋_GB2312" w:cs="仿宋_GB2312"/>
                <w:color w:val="auto"/>
                <w:sz w:val="28"/>
                <w:szCs w:val="28"/>
                <w:u w:val="single"/>
                <w:lang w:eastAsia="zh-CN"/>
              </w:rPr>
              <w:t>万元</w:t>
            </w:r>
            <w:r>
              <w:rPr>
                <w:rFonts w:hint="eastAsia" w:ascii="宋体" w:hAnsi="宋体" w:eastAsia="宋体" w:cs="宋体"/>
                <w:sz w:val="28"/>
                <w:u w:val="single"/>
                <w:lang w:val="en-US" w:eastAsia="zh-CN"/>
              </w:rPr>
              <w:t xml:space="preserve">                  </w:t>
            </w:r>
          </w:p>
          <w:p>
            <w:pPr>
              <w:spacing w:line="760" w:lineRule="auto"/>
              <w:ind w:firstLine="560" w:firstLineChars="200"/>
              <w:rPr>
                <w:rFonts w:hint="default" w:ascii="仿宋_GB2312" w:hAnsi="仿宋_GB2312" w:eastAsia="宋体" w:cs="仿宋_GB2312"/>
                <w:sz w:val="28"/>
                <w:u w:val="single"/>
                <w:lang w:val="en-US" w:eastAsia="zh-CN"/>
              </w:rPr>
            </w:pPr>
            <w:r>
              <w:rPr>
                <w:rFonts w:ascii="宋体" w:hAnsi="宋体" w:eastAsia="宋体" w:cs="宋体"/>
                <w:sz w:val="28"/>
                <w:u w:val="none"/>
              </w:rPr>
              <w:t>评</w:t>
            </w:r>
            <w:r>
              <w:rPr>
                <w:rFonts w:ascii="仿宋_GB2312" w:hAnsi="仿宋_GB2312" w:eastAsia="仿宋_GB2312" w:cs="仿宋_GB2312"/>
                <w:sz w:val="28"/>
                <w:u w:val="none"/>
              </w:rPr>
              <w:t xml:space="preserve"> </w:t>
            </w:r>
            <w:r>
              <w:rPr>
                <w:rFonts w:ascii="宋体" w:hAnsi="宋体" w:eastAsia="宋体" w:cs="宋体"/>
                <w:sz w:val="28"/>
                <w:u w:val="none"/>
              </w:rPr>
              <w:t>价</w:t>
            </w:r>
            <w:r>
              <w:rPr>
                <w:rFonts w:ascii="仿宋_GB2312" w:hAnsi="仿宋_GB2312" w:eastAsia="仿宋_GB2312" w:cs="仿宋_GB2312"/>
                <w:sz w:val="28"/>
                <w:u w:val="none"/>
              </w:rPr>
              <w:t xml:space="preserve"> </w:t>
            </w:r>
            <w:r>
              <w:rPr>
                <w:rFonts w:ascii="宋体" w:hAnsi="宋体" w:eastAsia="宋体" w:cs="宋体"/>
                <w:sz w:val="28"/>
                <w:u w:val="none"/>
              </w:rPr>
              <w:t>年</w:t>
            </w:r>
            <w:r>
              <w:rPr>
                <w:rFonts w:ascii="仿宋_GB2312" w:hAnsi="仿宋_GB2312" w:eastAsia="仿宋_GB2312" w:cs="仿宋_GB2312"/>
                <w:sz w:val="28"/>
                <w:u w:val="none"/>
              </w:rPr>
              <w:t xml:space="preserve"> </w:t>
            </w:r>
            <w:r>
              <w:rPr>
                <w:rFonts w:ascii="宋体" w:hAnsi="宋体" w:eastAsia="宋体" w:cs="宋体"/>
                <w:sz w:val="28"/>
                <w:u w:val="none"/>
              </w:rPr>
              <w:t>度：</w:t>
            </w:r>
            <w:r>
              <w:rPr>
                <w:rFonts w:hint="eastAsia" w:ascii="宋体" w:hAnsi="宋体" w:eastAsia="宋体" w:cs="宋体"/>
                <w:sz w:val="28"/>
                <w:u w:val="none"/>
                <w:lang w:val="en-US" w:eastAsia="zh-CN"/>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r>
              <w:rPr>
                <w:rFonts w:ascii="仿宋_GB2312" w:hAnsi="仿宋_GB2312" w:eastAsia="仿宋_GB2312" w:cs="仿宋_GB2312"/>
                <w:sz w:val="28"/>
                <w:u w:val="single"/>
              </w:rPr>
              <w:t xml:space="preserve">  202</w:t>
            </w:r>
            <w:r>
              <w:rPr>
                <w:rFonts w:hint="eastAsia" w:ascii="仿宋_GB2312" w:hAnsi="仿宋_GB2312" w:eastAsia="仿宋_GB2312" w:cs="仿宋_GB2312"/>
                <w:sz w:val="28"/>
                <w:u w:val="single"/>
                <w:lang w:val="en-US" w:eastAsia="zh-CN"/>
              </w:rPr>
              <w:t>3</w:t>
            </w:r>
            <w:r>
              <w:rPr>
                <w:rFonts w:ascii="宋体" w:hAnsi="宋体" w:eastAsia="宋体" w:cs="宋体"/>
                <w:sz w:val="28"/>
                <w:u w:val="single"/>
              </w:rPr>
              <w:t>年度</w:t>
            </w:r>
            <w:r>
              <w:rPr>
                <w:rFonts w:hint="eastAsia" w:ascii="宋体" w:hAnsi="宋体" w:eastAsia="宋体" w:cs="宋体"/>
                <w:sz w:val="28"/>
                <w:u w:val="single"/>
                <w:lang w:val="en-US" w:eastAsia="zh-CN"/>
              </w:rPr>
              <w:t xml:space="preserve">            </w:t>
            </w:r>
            <w:r>
              <w:rPr>
                <w:rFonts w:hint="eastAsia" w:ascii="宋体" w:hAnsi="宋体" w:cs="宋体"/>
                <w:sz w:val="28"/>
                <w:u w:val="single"/>
                <w:lang w:val="en-US" w:eastAsia="zh-CN"/>
              </w:rPr>
              <w:t xml:space="preserve"> </w:t>
            </w:r>
            <w:r>
              <w:rPr>
                <w:rFonts w:hint="eastAsia" w:ascii="宋体" w:hAnsi="宋体" w:eastAsia="宋体" w:cs="宋体"/>
                <w:sz w:val="28"/>
                <w:u w:val="single"/>
                <w:lang w:val="en-US" w:eastAsia="zh-CN"/>
              </w:rPr>
              <w:t xml:space="preserve">      </w:t>
            </w: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rPr>
                <w:rFonts w:hint="eastAsia" w:ascii="仿宋_GB2312" w:hAnsi="仿宋_GB2312" w:eastAsia="仿宋_GB2312" w:cs="仿宋_GB2312"/>
                <w:color w:val="auto"/>
              </w:rPr>
            </w:pPr>
          </w:p>
          <w:p>
            <w:pPr>
              <w:spacing w:before="0" w:beforeLines="0" w:after="0" w:afterLines="0" w:line="240" w:lineRule="auto"/>
              <w:ind w:left="0" w:leftChars="0" w:right="0" w:rightChars="0" w:firstLine="0" w:firstLineChars="0"/>
              <w:jc w:val="both"/>
              <w:rPr>
                <w:rFonts w:hint="eastAsia" w:ascii="仿宋_GB2312" w:hAnsi="仿宋_GB2312" w:eastAsia="仿宋_GB2312" w:cs="仿宋_GB2312"/>
                <w:color w:val="auto"/>
                <w:sz w:val="32"/>
                <w:szCs w:val="40"/>
              </w:rPr>
            </w:pPr>
            <w:bookmarkStart w:id="0" w:name="_Toc7470_WPSOffice_Level1"/>
            <w:bookmarkStart w:id="1" w:name="_Toc5909_WPSOffice_Level1"/>
          </w:p>
          <w:p>
            <w:pPr>
              <w:pStyle w:val="5"/>
              <w:rPr>
                <w:rFonts w:hint="eastAsia" w:ascii="仿宋_GB2312" w:hAnsi="仿宋_GB2312" w:eastAsia="仿宋_GB2312" w:cs="仿宋_GB2312"/>
                <w:color w:val="auto"/>
                <w:sz w:val="32"/>
                <w:szCs w:val="40"/>
              </w:rPr>
            </w:pPr>
          </w:p>
          <w:p>
            <w:pPr>
              <w:rPr>
                <w:rFonts w:hint="eastAsia" w:ascii="仿宋_GB2312" w:hAnsi="仿宋_GB2312" w:eastAsia="仿宋_GB2312" w:cs="仿宋_GB2312"/>
                <w:color w:val="auto"/>
                <w:sz w:val="32"/>
                <w:szCs w:val="40"/>
              </w:rPr>
            </w:pPr>
          </w:p>
          <w:p>
            <w:pPr>
              <w:rPr>
                <w:rFonts w:hint="eastAsia" w:ascii="仿宋_GB2312" w:hAnsi="仿宋_GB2312" w:eastAsia="仿宋_GB2312" w:cs="仿宋_GB2312"/>
              </w:rPr>
            </w:pPr>
          </w:p>
          <w:bookmarkEnd w:id="0"/>
          <w:bookmarkEnd w:id="1"/>
          <w:p>
            <w:pPr>
              <w:pStyle w:val="5"/>
              <w:keepNext w:val="0"/>
              <w:keepLines w:val="0"/>
              <w:pageBreakBefore w:val="0"/>
              <w:widowControl w:val="0"/>
              <w:kinsoku/>
              <w:wordWrap/>
              <w:overflowPunct/>
              <w:topLinePunct w:val="0"/>
              <w:autoSpaceDE/>
              <w:autoSpaceDN/>
              <w:bidi w:val="0"/>
              <w:adjustRightInd/>
              <w:snapToGrid/>
              <w:spacing w:line="120" w:lineRule="exact"/>
              <w:textAlignment w:val="center"/>
              <w:rPr>
                <w:rFonts w:hint="eastAsia" w:ascii="仿宋_GB2312" w:hAnsi="仿宋_GB2312" w:eastAsia="仿宋_GB2312" w:cs="仿宋_GB2312"/>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bookmarkStart w:id="2" w:name="_Toc18334"/>
            <w:bookmarkStart w:id="3" w:name="_Toc2245"/>
            <w:bookmarkStart w:id="4" w:name="_Toc4013"/>
            <w:bookmarkStart w:id="5" w:name="_Toc9525"/>
            <w:bookmarkStart w:id="6" w:name="_Toc13153"/>
            <w:bookmarkStart w:id="7" w:name="_Toc6314"/>
            <w:bookmarkStart w:id="8" w:name="_Toc30335"/>
            <w:bookmarkStart w:id="9" w:name="_Toc23411"/>
            <w:bookmarkStart w:id="10" w:name="_Toc16913"/>
            <w:bookmarkStart w:id="11" w:name="_Toc11301"/>
            <w:r>
              <w:rPr>
                <w:rFonts w:hint="eastAsia" w:ascii="仿宋_GB2312" w:hAnsi="仿宋_GB2312" w:eastAsia="仿宋_GB2312" w:cs="仿宋_GB2312"/>
                <w:b/>
                <w:bCs/>
                <w:color w:val="auto"/>
                <w:sz w:val="32"/>
                <w:szCs w:val="40"/>
                <w:lang w:val="en-US" w:eastAsia="zh-CN"/>
              </w:rPr>
              <w:t>一、项目概况</w:t>
            </w:r>
            <w:bookmarkEnd w:id="2"/>
            <w:bookmarkEnd w:id="3"/>
            <w:bookmarkEnd w:id="4"/>
            <w:bookmarkEnd w:id="5"/>
            <w:bookmarkEnd w:id="6"/>
            <w:bookmarkEnd w:id="7"/>
            <w:bookmarkEnd w:id="8"/>
            <w:bookmarkEnd w:id="9"/>
            <w:bookmarkEnd w:id="10"/>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12" w:name="_Toc22453"/>
            <w:bookmarkStart w:id="13" w:name="_Toc24784"/>
            <w:bookmarkStart w:id="14" w:name="_Toc32742"/>
            <w:bookmarkStart w:id="15" w:name="_Toc937"/>
            <w:bookmarkStart w:id="16" w:name="_Toc15831"/>
            <w:bookmarkStart w:id="17" w:name="_Toc30895"/>
            <w:bookmarkStart w:id="18" w:name="_Toc23957"/>
            <w:bookmarkStart w:id="19" w:name="_Toc19963"/>
            <w:bookmarkStart w:id="20" w:name="_Toc19370"/>
            <w:bookmarkStart w:id="21" w:name="_Toc22285"/>
            <w:r>
              <w:rPr>
                <w:rFonts w:hint="eastAsia" w:ascii="仿宋_GB2312" w:hAnsi="仿宋_GB2312" w:eastAsia="仿宋_GB2312" w:cs="仿宋_GB2312"/>
                <w:color w:val="auto"/>
                <w:sz w:val="32"/>
                <w:szCs w:val="40"/>
                <w:lang w:val="en-US" w:eastAsia="zh-CN"/>
              </w:rPr>
              <w:t>（一）项目单位基本情况</w:t>
            </w:r>
            <w:bookmarkEnd w:id="12"/>
            <w:bookmarkEnd w:id="13"/>
            <w:bookmarkEnd w:id="14"/>
            <w:bookmarkEnd w:id="15"/>
            <w:bookmarkEnd w:id="16"/>
            <w:bookmarkEnd w:id="17"/>
            <w:bookmarkEnd w:id="18"/>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22" w:name="_Toc8843"/>
            <w:bookmarkStart w:id="23" w:name="_Toc15167"/>
            <w:bookmarkStart w:id="24" w:name="_Toc29308"/>
            <w:r>
              <w:rPr>
                <w:rFonts w:hint="eastAsia" w:ascii="仿宋_GB2312" w:hAnsi="仿宋_GB2312" w:eastAsia="仿宋_GB2312" w:cs="仿宋_GB2312"/>
                <w:color w:val="auto"/>
                <w:sz w:val="32"/>
                <w:szCs w:val="40"/>
                <w:lang w:val="en-US" w:eastAsia="zh-CN"/>
              </w:rPr>
              <w:t>巨鹿县交通运输局，负责人：王会忠，统一社会信用代码11130529000221583K，机构性质：机关，机构地址：河北省邢台市巨鹿县黄巾大道北侧。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（二）项目基本情况</w:t>
            </w:r>
            <w:bookmarkEnd w:id="22"/>
            <w:bookmarkEnd w:id="23"/>
            <w:bookmarkEnd w:id="24"/>
          </w:p>
          <w:p>
            <w:pPr>
              <w:keepNext w:val="0"/>
              <w:keepLines w:val="0"/>
              <w:pageBreakBefore w:val="0"/>
              <w:widowControl w:val="0"/>
              <w:numPr>
                <w:ilvl w:val="0"/>
                <w:numId w:val="0"/>
              </w:numPr>
              <w:kinsoku/>
              <w:wordWrap/>
              <w:overflowPunct/>
              <w:topLinePunct w:val="0"/>
              <w:autoSpaceDE/>
              <w:autoSpaceDN/>
              <w:bidi w:val="0"/>
              <w:adjustRightInd/>
              <w:snapToGrid/>
              <w:ind w:leftChars="100" w:right="0" w:rightChars="0" w:firstLine="640" w:firstLineChars="200"/>
              <w:jc w:val="both"/>
              <w:textAlignment w:val="auto"/>
              <w:rPr>
                <w:rFonts w:hint="default" w:ascii="仿宋" w:hAnsi="仿宋" w:eastAsia="仿宋" w:cs="仿宋"/>
                <w:sz w:val="32"/>
                <w:szCs w:val="32"/>
                <w:lang w:val="en-US" w:eastAsia="zh-CN"/>
              </w:rPr>
            </w:pPr>
            <w:bookmarkStart w:id="25" w:name="_Toc32656"/>
            <w:bookmarkStart w:id="26" w:name="_Toc26594"/>
            <w:bookmarkStart w:id="27" w:name="_Toc27552"/>
            <w:bookmarkStart w:id="28" w:name="_Toc24191"/>
            <w:bookmarkStart w:id="29" w:name="_Toc12860"/>
            <w:bookmarkStart w:id="30" w:name="_Toc28908"/>
            <w:bookmarkStart w:id="31" w:name="_Toc6781"/>
            <w:bookmarkStart w:id="32" w:name="_Toc7839"/>
            <w:bookmarkStart w:id="33" w:name="_Toc14644"/>
            <w:bookmarkStart w:id="34" w:name="_Toc17782"/>
            <w:bookmarkStart w:id="35" w:name="_Toc18992"/>
            <w:bookmarkStart w:id="36" w:name="_Toc26109"/>
            <w:bookmarkStart w:id="37" w:name="_Toc2988"/>
            <w:bookmarkStart w:id="38" w:name="_Toc4859"/>
            <w:r>
              <w:rPr>
                <w:rFonts w:hint="eastAsia" w:ascii="仿宋" w:hAnsi="仿宋" w:eastAsia="仿宋" w:cs="仿宋"/>
                <w:sz w:val="32"/>
                <w:szCs w:val="32"/>
                <w:lang w:val="en-US" w:eastAsia="zh-CN"/>
              </w:rPr>
              <w:t>巨鹿县2023年“四好农村路”提升工程，项目涉及翻新改造农村公路10条，全长22.1公里；拆除并新建桥梁1座，桥长20米，宽8米；道路两侧安装护栏，设置交通标志、标线等，路线全长3公里。该项目于</w:t>
            </w:r>
            <w:r>
              <w:rPr>
                <w:rFonts w:hint="eastAsia" w:ascii="仿宋_GB2312" w:hAnsi="仿宋_GB2312" w:eastAsia="仿宋_GB2312" w:cs="仿宋_GB2312"/>
                <w:sz w:val="32"/>
                <w:szCs w:val="32"/>
                <w:lang w:val="en-US" w:eastAsia="zh-CN"/>
              </w:rPr>
              <w:t>2023年5月开工建设，现已完工。</w:t>
            </w:r>
            <w:r>
              <w:rPr>
                <w:rFonts w:hint="eastAsia" w:ascii="仿宋" w:hAnsi="仿宋" w:eastAsia="仿宋" w:cs="仿宋"/>
                <w:sz w:val="32"/>
                <w:szCs w:val="32"/>
                <w:lang w:val="en-US" w:eastAsia="zh-CN"/>
              </w:rPr>
              <w:t>施工图预算建安费3931.93万元，已支付2878万元。</w:t>
            </w:r>
          </w:p>
          <w:bookmarkEnd w:id="25"/>
          <w:bookmarkEnd w:id="26"/>
          <w:bookmarkEnd w:id="27"/>
          <w:bookmarkEnd w:id="28"/>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r>
              <w:rPr>
                <w:rFonts w:hint="eastAsia" w:ascii="仿宋_GB2312" w:hAnsi="仿宋_GB2312" w:eastAsia="仿宋_GB2312" w:cs="仿宋_GB2312"/>
                <w:b/>
                <w:bCs/>
                <w:color w:val="auto"/>
                <w:sz w:val="32"/>
                <w:szCs w:val="40"/>
                <w:lang w:val="en-US" w:eastAsia="zh-CN"/>
              </w:rPr>
              <w:t>二、项目实施情况</w:t>
            </w:r>
            <w:bookmarkEnd w:id="29"/>
            <w:bookmarkEnd w:id="30"/>
            <w:bookmarkEnd w:id="31"/>
            <w:bookmarkEnd w:id="32"/>
            <w:bookmarkEnd w:id="33"/>
            <w:bookmarkEnd w:id="34"/>
            <w:bookmarkEnd w:id="35"/>
            <w:bookmarkEnd w:id="36"/>
            <w:bookmarkEnd w:id="37"/>
            <w:bookmarkEnd w:id="38"/>
          </w:p>
          <w:p>
            <w:pPr>
              <w:keepNext w:val="0"/>
              <w:keepLines w:val="0"/>
              <w:pageBreakBefore w:val="0"/>
              <w:tabs>
                <w:tab w:val="left" w:pos="7080"/>
              </w:tabs>
              <w:kinsoku/>
              <w:wordWrap/>
              <w:overflowPunct/>
              <w:topLinePunct w:val="0"/>
              <w:autoSpaceDE/>
              <w:autoSpaceDN/>
              <w:bidi w:val="0"/>
              <w:adjustRightInd/>
              <w:snapToGrid/>
              <w:spacing w:line="600"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（一）、资金投入情况</w:t>
            </w:r>
          </w:p>
          <w:p>
            <w:pPr>
              <w:keepNext w:val="0"/>
              <w:keepLines w:val="0"/>
              <w:pageBreakBefore w:val="0"/>
              <w:widowControl w:val="0"/>
              <w:numPr>
                <w:ilvl w:val="0"/>
                <w:numId w:val="0"/>
              </w:numPr>
              <w:kinsoku/>
              <w:wordWrap/>
              <w:overflowPunct/>
              <w:topLinePunct w:val="0"/>
              <w:autoSpaceDE/>
              <w:autoSpaceDN/>
              <w:bidi w:val="0"/>
              <w:adjustRightInd/>
              <w:snapToGrid/>
              <w:ind w:leftChars="100" w:right="0" w:rightChars="0"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 w:hAnsi="仿宋" w:eastAsia="仿宋" w:cs="仿宋"/>
                <w:sz w:val="32"/>
                <w:szCs w:val="32"/>
                <w:lang w:val="en-US" w:eastAsia="zh-CN"/>
              </w:rPr>
              <w:t>巨鹿县2023年“四好农村路”提升工程截止目前已支付2878万元，其中2023年支付705万元</w:t>
            </w:r>
            <w:r>
              <w:rPr>
                <w:rFonts w:hint="eastAsia" w:ascii="仿宋_GB2312" w:hAnsi="仿宋_GB2312" w:eastAsia="仿宋_GB2312" w:cs="仿宋_GB2312"/>
                <w:kern w:val="2"/>
                <w:sz w:val="32"/>
                <w:szCs w:val="32"/>
                <w:lang w:val="en-US" w:eastAsia="zh-CN"/>
              </w:rPr>
              <w:t>，具体为：</w:t>
            </w:r>
          </w:p>
          <w:p>
            <w:pPr>
              <w:keepNext w:val="0"/>
              <w:keepLines w:val="0"/>
              <w:pageBreakBefore w:val="0"/>
              <w:widowControl w:val="0"/>
              <w:numPr>
                <w:ilvl w:val="0"/>
                <w:numId w:val="1"/>
              </w:numPr>
              <w:kinsoku/>
              <w:wordWrap/>
              <w:overflowPunct/>
              <w:topLinePunct w:val="0"/>
              <w:autoSpaceDE/>
              <w:autoSpaceDN/>
              <w:bidi w:val="0"/>
              <w:adjustRightInd/>
              <w:snapToGrid/>
              <w:ind w:leftChars="100" w:right="0" w:rightChars="0"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农村公路建设改造资金573</w:t>
            </w:r>
            <w:r>
              <w:rPr>
                <w:rFonts w:hint="eastAsia" w:ascii="仿宋_GB2312" w:hAnsi="仿宋_GB2312" w:eastAsia="仿宋_GB2312" w:cs="仿宋_GB2312"/>
                <w:kern w:val="2"/>
                <w:sz w:val="32"/>
                <w:szCs w:val="32"/>
              </w:rPr>
              <w:t>万元</w:t>
            </w:r>
            <w:r>
              <w:rPr>
                <w:rFonts w:hint="eastAsia" w:ascii="仿宋_GB2312" w:hAnsi="仿宋_GB2312" w:eastAsia="仿宋_GB2312" w:cs="仿宋_GB2312"/>
                <w:kern w:val="2"/>
                <w:sz w:val="32"/>
                <w:szCs w:val="32"/>
                <w:lang w:eastAsia="zh-CN"/>
              </w:rPr>
              <w:t>（冀财建[2021]196号）</w:t>
            </w:r>
            <w:r>
              <w:rPr>
                <w:rFonts w:hint="eastAsia" w:ascii="仿宋_GB2312" w:hAnsi="仿宋_GB2312" w:eastAsia="仿宋_GB2312" w:cs="仿宋_GB2312"/>
                <w:kern w:val="2"/>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ind w:leftChars="100" w:right="0" w:rightChars="0"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中央车购税65万元（冀财建[2023]202号）</w:t>
            </w:r>
            <w:r>
              <w:rPr>
                <w:rFonts w:hint="eastAsia" w:ascii="仿宋_GB2312" w:hAnsi="仿宋_GB2312" w:eastAsia="仿宋_GB2312" w:cs="仿宋_GB2312"/>
                <w:kern w:val="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ind w:leftChars="100" w:right="0" w:rightChars="0"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中央车购税67万元（冀财建[2023]84号），</w:t>
            </w:r>
            <w:r>
              <w:rPr>
                <w:rFonts w:hint="eastAsia" w:ascii="仿宋_GB2312" w:hAnsi="仿宋_GB2312" w:eastAsia="仿宋_GB2312" w:cs="仿宋_GB2312"/>
                <w:kern w:val="2"/>
                <w:sz w:val="32"/>
                <w:szCs w:val="32"/>
                <w:lang w:eastAsia="zh-CN"/>
              </w:rPr>
              <w:t>资金拨付比例</w:t>
            </w:r>
            <w:r>
              <w:rPr>
                <w:rFonts w:hint="eastAsia" w:ascii="仿宋_GB2312" w:hAnsi="仿宋_GB2312" w:eastAsia="仿宋_GB2312" w:cs="仿宋_GB2312"/>
                <w:kern w:val="2"/>
                <w:sz w:val="32"/>
                <w:szCs w:val="32"/>
                <w:lang w:val="en-US" w:eastAsia="zh-CN"/>
              </w:rPr>
              <w:t>100%</w:t>
            </w:r>
            <w:r>
              <w:rPr>
                <w:rFonts w:hint="eastAsia" w:ascii="仿宋_GB2312" w:hAnsi="仿宋_GB2312" w:eastAsia="仿宋_GB2312" w:cs="仿宋_GB2312"/>
                <w:kern w:val="2"/>
                <w:sz w:val="32"/>
                <w:szCs w:val="32"/>
              </w:rPr>
              <w:t>。</w:t>
            </w:r>
          </w:p>
          <w:p>
            <w:pPr>
              <w:pStyle w:val="10"/>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、资金管理情况</w:t>
            </w:r>
          </w:p>
          <w:p>
            <w:pPr>
              <w:keepNext w:val="0"/>
              <w:keepLines w:val="0"/>
              <w:pageBreakBefore w:val="0"/>
              <w:widowControl w:val="0"/>
              <w:kinsoku/>
              <w:wordWrap/>
              <w:overflowPunct/>
              <w:topLinePunct w:val="0"/>
              <w:autoSpaceDE/>
              <w:autoSpaceDN/>
              <w:bidi w:val="0"/>
              <w:adjustRightInd/>
              <w:snapToGrid/>
              <w:spacing w:line="600" w:lineRule="exact"/>
              <w:ind w:firstLine="62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在资金使用中严格按照相关资金管理办法、制度执行，符合上级补助资金管理办法的有关规定。资金拨付有完整的审批程序和手续，符合项目预算批复的用途，未发现截留、挤占、挪用、虚假支出等情况。</w:t>
            </w:r>
          </w:p>
          <w:p>
            <w:pPr>
              <w:keepNext w:val="0"/>
              <w:keepLines w:val="0"/>
              <w:pageBreakBefore w:val="0"/>
              <w:widowControl w:val="0"/>
              <w:kinsoku/>
              <w:wordWrap/>
              <w:overflowPunct/>
              <w:topLinePunct w:val="0"/>
              <w:autoSpaceDE/>
              <w:autoSpaceDN/>
              <w:bidi w:val="0"/>
              <w:adjustRightInd/>
              <w:snapToGrid/>
              <w:spacing w:line="600" w:lineRule="exact"/>
              <w:ind w:firstLine="62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预算管理上我局绩效监控主要采取部门自行监控和财政重点监控两种方式。相关业务部门对绩效监控工作精心组织、周密部署，把绩效监控工作列入重要议事日程。根据财政局每月预算执行情况的通知，及时反馈到相关业务部门，对预算执行进度较慢的项目进行重点提示，加快项目开展，完成资金拨付和项目绩效目标执行。各业务部门加强沟通、协调和联系，密切配合，共同促进了绩效监控工作规范、有序、顺利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b/>
                <w:bCs/>
                <w:color w:val="auto"/>
                <w:sz w:val="32"/>
                <w:szCs w:val="40"/>
                <w:lang w:val="en-US" w:eastAsia="zh-CN"/>
              </w:rPr>
            </w:pPr>
            <w:bookmarkStart w:id="39" w:name="_Toc12150"/>
            <w:bookmarkStart w:id="40" w:name="_Toc26855"/>
            <w:bookmarkStart w:id="41" w:name="_Toc10651"/>
            <w:bookmarkStart w:id="42" w:name="_Toc20904"/>
            <w:bookmarkStart w:id="43" w:name="_Toc29800"/>
            <w:bookmarkStart w:id="44" w:name="_Toc21501"/>
            <w:bookmarkStart w:id="45" w:name="_Toc5215"/>
            <w:bookmarkStart w:id="46" w:name="_Toc5317"/>
            <w:bookmarkStart w:id="47" w:name="_Toc6451"/>
            <w:bookmarkStart w:id="48" w:name="_Toc18915"/>
            <w:r>
              <w:rPr>
                <w:rFonts w:hint="eastAsia" w:ascii="仿宋_GB2312" w:hAnsi="仿宋_GB2312" w:eastAsia="仿宋_GB2312" w:cs="仿宋_GB2312"/>
                <w:b/>
                <w:bCs/>
                <w:color w:val="auto"/>
                <w:sz w:val="32"/>
                <w:szCs w:val="40"/>
                <w:lang w:val="en-US" w:eastAsia="zh-CN"/>
              </w:rPr>
              <w:t>三、绩效评价工作情况</w:t>
            </w:r>
            <w:bookmarkEnd w:id="39"/>
            <w:bookmarkEnd w:id="40"/>
            <w:bookmarkEnd w:id="41"/>
            <w:bookmarkEnd w:id="42"/>
            <w:bookmarkEnd w:id="43"/>
            <w:bookmarkEnd w:id="44"/>
            <w:bookmarkEnd w:id="45"/>
            <w:bookmarkEnd w:id="46"/>
            <w:bookmarkEnd w:id="47"/>
            <w:bookmarkEnd w:id="4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b w:val="0"/>
                <w:bCs w:val="0"/>
                <w:color w:val="auto"/>
                <w:sz w:val="32"/>
                <w:szCs w:val="40"/>
                <w:lang w:val="en-US" w:eastAsia="zh-CN"/>
              </w:rPr>
            </w:pPr>
            <w:bookmarkStart w:id="49" w:name="_Toc25600"/>
            <w:bookmarkStart w:id="50" w:name="_Toc17355"/>
            <w:bookmarkStart w:id="51" w:name="_Toc22771"/>
            <w:bookmarkStart w:id="52" w:name="_Toc8077"/>
            <w:bookmarkStart w:id="53" w:name="_Toc4056"/>
            <w:bookmarkStart w:id="54" w:name="_Toc23608"/>
            <w:bookmarkStart w:id="55" w:name="_Toc5105"/>
            <w:bookmarkStart w:id="56" w:name="_Toc7570"/>
            <w:bookmarkStart w:id="57" w:name="_Toc15730"/>
            <w:bookmarkStart w:id="58" w:name="_Toc14742"/>
            <w:r>
              <w:rPr>
                <w:rFonts w:hint="eastAsia" w:ascii="仿宋_GB2312" w:hAnsi="仿宋_GB2312" w:eastAsia="仿宋_GB2312" w:cs="仿宋_GB2312"/>
                <w:b w:val="0"/>
                <w:bCs w:val="0"/>
                <w:color w:val="auto"/>
                <w:sz w:val="32"/>
                <w:szCs w:val="40"/>
                <w:lang w:val="en-US" w:eastAsia="zh-CN"/>
              </w:rPr>
              <w:t>（一）评价目的</w:t>
            </w:r>
            <w:bookmarkEnd w:id="49"/>
            <w:bookmarkEnd w:id="50"/>
            <w:bookmarkEnd w:id="51"/>
            <w:bookmarkEnd w:id="52"/>
            <w:bookmarkEnd w:id="53"/>
            <w:bookmarkEnd w:id="54"/>
            <w:bookmarkEnd w:id="55"/>
            <w:bookmarkEnd w:id="56"/>
            <w:bookmarkEnd w:id="57"/>
            <w:bookmarkEnd w:id="5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highlight w:val="none"/>
                <w:lang w:val="en-US" w:eastAsia="zh-CN"/>
              </w:rPr>
            </w:pPr>
            <w:bookmarkStart w:id="59" w:name="_Toc16121"/>
            <w:bookmarkStart w:id="60" w:name="_Toc22727"/>
            <w:bookmarkStart w:id="61" w:name="_Toc30351"/>
            <w:bookmarkStart w:id="62" w:name="_Toc27346"/>
            <w:bookmarkStart w:id="63" w:name="_Toc18502"/>
            <w:bookmarkStart w:id="64" w:name="_Toc25746"/>
            <w:bookmarkStart w:id="65" w:name="_Toc16971"/>
            <w:bookmarkStart w:id="66" w:name="_Toc8288"/>
            <w:bookmarkStart w:id="67" w:name="_Toc3910"/>
            <w:bookmarkStart w:id="68" w:name="_Toc27199"/>
            <w:r>
              <w:rPr>
                <w:rFonts w:hint="eastAsia" w:ascii="仿宋_GB2312" w:hAnsi="仿宋_GB2312" w:eastAsia="仿宋_GB2312" w:cs="仿宋_GB2312"/>
                <w:color w:val="auto"/>
                <w:sz w:val="32"/>
                <w:szCs w:val="40"/>
                <w:highlight w:val="none"/>
                <w:lang w:val="en-US" w:eastAsia="zh-CN"/>
              </w:rPr>
              <w:t>绩效管理是政府改革的重要方向，财政支出绩效评价是建设效能、责任和廉洁政府的重要手段。为客观评价</w:t>
            </w:r>
            <w:r>
              <w:rPr>
                <w:rFonts w:hint="eastAsia" w:ascii="仿宋" w:hAnsi="仿宋" w:eastAsia="仿宋" w:cs="仿宋"/>
                <w:sz w:val="32"/>
                <w:szCs w:val="32"/>
                <w:lang w:val="en-US" w:eastAsia="zh-CN"/>
              </w:rPr>
              <w:t>巨鹿县2023年“四好农村路”提升工程</w:t>
            </w:r>
            <w:r>
              <w:rPr>
                <w:rFonts w:hint="eastAsia" w:ascii="仿宋_GB2312" w:hAnsi="仿宋_GB2312" w:eastAsia="仿宋_GB2312" w:cs="仿宋_GB2312"/>
                <w:color w:val="auto"/>
                <w:sz w:val="32"/>
                <w:szCs w:val="40"/>
                <w:highlight w:val="none"/>
                <w:lang w:val="en-US" w:eastAsia="zh-CN"/>
              </w:rPr>
              <w:t>绩效，结合项目特点，制定项目绩效评价指标体系，运用科学、规范的评价方法，客观地对项目进行综合性评价，剖析该项目支出在预算、管理及项目实施过程中存在的问题，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（二）评价指标</w:t>
            </w:r>
            <w:bookmarkEnd w:id="59"/>
            <w:bookmarkEnd w:id="60"/>
            <w:bookmarkEnd w:id="61"/>
            <w:bookmarkEnd w:id="62"/>
            <w:bookmarkEnd w:id="63"/>
            <w:bookmarkEnd w:id="64"/>
            <w:bookmarkEnd w:id="65"/>
            <w:bookmarkEnd w:id="66"/>
            <w:bookmarkEnd w:id="67"/>
            <w:bookmarkEnd w:id="6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69" w:name="_Toc19068"/>
            <w:bookmarkStart w:id="70" w:name="_Toc23270"/>
            <w:bookmarkStart w:id="71" w:name="_Toc12572"/>
            <w:bookmarkStart w:id="72" w:name="_Toc11684"/>
            <w:bookmarkStart w:id="73" w:name="_Toc5304"/>
            <w:bookmarkStart w:id="74" w:name="_Toc32306"/>
            <w:bookmarkStart w:id="75" w:name="_Toc25343"/>
            <w:bookmarkStart w:id="76" w:name="_Toc19154"/>
            <w:bookmarkStart w:id="77" w:name="_Toc32241"/>
            <w:bookmarkStart w:id="78" w:name="_Toc5587"/>
            <w:r>
              <w:rPr>
                <w:rFonts w:hint="eastAsia" w:ascii="仿宋_GB2312" w:hAnsi="仿宋_GB2312" w:eastAsia="仿宋_GB2312" w:cs="仿宋_GB2312"/>
                <w:color w:val="auto"/>
                <w:sz w:val="32"/>
                <w:szCs w:val="40"/>
                <w:lang w:val="en-US" w:eastAsia="zh-CN"/>
              </w:rPr>
              <w:t>根据项目相关性、重要性，可比性、经济性、系统性原则，结合财政支出项目绩效评价的相关要求设立相应的指标，并分配相应的权重(分值）。本项目评价指标拟设置5个一级指标(项目设置、项目管理、项目产出、项目效益、项目效果）；11个二级指标（项目立项、绩效自评情况、资金管理、项目管理、数量指标、质量指标、时效指标、成本指标、经济效益指标、社会效益指标、满意度)；根据项目实施具体情况，共设置16个三级指标。本项目绩效评价以100分计，项目设置、项目管理、项目产出、项目效益、项目效果5个一级指标分别权重为：20%，20%，20%，20%，20%。（1）共性指标是对项目设置、项目管理进行评价，包括项目立项、绩效自评情况、资金管理、项目管理4个二级指标，分值分别为10分、10分、12分、8分，共40分；设置三级指标9个。充分反映实施部门项目立项、绩效自评情况、预算调整、资金管理等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(2)个性指标是对项目产出、项目效益、项目效果情况进行评价，共设置产出数量、产出质量、产出成本、产出时效、社会效益、经济效益、满意度7个二级指标，分别占5分、5分、5分、5分、10分、10分、20分，共60分；设置三级指标7个，能够充分地反映出工作活动产出数量、质量、成本、时效、社会效益、经济效益及群众满意度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（三）评价依据</w:t>
            </w:r>
            <w:bookmarkEnd w:id="69"/>
            <w:bookmarkEnd w:id="70"/>
            <w:bookmarkEnd w:id="71"/>
            <w:bookmarkEnd w:id="72"/>
            <w:bookmarkEnd w:id="73"/>
            <w:bookmarkEnd w:id="74"/>
            <w:bookmarkEnd w:id="75"/>
            <w:bookmarkEnd w:id="76"/>
            <w:bookmarkEnd w:id="77"/>
            <w:bookmarkEnd w:id="7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bookmarkStart w:id="79" w:name="_Toc1868"/>
            <w:bookmarkStart w:id="80" w:name="_Toc13179"/>
            <w:bookmarkStart w:id="81" w:name="_Toc24302"/>
            <w:bookmarkStart w:id="82" w:name="_Toc26780"/>
            <w:bookmarkStart w:id="83" w:name="_Toc22038"/>
            <w:bookmarkStart w:id="84" w:name="_Toc11243"/>
            <w:bookmarkStart w:id="85" w:name="_Toc12940"/>
            <w:bookmarkStart w:id="86" w:name="_Toc6747"/>
            <w:bookmarkStart w:id="87" w:name="_Toc7393"/>
            <w:bookmarkStart w:id="88" w:name="_Toc9401"/>
            <w:r>
              <w:rPr>
                <w:rFonts w:hint="eastAsia" w:ascii="仿宋_GB2312" w:hAnsi="仿宋_GB2312" w:eastAsia="仿宋_GB2312" w:cs="仿宋_GB2312"/>
                <w:color w:val="auto"/>
                <w:sz w:val="32"/>
                <w:szCs w:val="40"/>
                <w:lang w:val="en-US" w:eastAsia="zh-CN"/>
              </w:rPr>
              <w:t>1.《中华人民共和国预算法》；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2.《中华人民共和国会计法》；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3.《中华人民共和国政府采购法》；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4.《财政部关于印发〈项目支出绩效评价管理办法〉的通知》（财预（2020）10号）；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5.《中共中央国务院关于全面实施预算绩效管理的意见》（中发（2018）34号）；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6.《中共河北省委河北省人民政府关于全面实施预算绩效管理的实施意见》（冀发（2018）54号）；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7.《中共邢台市委、市政府关于全面落实预算绩效管理的实施意见》（邢发（2019）17号）；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8.《邢台市市级财政重点绩效评价管理办法》(邢市财预（2019）76号）；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9.项目其他相关依据。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（四）评价的主要方法及等级设定</w:t>
            </w:r>
            <w:bookmarkEnd w:id="79"/>
            <w:bookmarkEnd w:id="80"/>
            <w:bookmarkEnd w:id="81"/>
            <w:bookmarkEnd w:id="82"/>
            <w:bookmarkEnd w:id="83"/>
            <w:bookmarkEnd w:id="84"/>
            <w:bookmarkEnd w:id="85"/>
            <w:bookmarkEnd w:id="86"/>
            <w:bookmarkEnd w:id="87"/>
            <w:bookmarkEnd w:id="8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val="en-US" w:eastAsia="zh-CN"/>
              </w:rPr>
              <w:t>根据《财政部关于印发〈项目支出绩效评价管理办法〉的通知》（财预（2020）10号），财政和部门评价的方法主要包括比较分析法、因素分析法、公众评判法、成本效益分析法等。根据评价对象的具体情况，采用多种方法，采取定量与定性相结合进行评价并计算综合得分。评价结果分为A、B、C、D四个等级，根据各项指标得分合计分数，确定综合评价等级。具体如下：</w:t>
            </w:r>
          </w:p>
          <w:p>
            <w:pPr>
              <w:pStyle w:val="10"/>
              <w:rPr>
                <w:rFonts w:hint="eastAsia"/>
                <w:lang w:val="en-US" w:eastAsia="zh-CN"/>
              </w:rPr>
            </w:pPr>
          </w:p>
          <w:tbl>
            <w:tblPr>
              <w:tblStyle w:val="9"/>
              <w:tblW w:w="8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800"/>
              <w:gridCol w:w="1726"/>
              <w:gridCol w:w="1793"/>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7" w:type="dxa"/>
                </w:tcPr>
                <w:p>
                  <w:pPr>
                    <w:pStyle w:val="10"/>
                    <w:ind w:left="0" w:leftChars="0" w:firstLine="280" w:firstLineChars="100"/>
                    <w:jc w:val="both"/>
                    <w:rPr>
                      <w:rFonts w:hint="default" w:ascii="仿宋_GB2312" w:hAnsi="仿宋_GB2312" w:eastAsia="仿宋_GB2312" w:cs="仿宋_GB2312"/>
                      <w:color w:val="auto"/>
                      <w:sz w:val="32"/>
                      <w:szCs w:val="40"/>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w:t>
                  </w:r>
                </w:p>
              </w:tc>
              <w:tc>
                <w:tcPr>
                  <w:tcW w:w="1800"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A</w:t>
                  </w:r>
                </w:p>
              </w:tc>
              <w:tc>
                <w:tcPr>
                  <w:tcW w:w="1726"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B</w:t>
                  </w:r>
                </w:p>
              </w:tc>
              <w:tc>
                <w:tcPr>
                  <w:tcW w:w="1793"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C</w:t>
                  </w:r>
                </w:p>
              </w:tc>
              <w:tc>
                <w:tcPr>
                  <w:tcW w:w="1530" w:type="dxa"/>
                </w:tcPr>
                <w:p>
                  <w:pPr>
                    <w:pStyle w:val="10"/>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1457" w:type="dxa"/>
                </w:tcPr>
                <w:p>
                  <w:pPr>
                    <w:pStyle w:val="10"/>
                    <w:ind w:left="0" w:leftChars="0" w:firstLine="280" w:firstLineChars="100"/>
                    <w:rPr>
                      <w:rFonts w:hint="default" w:ascii="仿宋_GB2312" w:hAnsi="仿宋_GB2312" w:eastAsia="仿宋_GB2312" w:cs="仿宋_GB2312"/>
                      <w:color w:val="auto"/>
                      <w:sz w:val="32"/>
                      <w:szCs w:val="40"/>
                      <w:vertAlign w:val="baseline"/>
                      <w:lang w:val="en-US" w:eastAsia="zh-CN"/>
                    </w:rPr>
                  </w:pPr>
                  <w:r>
                    <w:rPr>
                      <w:rFonts w:hint="eastAsia" w:ascii="仿宋_GB2312" w:hAnsi="仿宋_GB2312" w:eastAsia="仿宋_GB2312" w:cs="仿宋_GB2312"/>
                      <w:color w:val="auto"/>
                      <w:sz w:val="28"/>
                      <w:szCs w:val="28"/>
                      <w:vertAlign w:val="baseline"/>
                      <w:lang w:val="en-US" w:eastAsia="zh-CN"/>
                    </w:rPr>
                    <w:t>分值</w:t>
                  </w:r>
                </w:p>
              </w:tc>
              <w:tc>
                <w:tcPr>
                  <w:tcW w:w="1800" w:type="dxa"/>
                  <w:vAlign w:val="center"/>
                </w:tcPr>
                <w:p>
                  <w:pPr>
                    <w:pStyle w:val="10"/>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≧90分</w:t>
                  </w:r>
                </w:p>
              </w:tc>
              <w:tc>
                <w:tcPr>
                  <w:tcW w:w="1726" w:type="dxa"/>
                  <w:vAlign w:val="center"/>
                </w:tcPr>
                <w:p>
                  <w:pPr>
                    <w:pStyle w:val="10"/>
                    <w:ind w:left="0" w:leftChars="0" w:firstLine="0" w:firstLineChars="0"/>
                    <w:jc w:val="center"/>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≥80分，＜90分</w:t>
                  </w:r>
                </w:p>
              </w:tc>
              <w:tc>
                <w:tcPr>
                  <w:tcW w:w="1793" w:type="dxa"/>
                  <w:vAlign w:val="center"/>
                </w:tcPr>
                <w:p>
                  <w:pPr>
                    <w:bidi w:val="0"/>
                    <w:jc w:val="center"/>
                    <w:rPr>
                      <w:rFonts w:hint="eastAsia" w:ascii="仿宋" w:hAnsi="仿宋" w:eastAsia="仿宋" w:cs="仿宋"/>
                      <w:lang w:val="en-US" w:eastAsia="zh-CN"/>
                    </w:rPr>
                  </w:pPr>
                  <w:r>
                    <w:rPr>
                      <w:rFonts w:hint="eastAsia" w:ascii="仿宋" w:hAnsi="仿宋" w:eastAsia="仿宋" w:cs="仿宋"/>
                      <w:lang w:val="en-US" w:eastAsia="zh-CN"/>
                    </w:rPr>
                    <w:t>≥60分，＜80分</w:t>
                  </w:r>
                </w:p>
              </w:tc>
              <w:tc>
                <w:tcPr>
                  <w:tcW w:w="1530" w:type="dxa"/>
                  <w:vAlign w:val="center"/>
                </w:tcPr>
                <w:p>
                  <w:pPr>
                    <w:pStyle w:val="10"/>
                    <w:ind w:left="0" w:leftChars="0" w:firstLine="0" w:firstLineChars="0"/>
                    <w:jc w:val="center"/>
                    <w:rPr>
                      <w:rFonts w:hint="eastAsia" w:ascii="仿宋" w:hAnsi="仿宋" w:eastAsia="仿宋" w:cs="仿宋"/>
                      <w:color w:val="auto"/>
                      <w:sz w:val="32"/>
                      <w:szCs w:val="40"/>
                      <w:vertAlign w:val="baseline"/>
                      <w:lang w:val="en-US" w:eastAsia="zh-CN"/>
                    </w:rPr>
                  </w:pPr>
                  <w:r>
                    <w:rPr>
                      <w:rFonts w:hint="eastAsia" w:ascii="仿宋" w:hAnsi="仿宋" w:eastAsia="仿宋" w:cs="仿宋"/>
                      <w:kern w:val="2"/>
                      <w:sz w:val="21"/>
                      <w:szCs w:val="24"/>
                      <w:lang w:val="en-US" w:eastAsia="zh-CN" w:bidi="ar-SA"/>
                    </w:rPr>
                    <w:t>&lt;60分</w:t>
                  </w:r>
                </w:p>
              </w:tc>
            </w:tr>
          </w:tbl>
          <w:p>
            <w:pPr>
              <w:pStyle w:val="10"/>
              <w:ind w:left="0" w:leftChars="0" w:firstLine="0" w:firstLineChars="0"/>
              <w:rPr>
                <w:rFonts w:hint="eastAsia" w:ascii="仿宋_GB2312" w:hAnsi="仿宋_GB2312" w:eastAsia="仿宋_GB2312" w:cs="仿宋_GB2312"/>
                <w:color w:val="auto"/>
                <w:sz w:val="32"/>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0"/>
              <w:rPr>
                <w:rFonts w:hint="eastAsia" w:ascii="仿宋_GB2312" w:hAnsi="仿宋_GB2312" w:eastAsia="仿宋_GB2312" w:cs="仿宋_GB2312"/>
                <w:lang w:val="en-US" w:eastAsia="zh-CN"/>
              </w:rPr>
            </w:pPr>
            <w:bookmarkStart w:id="89" w:name="_Toc20748"/>
            <w:bookmarkStart w:id="90" w:name="_Toc5623"/>
            <w:bookmarkStart w:id="91" w:name="_Toc21014"/>
            <w:bookmarkStart w:id="92" w:name="_Toc6105"/>
            <w:bookmarkStart w:id="93" w:name="_Toc18842"/>
            <w:bookmarkStart w:id="94" w:name="_Toc22222"/>
            <w:bookmarkStart w:id="95" w:name="_Toc28621"/>
            <w:bookmarkStart w:id="96" w:name="_Toc30508"/>
            <w:bookmarkStart w:id="97" w:name="_Toc17025"/>
            <w:bookmarkStart w:id="98" w:name="_Toc10113"/>
            <w:r>
              <w:rPr>
                <w:rFonts w:hint="eastAsia" w:ascii="仿宋_GB2312" w:hAnsi="仿宋_GB2312" w:eastAsia="仿宋_GB2312" w:cs="仿宋_GB2312"/>
                <w:b/>
                <w:bCs/>
                <w:color w:val="auto"/>
                <w:sz w:val="32"/>
                <w:szCs w:val="40"/>
                <w:lang w:val="en-US" w:eastAsia="zh-CN"/>
              </w:rPr>
              <w:t>四、绩效评价指标体系及得分情况</w:t>
            </w:r>
            <w:bookmarkEnd w:id="89"/>
            <w:bookmarkEnd w:id="90"/>
            <w:bookmarkEnd w:id="91"/>
            <w:bookmarkEnd w:id="92"/>
            <w:bookmarkEnd w:id="93"/>
            <w:bookmarkEnd w:id="94"/>
            <w:bookmarkEnd w:id="95"/>
            <w:bookmarkEnd w:id="96"/>
            <w:bookmarkEnd w:id="97"/>
            <w:bookmarkEnd w:id="98"/>
          </w:p>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重点绩效自评指标表</w:t>
            </w:r>
          </w:p>
        </w:tc>
      </w:tr>
      <w:tr>
        <w:tblPrEx>
          <w:tblLayout w:type="fixed"/>
          <w:tblCellMar>
            <w:top w:w="0" w:type="dxa"/>
            <w:left w:w="0" w:type="dxa"/>
            <w:bottom w:w="0" w:type="dxa"/>
            <w:right w:w="0" w:type="dxa"/>
          </w:tblCellMar>
        </w:tblPrEx>
        <w:trPr>
          <w:trHeight w:val="585" w:hRule="atLeast"/>
        </w:trPr>
        <w:tc>
          <w:tcPr>
            <w:tcW w:w="1611" w:type="dxa"/>
            <w:tcBorders>
              <w:top w:val="single" w:color="000000" w:sz="4" w:space="0"/>
              <w:left w:val="single" w:color="000000" w:sz="4" w:space="0"/>
              <w:bottom w:val="single" w:color="000000" w:sz="4" w:space="0"/>
              <w:right w:val="nil"/>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一级指标  </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二级指标</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 三级指标</w:t>
            </w:r>
          </w:p>
        </w:tc>
        <w:tc>
          <w:tcPr>
            <w:tcW w:w="759"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分值</w:t>
            </w:r>
          </w:p>
        </w:tc>
        <w:tc>
          <w:tcPr>
            <w:tcW w:w="3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指标说明</w:t>
            </w:r>
          </w:p>
        </w:tc>
        <w:tc>
          <w:tcPr>
            <w:tcW w:w="819"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得分</w:t>
            </w:r>
          </w:p>
        </w:tc>
      </w:tr>
      <w:tr>
        <w:tblPrEx>
          <w:tblLayout w:type="fixed"/>
          <w:tblCellMar>
            <w:top w:w="0" w:type="dxa"/>
            <w:left w:w="0" w:type="dxa"/>
            <w:bottom w:w="0" w:type="dxa"/>
            <w:right w:w="0" w:type="dxa"/>
          </w:tblCellMar>
        </w:tblPrEx>
        <w:trPr>
          <w:trHeight w:val="552" w:hRule="atLeast"/>
        </w:trPr>
        <w:tc>
          <w:tcPr>
            <w:tcW w:w="161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名称</w:t>
            </w:r>
          </w:p>
        </w:tc>
        <w:tc>
          <w:tcPr>
            <w:tcW w:w="7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c>
          <w:tcPr>
            <w:tcW w:w="3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c>
          <w:tcPr>
            <w:tcW w:w="819"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b/>
                <w:i w:val="0"/>
                <w:color w:val="000000"/>
                <w:sz w:val="24"/>
                <w:szCs w:val="24"/>
                <w:u w:val="none"/>
              </w:rPr>
            </w:pPr>
          </w:p>
        </w:tc>
      </w:tr>
      <w:tr>
        <w:tblPrEx>
          <w:tblLayout w:type="fixed"/>
          <w:tblCellMar>
            <w:top w:w="0" w:type="dxa"/>
            <w:left w:w="0" w:type="dxa"/>
            <w:bottom w:w="0" w:type="dxa"/>
            <w:right w:w="0" w:type="dxa"/>
          </w:tblCellMar>
        </w:tblPrEx>
        <w:trPr>
          <w:trHeight w:val="921" w:hRule="atLeast"/>
        </w:trPr>
        <w:tc>
          <w:tcPr>
            <w:tcW w:w="1611"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项目立项情况</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是否符合县政府经济和社会总体发展规划</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有县政府相关政策、规划、任务等文件得5分；无不得分。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1164"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项目活动与职责相关性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工作活动与部门职责、工作规划和重点工作相关，工作活动项下确定的预算项目合理，与工作活动密切相关，工作活动和项目预算安排合理，得5分；否则不得分。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r>
      <w:tr>
        <w:tblPrEx>
          <w:tblLayout w:type="fixed"/>
          <w:tblCellMar>
            <w:top w:w="0" w:type="dxa"/>
            <w:left w:w="0" w:type="dxa"/>
            <w:bottom w:w="0" w:type="dxa"/>
            <w:right w:w="0" w:type="dxa"/>
          </w:tblCellMar>
        </w:tblPrEx>
        <w:trPr>
          <w:trHeight w:val="564"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绩效自评情况</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项目设立绩效目标合理性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①是否将项目绩效目标细化分解为具体的绩效指标；</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②是否通过清晰、可衡量的指标值予以体现；</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③是否与项目年度任务数或计划数相对应；</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④是否与预算确定的项目投资额或资金量相匹配。</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缺少一项扣0.2分,扣完为止。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 xml:space="preserve"> 5</w:t>
            </w:r>
          </w:p>
        </w:tc>
      </w:tr>
      <w:tr>
        <w:tblPrEx>
          <w:tblLayout w:type="fixed"/>
          <w:tblCellMar>
            <w:top w:w="0" w:type="dxa"/>
            <w:left w:w="0" w:type="dxa"/>
            <w:bottom w:w="0" w:type="dxa"/>
            <w:right w:w="0" w:type="dxa"/>
          </w:tblCellMar>
        </w:tblPrEx>
        <w:trPr>
          <w:trHeight w:val="1460" w:hRule="atLeast"/>
        </w:trPr>
        <w:tc>
          <w:tcPr>
            <w:tcW w:w="1611"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自评报告情况</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是否有绩效评价报告，报告是否依据充分、内容真实完整；数据准确、分析透彻。每存在一项问题扣0.5分，扣完为止。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 xml:space="preserve"> 5</w:t>
            </w:r>
          </w:p>
        </w:tc>
      </w:tr>
      <w:tr>
        <w:tblPrEx>
          <w:tblLayout w:type="fixed"/>
          <w:tblCellMar>
            <w:top w:w="0" w:type="dxa"/>
            <w:left w:w="0" w:type="dxa"/>
            <w:bottom w:w="0" w:type="dxa"/>
            <w:right w:w="0" w:type="dxa"/>
          </w:tblCellMar>
        </w:tblPrEx>
        <w:trPr>
          <w:trHeight w:val="1308" w:hRule="atLeast"/>
        </w:trPr>
        <w:tc>
          <w:tcPr>
            <w:tcW w:w="1611"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资金管理</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预算调整率</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预算调整率=（预算调整数/预算数）×100%。预算调整率每大于1%扣0.1分，扣完为止。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r>
      <w:tr>
        <w:tblPrEx>
          <w:tblLayout w:type="fixed"/>
          <w:tblCellMar>
            <w:top w:w="0" w:type="dxa"/>
            <w:left w:w="0" w:type="dxa"/>
            <w:bottom w:w="0" w:type="dxa"/>
            <w:right w:w="0" w:type="dxa"/>
          </w:tblCellMar>
        </w:tblPrEx>
        <w:trPr>
          <w:trHeight w:val="1020" w:hRule="atLeast"/>
        </w:trPr>
        <w:tc>
          <w:tcPr>
            <w:tcW w:w="1611" w:type="dxa"/>
            <w:vMerge w:val="continue"/>
            <w:tcBorders>
              <w:top w:val="single" w:color="000000" w:sz="4" w:space="0"/>
              <w:left w:val="single" w:color="000000" w:sz="4" w:space="0"/>
              <w:bottom w:val="nil"/>
              <w:right w:val="single" w:color="000000" w:sz="4" w:space="0"/>
            </w:tcBorders>
            <w:shd w:val="clear" w:color="auto" w:fill="auto"/>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资金使用合规性</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项目资金使用是否符合国家财经法规及相关的财务管理制度规定，资金支出程序是否规范,报账手续是否齐全。每存在一项不合规问题扣0.5分，扣完为止。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r>
      <w:tr>
        <w:tblPrEx>
          <w:tblLayout w:type="fixed"/>
          <w:tblCellMar>
            <w:top w:w="0" w:type="dxa"/>
            <w:left w:w="0" w:type="dxa"/>
            <w:bottom w:w="0" w:type="dxa"/>
            <w:right w:w="0" w:type="dxa"/>
          </w:tblCellMar>
        </w:tblPrEx>
        <w:trPr>
          <w:trHeight w:val="1220" w:hRule="atLeast"/>
        </w:trPr>
        <w:tc>
          <w:tcPr>
            <w:tcW w:w="161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会计核算规范性</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会计核算是否符合《中华人民共和国会计法》、《政府会计制度》、《会计基础工作规范》等法律法规和相关制度规定。每存在一项不合规问题扣0.5分，扣完为止。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4 </w:t>
            </w:r>
          </w:p>
        </w:tc>
      </w:tr>
      <w:tr>
        <w:tblPrEx>
          <w:tblLayout w:type="fixed"/>
          <w:tblCellMar>
            <w:top w:w="0" w:type="dxa"/>
            <w:left w:w="0" w:type="dxa"/>
            <w:bottom w:w="0" w:type="dxa"/>
            <w:right w:w="0" w:type="dxa"/>
          </w:tblCellMar>
        </w:tblPrEx>
        <w:trPr>
          <w:trHeight w:val="1098" w:hRule="atLeast"/>
        </w:trPr>
        <w:tc>
          <w:tcPr>
            <w:tcW w:w="1611" w:type="dxa"/>
            <w:vMerge w:val="continue"/>
            <w:tcBorders>
              <w:top w:val="single" w:color="000000" w:sz="4" w:space="0"/>
              <w:left w:val="single" w:color="000000" w:sz="4" w:space="0"/>
              <w:bottom w:val="nil"/>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项目管理</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项目责任机制是否健全</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是否建立责任机制，项目管理和责任落实到有关人。每存在一项问题扣0.5分，扣完为止。</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4 </w:t>
            </w:r>
          </w:p>
        </w:tc>
      </w:tr>
      <w:tr>
        <w:tblPrEx>
          <w:tblLayout w:type="fixed"/>
          <w:tblCellMar>
            <w:top w:w="0" w:type="dxa"/>
            <w:left w:w="0" w:type="dxa"/>
            <w:bottom w:w="0" w:type="dxa"/>
            <w:right w:w="0" w:type="dxa"/>
          </w:tblCellMar>
        </w:tblPrEx>
        <w:trPr>
          <w:trHeight w:val="756" w:hRule="atLeast"/>
        </w:trPr>
        <w:tc>
          <w:tcPr>
            <w:tcW w:w="1611" w:type="dxa"/>
            <w:vMerge w:val="continue"/>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vMerge w:val="continue"/>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2083"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管理制度健全性</w:t>
            </w:r>
          </w:p>
        </w:tc>
        <w:tc>
          <w:tcPr>
            <w:tcW w:w="75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4</w:t>
            </w:r>
          </w:p>
        </w:tc>
        <w:tc>
          <w:tcPr>
            <w:tcW w:w="3600"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制定管理制度和措施（包括财务制度）是否明确、清晰、具有可操作性，能否保障工作活动顺利实施。每缺少一项制度扣0.2分，扣完为止。</w:t>
            </w:r>
          </w:p>
        </w:tc>
        <w:tc>
          <w:tcPr>
            <w:tcW w:w="819" w:type="dxa"/>
            <w:tcBorders>
              <w:top w:val="single" w:color="000000" w:sz="4" w:space="0"/>
              <w:left w:val="single" w:color="000000" w:sz="4" w:space="0"/>
              <w:bottom w:val="single" w:color="auto"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4 </w:t>
            </w:r>
          </w:p>
        </w:tc>
      </w:tr>
      <w:tr>
        <w:tblPrEx>
          <w:tblLayout w:type="fixed"/>
          <w:tblCellMar>
            <w:top w:w="0" w:type="dxa"/>
            <w:left w:w="0" w:type="dxa"/>
            <w:bottom w:w="0" w:type="dxa"/>
            <w:right w:w="0" w:type="dxa"/>
          </w:tblCellMar>
        </w:tblPrEx>
        <w:trPr>
          <w:trHeight w:val="1464" w:hRule="atLeast"/>
        </w:trPr>
        <w:tc>
          <w:tcPr>
            <w:tcW w:w="1611"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“工作活动”产出（20分）</w:t>
            </w: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数量指标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公路建设工程量（千米）</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建设公路公里数按照合同、可研批复、实施方案等里程要求数量完成，得该项的满分；未完全完成且无依据的不得分；未完全完成的，酌情扣1-2分。</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r>
      <w:tr>
        <w:tblPrEx>
          <w:tblLayout w:type="fixed"/>
          <w:tblCellMar>
            <w:top w:w="0" w:type="dxa"/>
            <w:left w:w="0" w:type="dxa"/>
            <w:bottom w:w="0" w:type="dxa"/>
            <w:right w:w="0" w:type="dxa"/>
          </w:tblCellMar>
        </w:tblPrEx>
        <w:trPr>
          <w:trHeight w:val="2099"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质量指标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项目验收合格</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工程项目验收报告具体完整，符合标准要求，验收合格率达100%的得满分，验收报告内容不够具体完整或未按照标准验收的，发现1项扣减1分，验收合格率每降低5%扣减1分，不足5%按5%计算，本项得分扣完为止。</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 xml:space="preserve"> 5</w:t>
            </w:r>
          </w:p>
        </w:tc>
      </w:tr>
      <w:tr>
        <w:tblPrEx>
          <w:tblLayout w:type="fixed"/>
          <w:tblCellMar>
            <w:top w:w="0" w:type="dxa"/>
            <w:left w:w="0" w:type="dxa"/>
            <w:bottom w:w="0" w:type="dxa"/>
            <w:right w:w="0" w:type="dxa"/>
          </w:tblCellMar>
        </w:tblPrEx>
        <w:trPr>
          <w:trHeight w:val="1176"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时效指标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工作任务及时完成率</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工程完工按照合同约定时间完成，存在延时的，每延迟1天扣减1分，本项得分扣完为止。</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5 </w:t>
            </w:r>
          </w:p>
        </w:tc>
      </w:tr>
      <w:tr>
        <w:tblPrEx>
          <w:tblLayout w:type="fixed"/>
          <w:tblCellMar>
            <w:top w:w="0" w:type="dxa"/>
            <w:left w:w="0" w:type="dxa"/>
            <w:bottom w:w="0" w:type="dxa"/>
            <w:right w:w="0" w:type="dxa"/>
          </w:tblCellMar>
        </w:tblPrEx>
        <w:trPr>
          <w:trHeight w:val="405" w:hRule="atLeast"/>
        </w:trPr>
        <w:tc>
          <w:tcPr>
            <w:tcW w:w="1611"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成本指标</w:t>
            </w:r>
          </w:p>
        </w:tc>
        <w:tc>
          <w:tcPr>
            <w:tcW w:w="2083"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项目投资完成情况</w:t>
            </w:r>
          </w:p>
        </w:tc>
        <w:tc>
          <w:tcPr>
            <w:tcW w:w="75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5</w:t>
            </w:r>
          </w:p>
        </w:tc>
        <w:tc>
          <w:tcPr>
            <w:tcW w:w="3600"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衡量实际成本支出较预算下降节约的比例，超过预算成本的，该项不得分。未超出的，得满分。</w:t>
            </w:r>
          </w:p>
        </w:tc>
        <w:tc>
          <w:tcPr>
            <w:tcW w:w="819" w:type="dxa"/>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5</w:t>
            </w:r>
          </w:p>
        </w:tc>
      </w:tr>
      <w:tr>
        <w:tblPrEx>
          <w:tblLayout w:type="fixed"/>
          <w:tblCellMar>
            <w:top w:w="0" w:type="dxa"/>
            <w:left w:w="0" w:type="dxa"/>
            <w:bottom w:w="0" w:type="dxa"/>
            <w:right w:w="0" w:type="dxa"/>
          </w:tblCellMar>
        </w:tblPrEx>
        <w:trPr>
          <w:trHeight w:val="1546" w:hRule="atLeast"/>
        </w:trPr>
        <w:tc>
          <w:tcPr>
            <w:tcW w:w="1611" w:type="dxa"/>
            <w:vMerge w:val="restart"/>
            <w:tcBorders>
              <w:top w:val="single" w:color="auto"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lang w:eastAsia="zh-CN"/>
              </w:rPr>
            </w:pPr>
            <w:r>
              <w:rPr>
                <w:rFonts w:hint="eastAsia" w:ascii="仿宋_GB2312" w:hAnsi="仿宋_GB2312" w:eastAsia="仿宋_GB2312" w:cs="仿宋_GB2312"/>
                <w:i w:val="0"/>
                <w:color w:val="000000"/>
                <w:kern w:val="0"/>
                <w:sz w:val="22"/>
                <w:szCs w:val="22"/>
                <w:u w:val="none"/>
                <w:lang w:val="en-US" w:eastAsia="zh-CN" w:bidi="ar"/>
              </w:rPr>
              <w:t>“工作活动”</w:t>
            </w:r>
            <w:r>
              <w:rPr>
                <w:rFonts w:hint="eastAsia" w:ascii="仿宋_GB2312" w:hAnsi="仿宋_GB2312" w:eastAsia="仿宋_GB2312" w:cs="仿宋_GB2312"/>
                <w:i w:val="0"/>
                <w:color w:val="000000"/>
                <w:sz w:val="22"/>
                <w:szCs w:val="22"/>
                <w:u w:val="none"/>
              </w:rPr>
              <w:t>效益</w:t>
            </w:r>
            <w:r>
              <w:rPr>
                <w:rFonts w:hint="eastAsia" w:ascii="仿宋_GB2312" w:hAnsi="仿宋_GB2312" w:eastAsia="仿宋_GB2312" w:cs="仿宋_GB2312"/>
                <w:i w:val="0"/>
                <w:color w:val="000000"/>
                <w:sz w:val="22"/>
                <w:szCs w:val="22"/>
                <w:u w:val="none"/>
                <w:lang w:eastAsia="zh-CN"/>
              </w:rPr>
              <w:t>（</w:t>
            </w:r>
            <w:r>
              <w:rPr>
                <w:rFonts w:hint="eastAsia" w:ascii="仿宋_GB2312" w:hAnsi="仿宋_GB2312" w:eastAsia="仿宋_GB2312" w:cs="仿宋_GB2312"/>
                <w:i w:val="0"/>
                <w:color w:val="000000"/>
                <w:sz w:val="22"/>
                <w:szCs w:val="22"/>
                <w:u w:val="none"/>
                <w:lang w:val="en-US" w:eastAsia="zh-CN"/>
              </w:rPr>
              <w:t>20分</w:t>
            </w:r>
            <w:r>
              <w:rPr>
                <w:rFonts w:hint="eastAsia" w:ascii="仿宋_GB2312" w:hAnsi="仿宋_GB2312" w:eastAsia="仿宋_GB2312" w:cs="仿宋_GB2312"/>
                <w:i w:val="0"/>
                <w:color w:val="000000"/>
                <w:sz w:val="22"/>
                <w:szCs w:val="22"/>
                <w:u w:val="none"/>
                <w:lang w:eastAsia="zh-CN"/>
              </w:rPr>
              <w:t>）</w:t>
            </w:r>
          </w:p>
        </w:tc>
        <w:tc>
          <w:tcPr>
            <w:tcW w:w="674" w:type="dxa"/>
            <w:tcBorders>
              <w:top w:val="single" w:color="auto"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经济效益指标</w:t>
            </w:r>
          </w:p>
        </w:tc>
        <w:tc>
          <w:tcPr>
            <w:tcW w:w="2083"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促进区域经济发展，提高当地人民物质生活水平</w:t>
            </w:r>
          </w:p>
        </w:tc>
        <w:tc>
          <w:tcPr>
            <w:tcW w:w="75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c>
          <w:tcPr>
            <w:tcW w:w="3600"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项目通车运营极大改善地区投资环境，促进沿线产业发展。起到带动作用的，得满分；一定程度带动的扣2分；未带动不得分。</w:t>
            </w:r>
          </w:p>
        </w:tc>
        <w:tc>
          <w:tcPr>
            <w:tcW w:w="819"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trHeight w:val="2072" w:hRule="atLeast"/>
        </w:trPr>
        <w:tc>
          <w:tcPr>
            <w:tcW w:w="1611" w:type="dxa"/>
            <w:vMerge w:val="continue"/>
            <w:tcBorders>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p>
        </w:tc>
        <w:tc>
          <w:tcPr>
            <w:tcW w:w="674"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社会效益指标</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改善农村交通环境，方便周边村民出行、方便货物运输</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项目建设实施提升当地基础设施建设水平，改善区域交通基础设施条件，路域环境得到提升，为群众出行、生产、生活带来便利。达到预期目标得满分，未达到的根据具体程度酌情扣2-3分。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trHeight w:val="405" w:hRule="atLeast"/>
        </w:trPr>
        <w:tc>
          <w:tcPr>
            <w:tcW w:w="1611"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sz w:val="22"/>
                <w:szCs w:val="22"/>
                <w:u w:val="none"/>
              </w:rPr>
              <w:t>“工作活动”效果（</w:t>
            </w:r>
            <w:r>
              <w:rPr>
                <w:rFonts w:hint="eastAsia" w:ascii="仿宋_GB2312" w:hAnsi="仿宋_GB2312" w:eastAsia="仿宋_GB2312" w:cs="仿宋_GB2312"/>
                <w:i w:val="0"/>
                <w:color w:val="000000"/>
                <w:kern w:val="0"/>
                <w:sz w:val="22"/>
                <w:szCs w:val="22"/>
                <w:u w:val="none"/>
                <w:lang w:val="en-US" w:eastAsia="zh-CN" w:bidi="ar"/>
              </w:rPr>
              <w:t>20</w:t>
            </w:r>
            <w:r>
              <w:rPr>
                <w:rFonts w:hint="eastAsia" w:ascii="仿宋_GB2312" w:hAnsi="仿宋_GB2312" w:eastAsia="仿宋_GB2312" w:cs="仿宋_GB2312"/>
                <w:i w:val="0"/>
                <w:color w:val="000000"/>
                <w:sz w:val="22"/>
                <w:szCs w:val="22"/>
                <w:u w:val="none"/>
              </w:rPr>
              <w:t>分）</w:t>
            </w:r>
          </w:p>
        </w:tc>
        <w:tc>
          <w:tcPr>
            <w:tcW w:w="674" w:type="dxa"/>
            <w:tcBorders>
              <w:top w:val="single" w:color="000000" w:sz="4" w:space="0"/>
              <w:left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满意度</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受益人群满意度</w:t>
            </w: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20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通过对群众发放调查问卷，了解对公路建设项目的接受、认可程度，根据群众满意度综合评分。满意度为95%以上的，得该项分值的满分；每下降5%扣1分，低于70%，该项不得分。</w:t>
            </w: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20</w:t>
            </w:r>
          </w:p>
        </w:tc>
      </w:tr>
      <w:tr>
        <w:tblPrEx>
          <w:tblLayout w:type="fixed"/>
          <w:tblCellMar>
            <w:top w:w="0" w:type="dxa"/>
            <w:left w:w="0" w:type="dxa"/>
            <w:bottom w:w="0" w:type="dxa"/>
            <w:right w:w="0" w:type="dxa"/>
          </w:tblCellMar>
        </w:tblPrEx>
        <w:trPr>
          <w:trHeight w:val="622" w:hRule="atLeast"/>
        </w:trPr>
        <w:tc>
          <w:tcPr>
            <w:tcW w:w="1611"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ind w:firstLine="220" w:firstLineChars="100"/>
              <w:jc w:val="both"/>
              <w:rPr>
                <w:rFonts w:hint="eastAsia" w:ascii="仿宋_GB2312" w:hAnsi="仿宋_GB2312" w:eastAsia="仿宋_GB2312" w:cs="仿宋_GB2312"/>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合计</w:t>
            </w:r>
          </w:p>
        </w:tc>
        <w:tc>
          <w:tcPr>
            <w:tcW w:w="67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p>
        </w:tc>
        <w:tc>
          <w:tcPr>
            <w:tcW w:w="75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100</w:t>
            </w:r>
          </w:p>
        </w:tc>
        <w:tc>
          <w:tcPr>
            <w:tcW w:w="3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b w:val="0"/>
          <w:bCs w:val="0"/>
          <w:color w:val="000000"/>
          <w:sz w:val="32"/>
          <w:szCs w:val="32"/>
          <w:lang w:val="en-US" w:eastAsia="zh-CN"/>
        </w:rPr>
      </w:pPr>
      <w:bookmarkStart w:id="99" w:name="_Toc11279_WPSOffice_Level1"/>
      <w:r>
        <w:rPr>
          <w:rFonts w:hint="eastAsia" w:ascii="仿宋" w:hAnsi="仿宋" w:eastAsia="仿宋" w:cs="仿宋"/>
          <w:color w:val="auto"/>
          <w:kern w:val="2"/>
          <w:sz w:val="32"/>
          <w:szCs w:val="32"/>
          <w:highlight w:val="none"/>
          <w:lang w:eastAsia="zh-CN"/>
        </w:rPr>
        <w:t>综</w:t>
      </w:r>
      <w:r>
        <w:rPr>
          <w:rFonts w:hint="eastAsia" w:ascii="仿宋" w:hAnsi="仿宋" w:eastAsia="仿宋" w:cs="仿宋"/>
          <w:color w:val="auto"/>
          <w:kern w:val="2"/>
          <w:sz w:val="32"/>
          <w:szCs w:val="32"/>
          <w:highlight w:val="none"/>
        </w:rPr>
        <w:t>合上述资金规划符合有关政策，工作目标明确，绩效指标设定合理、可衡量，</w:t>
      </w:r>
      <w:r>
        <w:rPr>
          <w:rFonts w:hint="eastAsia" w:ascii="仿宋" w:hAnsi="仿宋" w:eastAsia="仿宋" w:cs="仿宋"/>
          <w:color w:val="auto"/>
          <w:spacing w:val="-6"/>
          <w:kern w:val="2"/>
          <w:sz w:val="32"/>
          <w:szCs w:val="32"/>
          <w:highlight w:val="none"/>
          <w:lang w:eastAsia="zh-CN"/>
        </w:rPr>
        <w:t>评价得分：</w:t>
      </w:r>
      <w:r>
        <w:rPr>
          <w:rFonts w:hint="eastAsia" w:ascii="仿宋" w:hAnsi="仿宋" w:eastAsia="仿宋" w:cs="仿宋"/>
          <w:color w:val="auto"/>
          <w:spacing w:val="-6"/>
          <w:kern w:val="2"/>
          <w:sz w:val="32"/>
          <w:szCs w:val="32"/>
          <w:highlight w:val="none"/>
          <w:lang w:val="en-US" w:eastAsia="zh-CN"/>
        </w:rPr>
        <w:t>100分，</w:t>
      </w:r>
      <w:r>
        <w:rPr>
          <w:rFonts w:hint="eastAsia" w:ascii="仿宋_GB2312" w:hAnsi="仿宋_GB2312" w:eastAsia="仿宋_GB2312" w:cs="仿宋_GB2312"/>
          <w:color w:val="auto"/>
          <w:sz w:val="32"/>
          <w:szCs w:val="40"/>
          <w:lang w:val="en-US" w:eastAsia="zh-CN"/>
        </w:rPr>
        <w:t>评价结果分为A等级</w:t>
      </w:r>
      <w:r>
        <w:rPr>
          <w:rFonts w:hint="eastAsia" w:ascii="仿宋" w:hAnsi="仿宋" w:eastAsia="仿宋" w:cs="仿宋"/>
          <w:color w:val="auto"/>
          <w:spacing w:val="-6"/>
          <w:kern w:val="2"/>
          <w:sz w:val="32"/>
          <w:szCs w:val="32"/>
          <w:highlight w:val="none"/>
        </w:rPr>
        <w:t>。</w:t>
      </w:r>
    </w:p>
    <w:bookmarkEnd w:id="99"/>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700" w:lineRule="exact"/>
        <w:ind w:leftChars="100" w:firstLine="643" w:firstLineChars="200"/>
        <w:jc w:val="both"/>
        <w:textAlignment w:val="auto"/>
        <w:rPr>
          <w:rFonts w:hint="eastAsia" w:ascii="仿宋_GB2312" w:hAnsi="仿宋_GB2312" w:eastAsia="仿宋_GB2312" w:cs="仿宋_GB2312"/>
          <w:b/>
          <w:bCs/>
          <w:color w:val="auto"/>
          <w:kern w:val="2"/>
          <w:sz w:val="32"/>
          <w:szCs w:val="40"/>
          <w:lang w:val="en-US" w:eastAsia="zh-CN" w:bidi="ar-SA"/>
        </w:rPr>
      </w:pPr>
      <w:r>
        <w:rPr>
          <w:rFonts w:hint="eastAsia" w:ascii="仿宋_GB2312" w:hAnsi="仿宋_GB2312" w:eastAsia="仿宋_GB2312" w:cs="仿宋_GB2312"/>
          <w:b/>
          <w:bCs/>
          <w:color w:val="auto"/>
          <w:kern w:val="2"/>
          <w:sz w:val="32"/>
          <w:szCs w:val="40"/>
          <w:lang w:val="en-US" w:eastAsia="zh-CN" w:bidi="ar-SA"/>
        </w:rPr>
        <w:t>五、工作活动(项目)存在的问题、改进工作的意见及建议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r>
        <w:rPr>
          <w:rFonts w:hint="eastAsia" w:ascii="仿宋" w:hAnsi="仿宋" w:eastAsia="仿宋" w:cs="仿宋"/>
          <w:color w:val="auto"/>
          <w:kern w:val="2"/>
          <w:sz w:val="32"/>
          <w:szCs w:val="32"/>
          <w:highlight w:val="none"/>
          <w:lang w:eastAsia="zh-CN"/>
        </w:rPr>
        <w:t>（一）</w:t>
      </w:r>
      <w:r>
        <w:rPr>
          <w:rFonts w:hint="eastAsia" w:ascii="仿宋" w:hAnsi="仿宋" w:eastAsia="仿宋" w:cs="仿宋"/>
          <w:color w:val="auto"/>
          <w:kern w:val="2"/>
          <w:sz w:val="32"/>
          <w:szCs w:val="32"/>
          <w:highlight w:val="none"/>
        </w:rPr>
        <w:t>自评过程中</w:t>
      </w:r>
      <w:r>
        <w:rPr>
          <w:rFonts w:hint="eastAsia" w:ascii="仿宋" w:hAnsi="仿宋" w:eastAsia="仿宋" w:cs="仿宋"/>
          <w:color w:val="auto"/>
          <w:kern w:val="2"/>
          <w:sz w:val="32"/>
          <w:szCs w:val="32"/>
          <w:highlight w:val="none"/>
          <w:lang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自评标准不够明确：部分项目在自评时缺乏具体的评价标准，导致评价过程主观性较强，难以确保评价的公正性和准确性。</w:t>
      </w:r>
    </w:p>
    <w:p>
      <w:pPr>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目前我局</w:t>
      </w:r>
      <w:r>
        <w:rPr>
          <w:rFonts w:hint="eastAsia" w:ascii="仿宋" w:hAnsi="仿宋" w:eastAsia="仿宋" w:cs="仿宋"/>
          <w:sz w:val="32"/>
          <w:szCs w:val="32"/>
        </w:rPr>
        <w:t>绩效管理人员</w:t>
      </w:r>
      <w:r>
        <w:rPr>
          <w:rFonts w:hint="eastAsia" w:ascii="仿宋" w:hAnsi="仿宋" w:eastAsia="仿宋" w:cs="仿宋"/>
          <w:sz w:val="32"/>
          <w:szCs w:val="32"/>
          <w:lang w:val="en-US" w:eastAsia="zh-CN"/>
        </w:rPr>
        <w:t>主要为部门业务人员，专业能力方面有一定不足</w:t>
      </w: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自评价人员通常站在本单位职能的角度对工作进行评价，不能总体统筹考虑绩效情况，存在部分绩效评价难以量化，主观判断的自由裁量空间较大，影响了绩效管理的科学性和规范性。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eastAsia="zh-CN"/>
        </w:rPr>
        <w:t>（二）</w:t>
      </w:r>
      <w:r>
        <w:rPr>
          <w:rFonts w:hint="eastAsia" w:ascii="仿宋" w:hAnsi="仿宋" w:eastAsia="仿宋" w:cs="仿宋"/>
          <w:color w:val="auto"/>
          <w:kern w:val="2"/>
          <w:sz w:val="32"/>
          <w:szCs w:val="32"/>
          <w:highlight w:val="none"/>
        </w:rPr>
        <w:t>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eastAsia="zh-CN"/>
        </w:rPr>
      </w:pP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eastAsia="zh-CN"/>
        </w:rPr>
        <w:t>相关人员绩效管理的学习，</w:t>
      </w:r>
      <w:r>
        <w:rPr>
          <w:rFonts w:hint="eastAsia" w:ascii="仿宋_GB2312" w:hAnsi="仿宋_GB2312" w:eastAsia="仿宋_GB2312" w:cs="仿宋_GB2312"/>
          <w:sz w:val="32"/>
          <w:szCs w:val="32"/>
        </w:rPr>
        <w:t>学习预算绩效管理的法律法规、规范要求</w:t>
      </w:r>
      <w:r>
        <w:rPr>
          <w:rFonts w:hint="eastAsia" w:ascii="仿宋_GB2312" w:hAnsi="仿宋_GB2312" w:eastAsia="仿宋_GB2312" w:cs="仿宋_GB2312"/>
          <w:sz w:val="32"/>
          <w:szCs w:val="32"/>
          <w:lang w:eastAsia="zh-CN"/>
        </w:rPr>
        <w:t>等内容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增强人员综合素质和业务能力。</w:t>
      </w:r>
      <w:r>
        <w:rPr>
          <w:rFonts w:hint="eastAsia" w:ascii="仿宋_GB2312" w:hAnsi="仿宋_GB2312" w:eastAsia="仿宋_GB2312" w:cs="仿宋_GB2312"/>
          <w:sz w:val="32"/>
          <w:szCs w:val="32"/>
        </w:rPr>
        <w:t>提高绩效目标设定的科学性</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业务人员分析、量化绩效指标的能力，提高预算编制严谨性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可控性</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充分反映并</w:t>
      </w:r>
      <w:bookmarkStart w:id="100" w:name="_GoBack"/>
      <w:bookmarkEnd w:id="100"/>
      <w:r>
        <w:rPr>
          <w:rFonts w:hint="eastAsia" w:ascii="仿宋_GB2312" w:hAnsi="仿宋_GB2312" w:eastAsia="仿宋_GB2312" w:cs="仿宋_GB2312"/>
          <w:sz w:val="32"/>
          <w:szCs w:val="32"/>
        </w:rPr>
        <w:t>发挥绩效目标设定的作用，让项目开展和绩效目标设定相互促进。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eastAsia="zh-CN"/>
        </w:rPr>
        <w:t>下一步，</w:t>
      </w:r>
      <w:r>
        <w:rPr>
          <w:rFonts w:hint="eastAsia" w:ascii="仿宋" w:hAnsi="仿宋" w:eastAsia="仿宋" w:cs="仿宋"/>
          <w:color w:val="auto"/>
          <w:kern w:val="2"/>
          <w:sz w:val="32"/>
          <w:szCs w:val="32"/>
          <w:highlight w:val="none"/>
        </w:rPr>
        <w:t>我们将继续努力，不断完善重点项目绩效自评工作，为</w:t>
      </w:r>
      <w:r>
        <w:rPr>
          <w:rFonts w:hint="eastAsia" w:ascii="仿宋" w:hAnsi="仿宋" w:eastAsia="仿宋" w:cs="仿宋"/>
          <w:color w:val="auto"/>
          <w:kern w:val="2"/>
          <w:sz w:val="32"/>
          <w:szCs w:val="32"/>
          <w:highlight w:val="none"/>
          <w:lang w:eastAsia="zh-CN"/>
        </w:rPr>
        <w:t>项目</w:t>
      </w:r>
      <w:r>
        <w:rPr>
          <w:rFonts w:hint="eastAsia" w:ascii="仿宋" w:hAnsi="仿宋" w:eastAsia="仿宋" w:cs="仿宋"/>
          <w:color w:val="auto"/>
          <w:kern w:val="2"/>
          <w:sz w:val="32"/>
          <w:szCs w:val="32"/>
          <w:highlight w:val="none"/>
        </w:rPr>
        <w:t>的发展和进步</w:t>
      </w:r>
      <w:r>
        <w:rPr>
          <w:rFonts w:hint="eastAsia" w:ascii="仿宋" w:hAnsi="仿宋" w:eastAsia="仿宋" w:cs="仿宋"/>
          <w:color w:val="auto"/>
          <w:kern w:val="2"/>
          <w:sz w:val="32"/>
          <w:szCs w:val="32"/>
          <w:highlight w:val="none"/>
          <w:lang w:val="en-US" w:eastAsia="zh-CN"/>
        </w:rPr>
        <w:t>作出</w:t>
      </w:r>
      <w:r>
        <w:rPr>
          <w:rFonts w:hint="eastAsia" w:ascii="仿宋" w:hAnsi="仿宋" w:eastAsia="仿宋" w:cs="仿宋"/>
          <w:color w:val="auto"/>
          <w:kern w:val="2"/>
          <w:sz w:val="32"/>
          <w:szCs w:val="32"/>
          <w:highlight w:val="none"/>
        </w:rPr>
        <w:t>更大的贡献。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eastAsia="仿宋" w:cs="仿宋"/>
          <w:color w:val="auto"/>
          <w:kern w:val="2"/>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5760" w:firstLineChars="1800"/>
        <w:rPr>
          <w:rFonts w:hint="eastAsia" w:ascii="仿宋_GB2312" w:hAnsi="仿宋_GB2312" w:eastAsia="仿宋_GB2312" w:cs="仿宋_GB2312"/>
          <w:color w:val="000000"/>
        </w:rPr>
      </w:pPr>
      <w:r>
        <w:rPr>
          <w:rFonts w:hint="eastAsia" w:ascii="仿宋_GB2312" w:hAnsi="仿宋_GB2312" w:eastAsia="仿宋_GB2312" w:cs="仿宋_GB2312"/>
          <w:color w:val="000000"/>
          <w:sz w:val="32"/>
          <w:szCs w:val="32"/>
          <w:lang w:val="en-US" w:eastAsia="zh-CN"/>
        </w:rPr>
        <w:t>2024年4月28日</w:t>
      </w:r>
    </w:p>
    <w:p>
      <w:pPr>
        <w:rPr>
          <w:rFonts w:hint="eastAsia" w:ascii="仿宋_GB2312" w:hAnsi="仿宋_GB2312" w:eastAsia="仿宋_GB2312" w:cs="仿宋_GB2312"/>
        </w:rPr>
      </w:pPr>
    </w:p>
    <w:sectPr>
      <w:footerReference r:id="rId3" w:type="default"/>
      <w:pgSz w:w="11906" w:h="16838"/>
      <w:pgMar w:top="2154" w:right="1474" w:bottom="1984" w:left="1587" w:header="851"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A3D491"/>
    <w:multiLevelType w:val="singleLevel"/>
    <w:tmpl w:val="CBA3D491"/>
    <w:lvl w:ilvl="0" w:tentative="0">
      <w:start w:val="1"/>
      <w:numFmt w:val="decimal"/>
      <w:lvlText w:val="%1."/>
      <w:lvlJc w:val="left"/>
      <w:pPr>
        <w:tabs>
          <w:tab w:val="left" w:pos="312"/>
        </w:tabs>
      </w:pPr>
    </w:lvl>
  </w:abstractNum>
  <w:abstractNum w:abstractNumId="1">
    <w:nsid w:val="42E9362E"/>
    <w:multiLevelType w:val="singleLevel"/>
    <w:tmpl w:val="42E9362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NjQ0MTljMThlYTgwMTA3ODdlZjM3Y2ZjMGEzOGMifQ=="/>
  </w:docVars>
  <w:rsids>
    <w:rsidRoot w:val="07CC499B"/>
    <w:rsid w:val="00B60E03"/>
    <w:rsid w:val="01B67D1F"/>
    <w:rsid w:val="01CA2AF2"/>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3093C05"/>
    <w:rsid w:val="140849FA"/>
    <w:rsid w:val="14583EA3"/>
    <w:rsid w:val="151D09B5"/>
    <w:rsid w:val="1689469A"/>
    <w:rsid w:val="16DB1E7D"/>
    <w:rsid w:val="178C6C5A"/>
    <w:rsid w:val="17CD646A"/>
    <w:rsid w:val="184F3049"/>
    <w:rsid w:val="1B3F225B"/>
    <w:rsid w:val="1B4269FF"/>
    <w:rsid w:val="1C672059"/>
    <w:rsid w:val="1D4B3C83"/>
    <w:rsid w:val="1DBD7AB3"/>
    <w:rsid w:val="1E0B387E"/>
    <w:rsid w:val="21460607"/>
    <w:rsid w:val="21FF1E9B"/>
    <w:rsid w:val="229722CD"/>
    <w:rsid w:val="23C1122C"/>
    <w:rsid w:val="243D751D"/>
    <w:rsid w:val="24522B03"/>
    <w:rsid w:val="25ED2FD4"/>
    <w:rsid w:val="264A346A"/>
    <w:rsid w:val="270A41B9"/>
    <w:rsid w:val="274B3C4E"/>
    <w:rsid w:val="285356FD"/>
    <w:rsid w:val="288E37E0"/>
    <w:rsid w:val="290243B4"/>
    <w:rsid w:val="2A5C748F"/>
    <w:rsid w:val="2B10000E"/>
    <w:rsid w:val="2B2D56DA"/>
    <w:rsid w:val="2D391E20"/>
    <w:rsid w:val="2F45147C"/>
    <w:rsid w:val="30785FD3"/>
    <w:rsid w:val="31702E0D"/>
    <w:rsid w:val="32377AA4"/>
    <w:rsid w:val="33C32B3C"/>
    <w:rsid w:val="34E52524"/>
    <w:rsid w:val="35CA4ECD"/>
    <w:rsid w:val="35CE5164"/>
    <w:rsid w:val="35F07825"/>
    <w:rsid w:val="360A6C6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A2B1596"/>
    <w:rsid w:val="4BD23ED8"/>
    <w:rsid w:val="4C2846CD"/>
    <w:rsid w:val="4C647F55"/>
    <w:rsid w:val="4C7A4C55"/>
    <w:rsid w:val="4F6A54EE"/>
    <w:rsid w:val="4FDF6ED1"/>
    <w:rsid w:val="50B92E18"/>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3B002C4"/>
    <w:rsid w:val="64165E4C"/>
    <w:rsid w:val="6536013A"/>
    <w:rsid w:val="667B0FF0"/>
    <w:rsid w:val="687116C2"/>
    <w:rsid w:val="68DA698B"/>
    <w:rsid w:val="6A3E1F45"/>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toc 2"/>
    <w:basedOn w:val="1"/>
    <w:next w:val="1"/>
    <w:qFormat/>
    <w:uiPriority w:val="0"/>
    <w:pPr>
      <w:ind w:left="420" w:leftChars="200"/>
    </w:pPr>
    <w:rPr>
      <w:rFonts w:ascii="Calibri" w:hAnsi="Calibri" w:eastAsia="宋体" w:cs="Times New Roman"/>
    </w:r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next w:val="1"/>
    <w:qFormat/>
    <w:uiPriority w:val="0"/>
    <w:pPr>
      <w:ind w:firstLine="420"/>
    </w:p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正文（缩进）"/>
    <w:basedOn w:val="1"/>
    <w:qFormat/>
    <w:uiPriority w:val="0"/>
    <w:pPr>
      <w:spacing w:before="50" w:after="50"/>
      <w:ind w:firstLine="200" w:firstLineChars="200"/>
    </w:pPr>
    <w:rPr>
      <w:szCs w:val="22"/>
    </w:rPr>
  </w:style>
  <w:style w:type="paragraph" w:customStyle="1" w:styleId="11">
    <w:name w:val="WPSOffice手动目录 1"/>
    <w:qFormat/>
    <w:uiPriority w:val="0"/>
    <w:pPr>
      <w:ind w:leftChars="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云</cp:lastModifiedBy>
  <cp:lastPrinted>2024-05-06T06:43:00Z</cp:lastPrinted>
  <dcterms:modified xsi:type="dcterms:W3CDTF">2024-07-12T03:38:51Z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459915187CCB44D994CE55D70CA88AE5_13</vt:lpwstr>
  </property>
</Properties>
</file>