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kern w:val="0"/>
          <w:sz w:val="44"/>
          <w:szCs w:val="44"/>
          <w:lang w:eastAsia="zh-CN"/>
        </w:rPr>
      </w:pPr>
    </w:p>
    <w:tbl>
      <w:tblPr>
        <w:tblStyle w:val="8"/>
        <w:tblW w:w="9546" w:type="dxa"/>
        <w:tblInd w:w="-653" w:type="dxa"/>
        <w:tblLayout w:type="fixed"/>
        <w:tblCellMar>
          <w:top w:w="0" w:type="dxa"/>
          <w:left w:w="0" w:type="dxa"/>
          <w:bottom w:w="0" w:type="dxa"/>
          <w:right w:w="0" w:type="dxa"/>
        </w:tblCellMar>
      </w:tblPr>
      <w:tblGrid>
        <w:gridCol w:w="1611"/>
        <w:gridCol w:w="674"/>
        <w:gridCol w:w="2083"/>
        <w:gridCol w:w="759"/>
        <w:gridCol w:w="3600"/>
        <w:gridCol w:w="819"/>
      </w:tblGrid>
      <w:tr>
        <w:tblPrEx>
          <w:tblLayout w:type="fixed"/>
          <w:tblCellMar>
            <w:top w:w="0" w:type="dxa"/>
            <w:left w:w="0" w:type="dxa"/>
            <w:bottom w:w="0" w:type="dxa"/>
            <w:right w:w="0" w:type="dxa"/>
          </w:tblCellMar>
        </w:tblPrEx>
        <w:trPr>
          <w:trHeight w:val="660" w:hRule="atLeast"/>
        </w:trPr>
        <w:tc>
          <w:tcPr>
            <w:tcW w:w="9546" w:type="dxa"/>
            <w:gridSpan w:val="6"/>
            <w:tcBorders>
              <w:top w:val="nil"/>
              <w:left w:val="nil"/>
              <w:bottom w:val="single" w:color="000000" w:sz="4" w:space="0"/>
              <w:right w:val="nil"/>
            </w:tcBorders>
            <w:noWrap w:val="0"/>
            <w:tcMar>
              <w:top w:w="12" w:type="dxa"/>
              <w:left w:w="12" w:type="dxa"/>
              <w:right w:w="12" w:type="dxa"/>
            </w:tcMar>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kern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kern w:val="0"/>
                <w:sz w:val="44"/>
                <w:szCs w:val="44"/>
                <w:lang w:eastAsia="zh-CN"/>
              </w:rPr>
            </w:pPr>
            <w:r>
              <w:rPr>
                <w:rFonts w:hint="eastAsia" w:ascii="仿宋_GB2312" w:hAnsi="仿宋_GB2312" w:eastAsia="仿宋_GB2312" w:cs="仿宋_GB2312"/>
                <w:kern w:val="0"/>
                <w:sz w:val="44"/>
                <w:szCs w:val="44"/>
                <w:lang w:eastAsia="zh-CN"/>
              </w:rPr>
              <w:t>巨鹿县中央专项彩票公益金支持地方社会公益事业发展资金</w:t>
            </w:r>
            <w:r>
              <w:rPr>
                <w:rFonts w:hint="eastAsia" w:ascii="仿宋_GB2312" w:hAnsi="仿宋_GB2312" w:eastAsia="仿宋_GB2312" w:cs="仿宋_GB2312"/>
                <w:kern w:val="0"/>
                <w:sz w:val="44"/>
                <w:szCs w:val="44"/>
                <w:lang w:val="en-US" w:eastAsia="zh-CN"/>
              </w:rPr>
              <w:t>项目重点</w:t>
            </w:r>
            <w:r>
              <w:rPr>
                <w:rFonts w:hint="eastAsia" w:ascii="仿宋_GB2312" w:hAnsi="仿宋_GB2312" w:eastAsia="仿宋_GB2312" w:cs="仿宋_GB2312"/>
                <w:kern w:val="0"/>
                <w:sz w:val="44"/>
                <w:szCs w:val="44"/>
                <w:lang w:eastAsia="zh-CN"/>
              </w:rPr>
              <w:t>绩效</w:t>
            </w:r>
            <w:r>
              <w:rPr>
                <w:rFonts w:hint="eastAsia" w:ascii="仿宋_GB2312" w:hAnsi="仿宋_GB2312" w:eastAsia="仿宋_GB2312" w:cs="仿宋_GB2312"/>
                <w:kern w:val="0"/>
                <w:sz w:val="44"/>
                <w:szCs w:val="44"/>
                <w:lang w:val="en-US" w:eastAsia="zh-CN"/>
              </w:rPr>
              <w:t>自评</w:t>
            </w:r>
            <w:r>
              <w:rPr>
                <w:rFonts w:hint="eastAsia" w:ascii="仿宋_GB2312" w:hAnsi="仿宋_GB2312" w:eastAsia="仿宋_GB2312" w:cs="仿宋_GB2312"/>
                <w:kern w:val="0"/>
                <w:sz w:val="44"/>
                <w:szCs w:val="44"/>
                <w:lang w:eastAsia="zh-CN"/>
              </w:rPr>
              <w:t>报告</w:t>
            </w:r>
          </w:p>
          <w:p>
            <w:pPr>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 xml:space="preserve">                              </w:t>
            </w: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spacing w:line="760" w:lineRule="auto"/>
              <w:ind w:firstLine="560" w:firstLineChars="200"/>
              <w:rPr>
                <w:rFonts w:hint="default" w:ascii="仿宋_GB2312" w:hAnsi="仿宋_GB2312" w:eastAsia="仿宋_GB2312" w:cs="仿宋_GB2312"/>
                <w:sz w:val="24"/>
                <w:szCs w:val="24"/>
                <w:u w:val="single"/>
                <w:lang w:val="en-US" w:eastAsia="zh-CN"/>
              </w:rPr>
            </w:pPr>
            <w:r>
              <w:rPr>
                <w:rFonts w:ascii="宋体" w:hAnsi="宋体" w:eastAsia="宋体" w:cs="宋体"/>
                <w:sz w:val="28"/>
                <w:u w:val="none"/>
              </w:rPr>
              <w:t>项</w:t>
            </w:r>
            <w:r>
              <w:rPr>
                <w:rFonts w:ascii="仿宋_GB2312" w:hAnsi="仿宋_GB2312" w:eastAsia="仿宋_GB2312" w:cs="仿宋_GB2312"/>
                <w:sz w:val="28"/>
                <w:u w:val="none"/>
              </w:rPr>
              <w:t xml:space="preserve"> </w:t>
            </w:r>
            <w:r>
              <w:rPr>
                <w:rFonts w:ascii="宋体" w:hAnsi="宋体" w:eastAsia="宋体" w:cs="宋体"/>
                <w:sz w:val="28"/>
                <w:u w:val="none"/>
              </w:rPr>
              <w:t>目</w:t>
            </w:r>
            <w:r>
              <w:rPr>
                <w:rFonts w:ascii="仿宋_GB2312" w:hAnsi="仿宋_GB2312" w:eastAsia="仿宋_GB2312" w:cs="仿宋_GB2312"/>
                <w:sz w:val="28"/>
                <w:u w:val="none"/>
              </w:rPr>
              <w:t xml:space="preserve"> </w:t>
            </w:r>
            <w:r>
              <w:rPr>
                <w:rFonts w:ascii="宋体" w:hAnsi="宋体" w:eastAsia="宋体" w:cs="宋体"/>
                <w:sz w:val="28"/>
                <w:u w:val="none"/>
              </w:rPr>
              <w:t>名</w:t>
            </w:r>
            <w:r>
              <w:rPr>
                <w:rFonts w:ascii="仿宋_GB2312" w:hAnsi="仿宋_GB2312" w:eastAsia="仿宋_GB2312" w:cs="仿宋_GB2312"/>
                <w:sz w:val="28"/>
                <w:u w:val="none"/>
              </w:rPr>
              <w:t xml:space="preserve"> </w:t>
            </w:r>
            <w:r>
              <w:rPr>
                <w:rFonts w:ascii="宋体" w:hAnsi="宋体" w:eastAsia="宋体" w:cs="宋体"/>
                <w:sz w:val="28"/>
                <w:u w:val="none"/>
              </w:rPr>
              <w:t>称：</w:t>
            </w:r>
            <w:r>
              <w:rPr>
                <w:rFonts w:hint="eastAsia" w:ascii="宋体" w:hAnsi="宋体" w:eastAsia="宋体" w:cs="宋体"/>
                <w:sz w:val="28"/>
                <w:u w:val="none"/>
                <w:lang w:val="en-US" w:eastAsia="zh-CN"/>
              </w:rPr>
              <w:t xml:space="preserve"> </w:t>
            </w:r>
            <w:r>
              <w:rPr>
                <w:rFonts w:ascii="仿宋_GB2312" w:hAnsi="仿宋_GB2312" w:eastAsia="仿宋_GB2312" w:cs="仿宋_GB2312"/>
                <w:sz w:val="24"/>
                <w:szCs w:val="24"/>
                <w:u w:val="single"/>
              </w:rPr>
              <w:t xml:space="preserve"> </w:t>
            </w:r>
            <w:r>
              <w:rPr>
                <w:rFonts w:hint="eastAsia" w:ascii="仿宋_GB2312" w:hAnsi="仿宋_GB2312" w:eastAsia="仿宋_GB2312" w:cs="仿宋_GB2312"/>
                <w:kern w:val="0"/>
                <w:sz w:val="24"/>
                <w:szCs w:val="24"/>
                <w:u w:val="single"/>
                <w:lang w:eastAsia="zh-CN"/>
              </w:rPr>
              <w:t>中央专项彩票公益金支持地方社会公益事业发展资金</w:t>
            </w:r>
            <w:r>
              <w:rPr>
                <w:rFonts w:hint="eastAsia" w:ascii="仿宋_GB2312" w:hAnsi="仿宋_GB2312" w:eastAsia="仿宋_GB2312" w:cs="仿宋_GB2312"/>
                <w:kern w:val="0"/>
                <w:sz w:val="24"/>
                <w:szCs w:val="24"/>
                <w:u w:val="single"/>
                <w:lang w:val="en-US" w:eastAsia="zh-CN"/>
              </w:rPr>
              <w:t>项目</w:t>
            </w:r>
          </w:p>
          <w:p>
            <w:pPr>
              <w:spacing w:line="760" w:lineRule="auto"/>
              <w:ind w:firstLine="560" w:firstLineChars="200"/>
              <w:rPr>
                <w:rFonts w:ascii="仿宋_GB2312" w:hAnsi="仿宋_GB2312" w:eastAsia="仿宋_GB2312" w:cs="仿宋_GB2312"/>
                <w:sz w:val="28"/>
                <w:u w:val="single"/>
              </w:rPr>
            </w:pPr>
            <w:r>
              <w:rPr>
                <w:rFonts w:ascii="宋体" w:hAnsi="宋体" w:eastAsia="宋体" w:cs="宋体"/>
                <w:sz w:val="28"/>
                <w:u w:val="none"/>
              </w:rPr>
              <w:t>项目实施单位：</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lang w:val="en-US" w:eastAsia="zh-CN"/>
              </w:rPr>
              <w:t xml:space="preserve">         巨鹿县交通运输局</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rPr>
              <w:t xml:space="preserve">    </w:t>
            </w:r>
            <w:r>
              <w:rPr>
                <w:rFonts w:hint="eastAsia" w:ascii="仿宋_GB2312" w:hAnsi="仿宋_GB2312" w:eastAsia="仿宋_GB2312" w:cs="仿宋_GB2312"/>
                <w:sz w:val="28"/>
                <w:u w:val="single"/>
                <w:lang w:val="en-US" w:eastAsia="zh-CN"/>
              </w:rPr>
              <w:t xml:space="preserve">   </w:t>
            </w:r>
            <w:r>
              <w:rPr>
                <w:rFonts w:ascii="仿宋_GB2312" w:hAnsi="仿宋_GB2312" w:eastAsia="仿宋_GB2312" w:cs="仿宋_GB2312"/>
                <w:sz w:val="28"/>
                <w:u w:val="single"/>
              </w:rPr>
              <w:t xml:space="preserve">  </w:t>
            </w:r>
          </w:p>
          <w:p>
            <w:pPr>
              <w:spacing w:line="760" w:lineRule="auto"/>
              <w:ind w:firstLine="560" w:firstLineChars="200"/>
              <w:rPr>
                <w:rFonts w:hint="default" w:ascii="仿宋_GB2312" w:hAnsi="仿宋_GB2312" w:eastAsia="宋体" w:cs="仿宋_GB2312"/>
                <w:sz w:val="28"/>
                <w:u w:val="single"/>
                <w:lang w:val="en-US" w:eastAsia="zh-CN"/>
              </w:rPr>
            </w:pPr>
            <w:r>
              <w:rPr>
                <w:rFonts w:ascii="宋体" w:hAnsi="宋体" w:eastAsia="宋体" w:cs="宋体"/>
                <w:sz w:val="28"/>
                <w:u w:val="none"/>
              </w:rPr>
              <w:t>项目总金额：</w:t>
            </w:r>
            <w:r>
              <w:rPr>
                <w:rFonts w:hint="eastAsia" w:ascii="宋体" w:hAnsi="宋体" w:eastAsia="宋体" w:cs="宋体"/>
                <w:sz w:val="28"/>
                <w:u w:val="none"/>
                <w:lang w:val="en-US" w:eastAsia="zh-CN"/>
              </w:rPr>
              <w:t xml:space="preserve">  </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lang w:val="en-US" w:eastAsia="zh-CN"/>
              </w:rPr>
              <w:t xml:space="preserve">       </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lang w:val="en-US" w:eastAsia="zh-CN"/>
              </w:rPr>
              <w:t xml:space="preserve"> 456</w:t>
            </w:r>
            <w:r>
              <w:rPr>
                <w:rFonts w:ascii="宋体" w:hAnsi="宋体" w:eastAsia="宋体" w:cs="宋体"/>
                <w:sz w:val="28"/>
                <w:u w:val="single"/>
              </w:rPr>
              <w:t>万元</w:t>
            </w:r>
            <w:r>
              <w:rPr>
                <w:rFonts w:hint="eastAsia" w:ascii="宋体" w:hAnsi="宋体" w:eastAsia="宋体" w:cs="宋体"/>
                <w:sz w:val="28"/>
                <w:u w:val="single"/>
                <w:lang w:val="en-US" w:eastAsia="zh-CN"/>
              </w:rPr>
              <w:t xml:space="preserve">                     </w:t>
            </w:r>
          </w:p>
          <w:p>
            <w:pPr>
              <w:spacing w:line="760" w:lineRule="auto"/>
              <w:ind w:firstLine="560" w:firstLineChars="200"/>
              <w:rPr>
                <w:rFonts w:hint="default" w:ascii="仿宋_GB2312" w:hAnsi="仿宋_GB2312" w:eastAsia="宋体" w:cs="仿宋_GB2312"/>
                <w:sz w:val="28"/>
                <w:u w:val="single"/>
                <w:lang w:val="en-US" w:eastAsia="zh-CN"/>
              </w:rPr>
            </w:pPr>
            <w:r>
              <w:rPr>
                <w:rFonts w:ascii="宋体" w:hAnsi="宋体" w:eastAsia="宋体" w:cs="宋体"/>
                <w:sz w:val="28"/>
                <w:u w:val="none"/>
              </w:rPr>
              <w:t>评</w:t>
            </w:r>
            <w:r>
              <w:rPr>
                <w:rFonts w:ascii="仿宋_GB2312" w:hAnsi="仿宋_GB2312" w:eastAsia="仿宋_GB2312" w:cs="仿宋_GB2312"/>
                <w:sz w:val="28"/>
                <w:u w:val="none"/>
              </w:rPr>
              <w:t xml:space="preserve"> </w:t>
            </w:r>
            <w:r>
              <w:rPr>
                <w:rFonts w:ascii="宋体" w:hAnsi="宋体" w:eastAsia="宋体" w:cs="宋体"/>
                <w:sz w:val="28"/>
                <w:u w:val="none"/>
              </w:rPr>
              <w:t>价</w:t>
            </w:r>
            <w:r>
              <w:rPr>
                <w:rFonts w:ascii="仿宋_GB2312" w:hAnsi="仿宋_GB2312" w:eastAsia="仿宋_GB2312" w:cs="仿宋_GB2312"/>
                <w:sz w:val="28"/>
                <w:u w:val="none"/>
              </w:rPr>
              <w:t xml:space="preserve"> </w:t>
            </w:r>
            <w:r>
              <w:rPr>
                <w:rFonts w:ascii="宋体" w:hAnsi="宋体" w:eastAsia="宋体" w:cs="宋体"/>
                <w:sz w:val="28"/>
                <w:u w:val="none"/>
              </w:rPr>
              <w:t>年</w:t>
            </w:r>
            <w:r>
              <w:rPr>
                <w:rFonts w:ascii="仿宋_GB2312" w:hAnsi="仿宋_GB2312" w:eastAsia="仿宋_GB2312" w:cs="仿宋_GB2312"/>
                <w:sz w:val="28"/>
                <w:u w:val="none"/>
              </w:rPr>
              <w:t xml:space="preserve"> </w:t>
            </w:r>
            <w:r>
              <w:rPr>
                <w:rFonts w:ascii="宋体" w:hAnsi="宋体" w:eastAsia="宋体" w:cs="宋体"/>
                <w:sz w:val="28"/>
                <w:u w:val="none"/>
              </w:rPr>
              <w:t>度：</w:t>
            </w:r>
            <w:r>
              <w:rPr>
                <w:rFonts w:hint="eastAsia" w:ascii="宋体" w:hAnsi="宋体" w:eastAsia="宋体" w:cs="宋体"/>
                <w:sz w:val="28"/>
                <w:u w:val="none"/>
                <w:lang w:val="en-US" w:eastAsia="zh-CN"/>
              </w:rPr>
              <w:t xml:space="preserve"> </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lang w:val="en-US" w:eastAsia="zh-CN"/>
              </w:rPr>
              <w:t xml:space="preserve">       </w:t>
            </w:r>
            <w:r>
              <w:rPr>
                <w:rFonts w:ascii="仿宋_GB2312" w:hAnsi="仿宋_GB2312" w:eastAsia="仿宋_GB2312" w:cs="仿宋_GB2312"/>
                <w:sz w:val="28"/>
                <w:u w:val="single"/>
              </w:rPr>
              <w:t xml:space="preserve">  202</w:t>
            </w:r>
            <w:r>
              <w:rPr>
                <w:rFonts w:hint="eastAsia" w:ascii="仿宋_GB2312" w:hAnsi="仿宋_GB2312" w:eastAsia="仿宋_GB2312" w:cs="仿宋_GB2312"/>
                <w:sz w:val="28"/>
                <w:u w:val="single"/>
                <w:lang w:val="en-US" w:eastAsia="zh-CN"/>
              </w:rPr>
              <w:t>3</w:t>
            </w:r>
            <w:r>
              <w:rPr>
                <w:rFonts w:ascii="宋体" w:hAnsi="宋体" w:eastAsia="宋体" w:cs="宋体"/>
                <w:sz w:val="28"/>
                <w:u w:val="single"/>
              </w:rPr>
              <w:t>年度</w:t>
            </w:r>
            <w:r>
              <w:rPr>
                <w:rFonts w:hint="eastAsia" w:ascii="宋体" w:hAnsi="宋体" w:eastAsia="宋体" w:cs="宋体"/>
                <w:sz w:val="28"/>
                <w:u w:val="single"/>
                <w:lang w:val="en-US" w:eastAsia="zh-CN"/>
              </w:rPr>
              <w:t xml:space="preserve">                  </w:t>
            </w: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spacing w:before="0" w:beforeLines="0" w:after="0" w:afterLines="0" w:line="240" w:lineRule="auto"/>
              <w:ind w:left="0" w:leftChars="0" w:right="0" w:rightChars="0" w:firstLine="0" w:firstLineChars="0"/>
              <w:jc w:val="both"/>
              <w:rPr>
                <w:rFonts w:hint="eastAsia" w:ascii="仿宋_GB2312" w:hAnsi="仿宋_GB2312" w:eastAsia="仿宋_GB2312" w:cs="仿宋_GB2312"/>
                <w:color w:val="auto"/>
                <w:sz w:val="32"/>
                <w:szCs w:val="40"/>
              </w:rPr>
            </w:pPr>
            <w:bookmarkStart w:id="0" w:name="_Toc7470_WPSOffice_Level1"/>
            <w:bookmarkStart w:id="1" w:name="_Toc5909_WPSOffice_Level1"/>
          </w:p>
          <w:p>
            <w:pPr>
              <w:pStyle w:val="5"/>
              <w:rPr>
                <w:rFonts w:hint="eastAsia" w:ascii="仿宋_GB2312" w:hAnsi="仿宋_GB2312" w:eastAsia="仿宋_GB2312" w:cs="仿宋_GB2312"/>
                <w:color w:val="auto"/>
                <w:sz w:val="32"/>
                <w:szCs w:val="40"/>
              </w:rPr>
            </w:pPr>
          </w:p>
          <w:p>
            <w:pPr>
              <w:rPr>
                <w:rFonts w:hint="eastAsia" w:ascii="仿宋_GB2312" w:hAnsi="仿宋_GB2312" w:eastAsia="仿宋_GB2312" w:cs="仿宋_GB2312"/>
                <w:color w:val="auto"/>
                <w:sz w:val="32"/>
                <w:szCs w:val="40"/>
              </w:rPr>
            </w:pPr>
          </w:p>
          <w:p>
            <w:pPr>
              <w:rPr>
                <w:rFonts w:hint="eastAsia" w:ascii="仿宋_GB2312" w:hAnsi="仿宋_GB2312" w:eastAsia="仿宋_GB2312" w:cs="仿宋_GB2312"/>
              </w:rPr>
            </w:pPr>
          </w:p>
          <w:bookmarkEnd w:id="0"/>
          <w:bookmarkEnd w:id="1"/>
          <w:p>
            <w:pPr>
              <w:pStyle w:val="5"/>
              <w:keepNext w:val="0"/>
              <w:keepLines w:val="0"/>
              <w:pageBreakBefore w:val="0"/>
              <w:widowControl w:val="0"/>
              <w:kinsoku/>
              <w:wordWrap/>
              <w:overflowPunct/>
              <w:topLinePunct w:val="0"/>
              <w:autoSpaceDE/>
              <w:autoSpaceDN/>
              <w:bidi w:val="0"/>
              <w:adjustRightInd/>
              <w:snapToGrid/>
              <w:spacing w:line="120" w:lineRule="exact"/>
              <w:textAlignment w:val="center"/>
              <w:rPr>
                <w:rFonts w:hint="eastAsia" w:ascii="仿宋_GB2312" w:hAnsi="仿宋_GB2312" w:eastAsia="仿宋_GB2312" w:cs="仿宋_GB2312"/>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0"/>
              <w:rPr>
                <w:rFonts w:hint="eastAsia" w:ascii="仿宋_GB2312" w:hAnsi="仿宋_GB2312" w:eastAsia="仿宋_GB2312" w:cs="仿宋_GB2312"/>
                <w:b/>
                <w:bCs/>
                <w:color w:val="auto"/>
                <w:sz w:val="32"/>
                <w:szCs w:val="40"/>
                <w:lang w:val="en-US" w:eastAsia="zh-CN"/>
              </w:rPr>
            </w:pPr>
            <w:bookmarkStart w:id="2" w:name="_Toc30335"/>
            <w:bookmarkStart w:id="3" w:name="_Toc18334"/>
            <w:bookmarkStart w:id="4" w:name="_Toc16913"/>
            <w:bookmarkStart w:id="5" w:name="_Toc11301"/>
            <w:bookmarkStart w:id="6" w:name="_Toc23411"/>
            <w:bookmarkStart w:id="7" w:name="_Toc13153"/>
            <w:bookmarkStart w:id="8" w:name="_Toc4013"/>
            <w:bookmarkStart w:id="9" w:name="_Toc9525"/>
            <w:bookmarkStart w:id="10" w:name="_Toc6314"/>
            <w:bookmarkStart w:id="11" w:name="_Toc2245"/>
            <w:r>
              <w:rPr>
                <w:rFonts w:hint="eastAsia" w:ascii="仿宋_GB2312" w:hAnsi="仿宋_GB2312" w:eastAsia="仿宋_GB2312" w:cs="仿宋_GB2312"/>
                <w:b/>
                <w:bCs/>
                <w:color w:val="auto"/>
                <w:sz w:val="32"/>
                <w:szCs w:val="40"/>
                <w:lang w:val="en-US" w:eastAsia="zh-CN"/>
              </w:rPr>
              <w:t>一、项目概况</w:t>
            </w:r>
            <w:bookmarkEnd w:id="2"/>
            <w:bookmarkEnd w:id="3"/>
            <w:bookmarkEnd w:id="4"/>
            <w:bookmarkEnd w:id="5"/>
            <w:bookmarkEnd w:id="6"/>
            <w:bookmarkEnd w:id="7"/>
            <w:bookmarkEnd w:id="8"/>
            <w:bookmarkEnd w:id="9"/>
            <w:bookmarkEnd w:id="10"/>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bookmarkStart w:id="12" w:name="_Toc19370"/>
            <w:bookmarkStart w:id="13" w:name="_Toc19963"/>
            <w:bookmarkStart w:id="14" w:name="_Toc24784"/>
            <w:bookmarkStart w:id="15" w:name="_Toc32742"/>
            <w:bookmarkStart w:id="16" w:name="_Toc22453"/>
            <w:bookmarkStart w:id="17" w:name="_Toc937"/>
            <w:bookmarkStart w:id="18" w:name="_Toc30895"/>
            <w:bookmarkStart w:id="19" w:name="_Toc23957"/>
            <w:bookmarkStart w:id="20" w:name="_Toc22285"/>
            <w:bookmarkStart w:id="21" w:name="_Toc15831"/>
            <w:r>
              <w:rPr>
                <w:rFonts w:hint="eastAsia" w:ascii="仿宋_GB2312" w:hAnsi="仿宋_GB2312" w:eastAsia="仿宋_GB2312" w:cs="仿宋_GB2312"/>
                <w:color w:val="auto"/>
                <w:sz w:val="32"/>
                <w:szCs w:val="40"/>
                <w:lang w:val="en-US" w:eastAsia="zh-CN"/>
              </w:rPr>
              <w:t>（一）项目单位基本情况</w:t>
            </w:r>
            <w:bookmarkEnd w:id="12"/>
            <w:bookmarkEnd w:id="13"/>
            <w:bookmarkEnd w:id="14"/>
            <w:bookmarkEnd w:id="15"/>
            <w:bookmarkEnd w:id="16"/>
            <w:bookmarkEnd w:id="17"/>
            <w:bookmarkEnd w:id="18"/>
            <w:bookmarkEnd w:id="19"/>
            <w:bookmarkEnd w:id="20"/>
            <w:bookmarkEnd w:id="21"/>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bookmarkStart w:id="22" w:name="_Toc29308"/>
            <w:bookmarkStart w:id="23" w:name="_Toc15167"/>
            <w:bookmarkStart w:id="24" w:name="_Toc8843"/>
            <w:r>
              <w:rPr>
                <w:rFonts w:hint="eastAsia" w:ascii="仿宋_GB2312" w:hAnsi="仿宋_GB2312" w:eastAsia="仿宋_GB2312" w:cs="仿宋_GB2312"/>
                <w:color w:val="auto"/>
                <w:sz w:val="32"/>
                <w:szCs w:val="40"/>
                <w:lang w:val="en-US" w:eastAsia="zh-CN"/>
              </w:rPr>
              <w:t>巨鹿县交通运输局，负责人：王会忠，统一社会信用代码11130529000221583K，机构性质：机关，机构地址：河北省邢台市巨鹿县黄巾大道北侧。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（二）项目基本情况</w:t>
            </w:r>
            <w:bookmarkEnd w:id="22"/>
            <w:bookmarkEnd w:id="23"/>
            <w:bookmarkEnd w:id="24"/>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both"/>
              <w:textAlignment w:val="auto"/>
              <w:rPr>
                <w:rFonts w:hint="eastAsia" w:ascii="仿宋" w:hAnsi="仿宋" w:eastAsia="仿宋" w:cs="仿宋"/>
                <w:kern w:val="2"/>
                <w:sz w:val="32"/>
                <w:szCs w:val="32"/>
                <w:highlight w:val="none"/>
                <w:lang w:val="en-US" w:eastAsia="zh-CN" w:bidi="ar-SA"/>
              </w:rPr>
            </w:pPr>
            <w:bookmarkStart w:id="25" w:name="_Toc28908"/>
            <w:bookmarkStart w:id="26" w:name="_Toc2988"/>
            <w:bookmarkStart w:id="27" w:name="_Toc18992"/>
            <w:bookmarkStart w:id="28" w:name="_Toc6781"/>
            <w:bookmarkStart w:id="29" w:name="_Toc26109"/>
            <w:bookmarkStart w:id="30" w:name="_Toc17782"/>
            <w:bookmarkStart w:id="31" w:name="_Toc12860"/>
            <w:bookmarkStart w:id="32" w:name="_Toc4859"/>
            <w:bookmarkStart w:id="33" w:name="_Toc14644"/>
            <w:bookmarkStart w:id="34" w:name="_Toc7839"/>
            <w:r>
              <w:rPr>
                <w:rFonts w:hint="eastAsia" w:ascii="仿宋" w:hAnsi="仿宋" w:eastAsia="仿宋" w:cs="仿宋"/>
                <w:kern w:val="2"/>
                <w:sz w:val="32"/>
                <w:szCs w:val="32"/>
                <w:highlight w:val="none"/>
                <w:lang w:val="en-US" w:eastAsia="zh-CN" w:bidi="ar-SA"/>
              </w:rPr>
              <w:t>1.巨鹿县村道郭田线-东郭城建设工程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both"/>
              <w:textAlignment w:val="auto"/>
              <w:rPr>
                <w:rFonts w:hint="default" w:ascii="仿宋" w:hAnsi="仿宋" w:eastAsia="仿宋" w:cs="仿宋"/>
                <w:kern w:val="2"/>
                <w:sz w:val="32"/>
                <w:szCs w:val="32"/>
                <w:highlight w:val="none"/>
                <w:lang w:val="en-US" w:eastAsia="zh-CN" w:bidi="ar-SA"/>
              </w:rPr>
            </w:pPr>
            <w:r>
              <w:rPr>
                <w:rFonts w:hint="default" w:ascii="仿宋" w:hAnsi="仿宋" w:eastAsia="仿宋" w:cs="仿宋"/>
                <w:kern w:val="2"/>
                <w:sz w:val="32"/>
                <w:szCs w:val="32"/>
                <w:highlight w:val="none"/>
                <w:lang w:val="en-US" w:eastAsia="zh-CN" w:bidi="ar-SA"/>
              </w:rPr>
              <w:t>该工程为改建项目，建设地点位于巨鹿县西郭城镇东郭城村村东，东起郭田线，西至东郭城村，路线全长0.42公里，计划建设沥青砼路面2730平方米，路面宽度为6.5米，路基8米。</w:t>
            </w:r>
            <w:r>
              <w:rPr>
                <w:rFonts w:hint="eastAsia" w:ascii="仿宋" w:hAnsi="仿宋" w:eastAsia="仿宋" w:cs="仿宋"/>
                <w:kern w:val="2"/>
                <w:sz w:val="32"/>
                <w:szCs w:val="32"/>
                <w:highlight w:val="none"/>
                <w:lang w:val="en-US" w:eastAsia="zh-CN" w:bidi="ar-SA"/>
              </w:rPr>
              <w:t>项目</w:t>
            </w:r>
            <w:r>
              <w:rPr>
                <w:rFonts w:hint="default" w:ascii="仿宋" w:hAnsi="仿宋" w:eastAsia="仿宋" w:cs="仿宋"/>
                <w:kern w:val="2"/>
                <w:sz w:val="32"/>
                <w:szCs w:val="32"/>
                <w:highlight w:val="none"/>
                <w:lang w:val="en-US" w:eastAsia="zh-CN" w:bidi="ar-SA"/>
              </w:rPr>
              <w:t>由如成建工集团有限公司中标承建。目前，该工程已完工</w:t>
            </w:r>
            <w:r>
              <w:rPr>
                <w:rFonts w:hint="eastAsia" w:ascii="仿宋" w:hAnsi="仿宋" w:eastAsia="仿宋" w:cs="仿宋"/>
                <w:kern w:val="2"/>
                <w:sz w:val="32"/>
                <w:szCs w:val="32"/>
                <w:highlight w:val="none"/>
                <w:lang w:val="en-US" w:eastAsia="zh-CN" w:bidi="ar-SA"/>
              </w:rPr>
              <w:t>，并</w:t>
            </w:r>
            <w:r>
              <w:rPr>
                <w:rFonts w:hint="default" w:ascii="仿宋" w:hAnsi="仿宋" w:eastAsia="仿宋" w:cs="仿宋"/>
                <w:kern w:val="2"/>
                <w:sz w:val="32"/>
                <w:szCs w:val="32"/>
                <w:highlight w:val="none"/>
                <w:lang w:val="en-US" w:eastAsia="zh-CN" w:bidi="ar-SA"/>
              </w:rPr>
              <w:t>进行了交竣工验收</w:t>
            </w:r>
            <w:r>
              <w:rPr>
                <w:rFonts w:hint="eastAsia" w:ascii="仿宋" w:hAnsi="仿宋" w:eastAsia="仿宋" w:cs="仿宋"/>
                <w:kern w:val="2"/>
                <w:sz w:val="32"/>
                <w:szCs w:val="32"/>
                <w:highlight w:val="none"/>
                <w:lang w:val="en-US" w:eastAsia="zh-CN" w:bidi="ar-SA"/>
              </w:rPr>
              <w:t>，正在进行决算审计，项目的实施达到了预期的效果实现了预期的目标。</w:t>
            </w:r>
          </w:p>
          <w:p>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both"/>
              <w:textAlignment w:val="auto"/>
              <w:rPr>
                <w:rFonts w:hint="default" w:ascii="仿宋" w:hAnsi="仿宋" w:eastAsia="仿宋" w:cs="仿宋"/>
                <w:kern w:val="2"/>
                <w:sz w:val="32"/>
                <w:szCs w:val="32"/>
                <w:highlight w:val="none"/>
                <w:lang w:val="en-US" w:eastAsia="zh-CN" w:bidi="ar-SA"/>
              </w:rPr>
            </w:pPr>
            <w:r>
              <w:rPr>
                <w:rFonts w:hint="default" w:ascii="仿宋" w:hAnsi="仿宋" w:eastAsia="仿宋" w:cs="仿宋"/>
                <w:kern w:val="2"/>
                <w:sz w:val="32"/>
                <w:szCs w:val="32"/>
                <w:highlight w:val="none"/>
                <w:lang w:val="en-US" w:eastAsia="zh-CN" w:bidi="ar-SA"/>
              </w:rPr>
              <w:t>巨鹿县周于庄村健康南路改造提升项目</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kern w:val="2"/>
                <w:sz w:val="32"/>
                <w:szCs w:val="32"/>
                <w:highlight w:val="none"/>
                <w:lang w:val="en-US" w:eastAsia="zh-CN" w:bidi="ar-SA"/>
              </w:rPr>
            </w:pPr>
            <w:r>
              <w:rPr>
                <w:rFonts w:hint="default" w:ascii="仿宋" w:hAnsi="仿宋" w:eastAsia="仿宋" w:cs="仿宋"/>
                <w:kern w:val="2"/>
                <w:sz w:val="32"/>
                <w:szCs w:val="32"/>
                <w:highlight w:val="none"/>
                <w:lang w:val="en-US" w:eastAsia="zh-CN" w:bidi="ar-SA"/>
              </w:rPr>
              <w:t>项目位于巨鹿县周于庄村，为现状村内健康南路的改造及南延。路线北起于周于庄村内平安街，南至周于庄村南现状水泥路。路线全长</w:t>
            </w:r>
            <w:r>
              <w:rPr>
                <w:rFonts w:hint="eastAsia" w:ascii="仿宋" w:hAnsi="仿宋" w:eastAsia="仿宋" w:cs="仿宋"/>
                <w:kern w:val="2"/>
                <w:sz w:val="32"/>
                <w:szCs w:val="32"/>
                <w:highlight w:val="none"/>
                <w:lang w:val="en-US" w:eastAsia="zh-CN" w:bidi="ar-SA"/>
              </w:rPr>
              <w:t>0.</w:t>
            </w:r>
            <w:r>
              <w:rPr>
                <w:rFonts w:hint="default" w:ascii="仿宋" w:hAnsi="仿宋" w:eastAsia="仿宋" w:cs="仿宋"/>
                <w:kern w:val="2"/>
                <w:sz w:val="32"/>
                <w:szCs w:val="32"/>
                <w:highlight w:val="none"/>
                <w:lang w:val="en-US" w:eastAsia="zh-CN" w:bidi="ar-SA"/>
              </w:rPr>
              <w:t>450</w:t>
            </w:r>
            <w:r>
              <w:rPr>
                <w:rFonts w:hint="eastAsia" w:ascii="仿宋" w:hAnsi="仿宋" w:eastAsia="仿宋" w:cs="仿宋"/>
                <w:kern w:val="2"/>
                <w:sz w:val="32"/>
                <w:szCs w:val="32"/>
                <w:highlight w:val="none"/>
                <w:lang w:val="en-US" w:eastAsia="zh-CN" w:bidi="ar-SA"/>
              </w:rPr>
              <w:t>公里</w:t>
            </w:r>
            <w:r>
              <w:rPr>
                <w:rFonts w:hint="default" w:ascii="仿宋" w:hAnsi="仿宋" w:eastAsia="仿宋" w:cs="仿宋"/>
                <w:kern w:val="2"/>
                <w:sz w:val="32"/>
                <w:szCs w:val="32"/>
                <w:highlight w:val="none"/>
                <w:lang w:val="en-US" w:eastAsia="zh-CN" w:bidi="ar-SA"/>
              </w:rPr>
              <w:t>，按四级公路设计标准单车道设计，时速为15km/h。路基宽 6m，路面宽5m，路面为沥青混凝土路面</w:t>
            </w:r>
            <w:r>
              <w:rPr>
                <w:rFonts w:hint="eastAsia" w:ascii="仿宋" w:hAnsi="仿宋" w:eastAsia="仿宋" w:cs="仿宋"/>
                <w:kern w:val="2"/>
                <w:sz w:val="32"/>
                <w:szCs w:val="32"/>
                <w:highlight w:val="none"/>
                <w:lang w:val="en-US" w:eastAsia="zh-CN" w:bidi="ar-SA"/>
              </w:rPr>
              <w:t>。项目由河北庚祥建筑工程有限公司中标承建，目前，工程已完工，并</w:t>
            </w:r>
            <w:r>
              <w:rPr>
                <w:rFonts w:hint="default" w:ascii="仿宋" w:hAnsi="仿宋" w:eastAsia="仿宋" w:cs="仿宋"/>
                <w:kern w:val="2"/>
                <w:sz w:val="32"/>
                <w:szCs w:val="32"/>
                <w:highlight w:val="none"/>
                <w:lang w:val="en-US" w:eastAsia="zh-CN" w:bidi="ar-SA"/>
              </w:rPr>
              <w:t>进行了交竣工验收</w:t>
            </w:r>
            <w:r>
              <w:rPr>
                <w:rFonts w:hint="eastAsia" w:ascii="仿宋" w:hAnsi="仿宋" w:eastAsia="仿宋" w:cs="仿宋"/>
                <w:kern w:val="2"/>
                <w:sz w:val="32"/>
                <w:szCs w:val="32"/>
                <w:highlight w:val="none"/>
                <w:lang w:val="en-US" w:eastAsia="zh-CN" w:bidi="ar-SA"/>
              </w:rPr>
              <w:t>，正在进行决算审计，项目的实施达到了预期的效果实现了预期的目标。</w:t>
            </w:r>
          </w:p>
          <w:p>
            <w:pPr>
              <w:pStyle w:val="6"/>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巨鹿县南郝线至官亭村公路改造项目</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项目位于巨鹿县官亭村东侧，路线北起于官厅村内向阳东街，向南终点于现状G303（原327省道）平交，路线全长0.53公里，按三级公路设计标准对向双车道设计，时速为30km</w:t>
            </w:r>
            <w:bookmarkStart w:id="96" w:name="_GoBack"/>
            <w:bookmarkEnd w:id="96"/>
            <w:r>
              <w:rPr>
                <w:rFonts w:hint="eastAsia" w:ascii="仿宋" w:hAnsi="仿宋" w:eastAsia="仿宋" w:cs="仿宋"/>
                <w:kern w:val="2"/>
                <w:sz w:val="32"/>
                <w:szCs w:val="32"/>
                <w:highlight w:val="none"/>
                <w:lang w:val="en-US" w:eastAsia="zh-CN" w:bidi="ar-SA"/>
              </w:rPr>
              <w:t>/h。路基宽 11m，路面宽10m，路面为沥青混凝土路面。项目由邢台昊通路桥建设有限公司中标承建，目前，工程已完工，并</w:t>
            </w:r>
            <w:r>
              <w:rPr>
                <w:rFonts w:hint="default" w:ascii="仿宋" w:hAnsi="仿宋" w:eastAsia="仿宋" w:cs="仿宋"/>
                <w:kern w:val="2"/>
                <w:sz w:val="32"/>
                <w:szCs w:val="32"/>
                <w:highlight w:val="none"/>
                <w:lang w:val="en-US" w:eastAsia="zh-CN" w:bidi="ar-SA"/>
              </w:rPr>
              <w:t>进行了交竣工验收</w:t>
            </w:r>
            <w:r>
              <w:rPr>
                <w:rFonts w:hint="eastAsia" w:ascii="仿宋" w:hAnsi="仿宋" w:eastAsia="仿宋" w:cs="仿宋"/>
                <w:kern w:val="2"/>
                <w:sz w:val="32"/>
                <w:szCs w:val="32"/>
                <w:highlight w:val="none"/>
                <w:lang w:val="en-US" w:eastAsia="zh-CN" w:bidi="ar-SA"/>
              </w:rPr>
              <w:t>，正在进行决算审计，项目的实施达到了预期的效果实现了预期的目标。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0"/>
              <w:rPr>
                <w:rFonts w:hint="eastAsia" w:ascii="仿宋_GB2312" w:hAnsi="仿宋_GB2312" w:eastAsia="仿宋_GB2312" w:cs="仿宋_GB2312"/>
                <w:b/>
                <w:bCs/>
                <w:color w:val="auto"/>
                <w:sz w:val="32"/>
                <w:szCs w:val="40"/>
                <w:lang w:val="en-US" w:eastAsia="zh-CN"/>
              </w:rPr>
            </w:pPr>
            <w:r>
              <w:rPr>
                <w:rFonts w:hint="eastAsia" w:ascii="仿宋_GB2312" w:hAnsi="仿宋_GB2312" w:eastAsia="仿宋_GB2312" w:cs="仿宋_GB2312"/>
                <w:b/>
                <w:bCs/>
                <w:color w:val="auto"/>
                <w:sz w:val="32"/>
                <w:szCs w:val="40"/>
                <w:lang w:val="en-US" w:eastAsia="zh-CN"/>
              </w:rPr>
              <w:t>二、项目实施情况</w:t>
            </w:r>
            <w:bookmarkEnd w:id="25"/>
            <w:bookmarkEnd w:id="26"/>
            <w:bookmarkEnd w:id="27"/>
            <w:bookmarkEnd w:id="28"/>
            <w:bookmarkEnd w:id="29"/>
            <w:bookmarkEnd w:id="30"/>
            <w:bookmarkEnd w:id="31"/>
            <w:bookmarkEnd w:id="32"/>
            <w:bookmarkEnd w:id="33"/>
            <w:bookmarkEnd w:id="34"/>
          </w:p>
          <w:p>
            <w:pPr>
              <w:keepNext w:val="0"/>
              <w:keepLines w:val="0"/>
              <w:pageBreakBefore w:val="0"/>
              <w:tabs>
                <w:tab w:val="left" w:pos="7080"/>
              </w:tabs>
              <w:kinsoku/>
              <w:wordWrap/>
              <w:overflowPunct/>
              <w:topLinePunct w:val="0"/>
              <w:autoSpaceDE/>
              <w:autoSpaceDN/>
              <w:bidi w:val="0"/>
              <w:adjustRightInd/>
              <w:snapToGrid/>
              <w:spacing w:line="600" w:lineRule="exact"/>
              <w:ind w:firstLine="640"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（一）、资金投入情况</w:t>
            </w:r>
          </w:p>
          <w:p>
            <w:pPr>
              <w:keepNext w:val="0"/>
              <w:keepLines w:val="0"/>
              <w:pageBreakBefore w:val="0"/>
              <w:tabs>
                <w:tab w:val="left" w:pos="7080"/>
              </w:tabs>
              <w:kinsoku/>
              <w:wordWrap/>
              <w:overflowPunct/>
              <w:topLinePunct w:val="0"/>
              <w:autoSpaceDE/>
              <w:autoSpaceDN/>
              <w:bidi w:val="0"/>
              <w:adjustRightInd/>
              <w:snapToGrid/>
              <w:spacing w:line="600" w:lineRule="exact"/>
              <w:ind w:firstLine="640"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河北省财政厅下达我县中央专项彩票公益金支持地方社会公益事业发展资金456万元，并全部到位，资金主要用于农村公路建设。具体情况如下:冀财综【2022】48号，下达资金170万元，用于巨鹿县村道郭田线-东郭城建设工程；冀财综【2023】11号，下达资金286万元，其中:用于巨鹿县周于庄村健康南路改造提升项目98万元、巨鹿县南郝线至官亭村公路改造项目188万元。截至目前已拨付资金382.599万元，预算执行率84%。</w:t>
            </w:r>
          </w:p>
          <w:p>
            <w:pPr>
              <w:pStyle w:val="10"/>
              <w:numPr>
                <w:ilvl w:val="0"/>
                <w:numId w:val="3"/>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、资金管理情况</w:t>
            </w:r>
          </w:p>
          <w:p>
            <w:pPr>
              <w:keepNext w:val="0"/>
              <w:keepLines w:val="0"/>
              <w:pageBreakBefore w:val="0"/>
              <w:widowControl w:val="0"/>
              <w:kinsoku/>
              <w:wordWrap/>
              <w:overflowPunct/>
              <w:topLinePunct w:val="0"/>
              <w:autoSpaceDE/>
              <w:autoSpaceDN/>
              <w:bidi w:val="0"/>
              <w:adjustRightInd/>
              <w:snapToGrid/>
              <w:spacing w:line="600" w:lineRule="exact"/>
              <w:ind w:firstLine="62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在资金使用中严格按照相关资金管理办法、制度执行，符合中央彩票专项资金管理办法的有关规定。资金拨付有完整的审批程序和手续，符合项目预算批复的用途，未发现截留、挤占、挪用、虚假支出等情况。</w:t>
            </w:r>
          </w:p>
          <w:p>
            <w:pPr>
              <w:keepNext w:val="0"/>
              <w:keepLines w:val="0"/>
              <w:pageBreakBefore w:val="0"/>
              <w:widowControl w:val="0"/>
              <w:kinsoku/>
              <w:wordWrap/>
              <w:overflowPunct/>
              <w:topLinePunct w:val="0"/>
              <w:autoSpaceDE/>
              <w:autoSpaceDN/>
              <w:bidi w:val="0"/>
              <w:adjustRightInd/>
              <w:snapToGrid/>
              <w:spacing w:line="600" w:lineRule="exact"/>
              <w:ind w:firstLine="62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预算管理上我局绩效监控主要采取部门自行监控和财政重点监控两种方式。相关业务部门对绩效监控工作精心组织、周密部署，把绩效监控工作列入重要议事日程。根据财政局每月预算执行情况的通知，及时反馈到相关业务部门，对预算执行进度较慢的项目进行重点提示，加快项目开展，完成资金拨付和项目绩效目标执行。各业务部门加强沟通、协调和联系，密切配合，共同促进了绩效监控工作规范、有序、顺利开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0"/>
              <w:rPr>
                <w:rFonts w:hint="eastAsia" w:ascii="仿宋_GB2312" w:hAnsi="仿宋_GB2312" w:eastAsia="仿宋_GB2312" w:cs="仿宋_GB2312"/>
                <w:b/>
                <w:bCs/>
                <w:color w:val="auto"/>
                <w:sz w:val="32"/>
                <w:szCs w:val="40"/>
                <w:lang w:val="en-US" w:eastAsia="zh-CN"/>
              </w:rPr>
            </w:pPr>
            <w:bookmarkStart w:id="35" w:name="_Toc12150"/>
            <w:bookmarkStart w:id="36" w:name="_Toc29800"/>
            <w:bookmarkStart w:id="37" w:name="_Toc5215"/>
            <w:bookmarkStart w:id="38" w:name="_Toc6451"/>
            <w:bookmarkStart w:id="39" w:name="_Toc5317"/>
            <w:bookmarkStart w:id="40" w:name="_Toc18915"/>
            <w:bookmarkStart w:id="41" w:name="_Toc21501"/>
            <w:bookmarkStart w:id="42" w:name="_Toc20904"/>
            <w:bookmarkStart w:id="43" w:name="_Toc10651"/>
            <w:bookmarkStart w:id="44" w:name="_Toc26855"/>
            <w:r>
              <w:rPr>
                <w:rFonts w:hint="eastAsia" w:ascii="仿宋_GB2312" w:hAnsi="仿宋_GB2312" w:eastAsia="仿宋_GB2312" w:cs="仿宋_GB2312"/>
                <w:b/>
                <w:bCs/>
                <w:color w:val="auto"/>
                <w:sz w:val="32"/>
                <w:szCs w:val="40"/>
                <w:lang w:val="en-US" w:eastAsia="zh-CN"/>
              </w:rPr>
              <w:t>三、绩效评价工作情况</w:t>
            </w:r>
            <w:bookmarkEnd w:id="35"/>
            <w:bookmarkEnd w:id="36"/>
            <w:bookmarkEnd w:id="37"/>
            <w:bookmarkEnd w:id="38"/>
            <w:bookmarkEnd w:id="39"/>
            <w:bookmarkEnd w:id="40"/>
            <w:bookmarkEnd w:id="41"/>
            <w:bookmarkEnd w:id="42"/>
            <w:bookmarkEnd w:id="43"/>
            <w:bookmarkEnd w:id="44"/>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b w:val="0"/>
                <w:bCs w:val="0"/>
                <w:color w:val="auto"/>
                <w:sz w:val="32"/>
                <w:szCs w:val="40"/>
                <w:lang w:val="en-US" w:eastAsia="zh-CN"/>
              </w:rPr>
            </w:pPr>
            <w:bookmarkStart w:id="45" w:name="_Toc22771"/>
            <w:bookmarkStart w:id="46" w:name="_Toc5105"/>
            <w:bookmarkStart w:id="47" w:name="_Toc17355"/>
            <w:bookmarkStart w:id="48" w:name="_Toc15730"/>
            <w:bookmarkStart w:id="49" w:name="_Toc14742"/>
            <w:bookmarkStart w:id="50" w:name="_Toc8077"/>
            <w:bookmarkStart w:id="51" w:name="_Toc23608"/>
            <w:bookmarkStart w:id="52" w:name="_Toc7570"/>
            <w:bookmarkStart w:id="53" w:name="_Toc4056"/>
            <w:bookmarkStart w:id="54" w:name="_Toc25600"/>
            <w:r>
              <w:rPr>
                <w:rFonts w:hint="eastAsia" w:ascii="仿宋_GB2312" w:hAnsi="仿宋_GB2312" w:eastAsia="仿宋_GB2312" w:cs="仿宋_GB2312"/>
                <w:b w:val="0"/>
                <w:bCs w:val="0"/>
                <w:color w:val="auto"/>
                <w:sz w:val="32"/>
                <w:szCs w:val="40"/>
                <w:lang w:val="en-US" w:eastAsia="zh-CN"/>
              </w:rPr>
              <w:t>（一）评价目的</w:t>
            </w:r>
            <w:bookmarkEnd w:id="45"/>
            <w:bookmarkEnd w:id="46"/>
            <w:bookmarkEnd w:id="47"/>
            <w:bookmarkEnd w:id="48"/>
            <w:bookmarkEnd w:id="49"/>
            <w:bookmarkEnd w:id="50"/>
            <w:bookmarkEnd w:id="51"/>
            <w:bookmarkEnd w:id="52"/>
            <w:bookmarkEnd w:id="53"/>
            <w:bookmarkEnd w:id="54"/>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highlight w:val="none"/>
                <w:lang w:val="en-US" w:eastAsia="zh-CN"/>
              </w:rPr>
            </w:pPr>
            <w:bookmarkStart w:id="55" w:name="_Toc22727"/>
            <w:bookmarkStart w:id="56" w:name="_Toc27346"/>
            <w:bookmarkStart w:id="57" w:name="_Toc16121"/>
            <w:bookmarkStart w:id="58" w:name="_Toc25746"/>
            <w:bookmarkStart w:id="59" w:name="_Toc16971"/>
            <w:bookmarkStart w:id="60" w:name="_Toc30351"/>
            <w:bookmarkStart w:id="61" w:name="_Toc3910"/>
            <w:bookmarkStart w:id="62" w:name="_Toc27199"/>
            <w:bookmarkStart w:id="63" w:name="_Toc18502"/>
            <w:bookmarkStart w:id="64" w:name="_Toc8288"/>
            <w:r>
              <w:rPr>
                <w:rFonts w:hint="eastAsia" w:ascii="仿宋_GB2312" w:hAnsi="仿宋_GB2312" w:eastAsia="仿宋_GB2312" w:cs="仿宋_GB2312"/>
                <w:color w:val="auto"/>
                <w:sz w:val="32"/>
                <w:szCs w:val="40"/>
                <w:highlight w:val="none"/>
                <w:lang w:val="en-US" w:eastAsia="zh-CN"/>
              </w:rPr>
              <w:t>绩效管理是政府改革的重要方向，财政支出绩效评价是建设效能、责任和廉洁政府的重要手段。为客观评价2023年度</w:t>
            </w:r>
            <w:r>
              <w:rPr>
                <w:rFonts w:hint="eastAsia" w:ascii="仿宋" w:hAnsi="仿宋" w:eastAsia="仿宋" w:cs="仿宋"/>
                <w:sz w:val="32"/>
                <w:szCs w:val="32"/>
                <w:lang w:val="en-US" w:eastAsia="zh-CN"/>
              </w:rPr>
              <w:t>中央专项彩票公益金支持地方社会公益事业发展资金</w:t>
            </w:r>
            <w:r>
              <w:rPr>
                <w:rFonts w:hint="eastAsia" w:ascii="仿宋_GB2312" w:hAnsi="仿宋_GB2312" w:eastAsia="仿宋_GB2312" w:cs="仿宋_GB2312"/>
                <w:color w:val="auto"/>
                <w:sz w:val="32"/>
                <w:szCs w:val="40"/>
                <w:highlight w:val="none"/>
                <w:lang w:val="en-US" w:eastAsia="zh-CN"/>
              </w:rPr>
              <w:t>项目绩效，结合项目特点，制定项目绩效评价指标体系，运用科学、规范的评价方法，客观地对项目进行综合性评价，剖析该项目支出在预算、管理及项目实施过程中存在的问题，探究其可能的原因，最后提出相应的解决对策。通过绩效评价，在项目资金管理中引入绩效管理理念，规范管理方式，总结项目管理经验，同时加强项目资金管理，优化财政支出结构，进一步提升财政专项资金使用效益和政府公共服务水平，为领导科学决策提供确实有力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highlight w:val="none"/>
                <w:lang w:val="en-US" w:eastAsia="zh-CN"/>
              </w:rPr>
            </w:pPr>
            <w:r>
              <w:rPr>
                <w:rFonts w:hint="eastAsia" w:ascii="仿宋_GB2312" w:hAnsi="仿宋_GB2312" w:eastAsia="仿宋_GB2312" w:cs="仿宋_GB2312"/>
                <w:color w:val="auto"/>
                <w:sz w:val="32"/>
                <w:szCs w:val="40"/>
                <w:highlight w:val="none"/>
                <w:lang w:val="en-US" w:eastAsia="zh-CN"/>
              </w:rPr>
              <w:t>（二）评价指标</w:t>
            </w:r>
            <w:bookmarkEnd w:id="55"/>
            <w:bookmarkEnd w:id="56"/>
            <w:bookmarkEnd w:id="57"/>
            <w:bookmarkEnd w:id="58"/>
            <w:bookmarkEnd w:id="59"/>
            <w:bookmarkEnd w:id="60"/>
            <w:bookmarkEnd w:id="61"/>
            <w:bookmarkEnd w:id="62"/>
            <w:bookmarkEnd w:id="63"/>
            <w:bookmarkEnd w:id="64"/>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bookmarkStart w:id="65" w:name="_Toc12572"/>
            <w:bookmarkStart w:id="66" w:name="_Toc32241"/>
            <w:bookmarkStart w:id="67" w:name="_Toc5304"/>
            <w:bookmarkStart w:id="68" w:name="_Toc32306"/>
            <w:bookmarkStart w:id="69" w:name="_Toc11684"/>
            <w:bookmarkStart w:id="70" w:name="_Toc25343"/>
            <w:bookmarkStart w:id="71" w:name="_Toc5587"/>
            <w:bookmarkStart w:id="72" w:name="_Toc19154"/>
            <w:bookmarkStart w:id="73" w:name="_Toc19068"/>
            <w:bookmarkStart w:id="74" w:name="_Toc23270"/>
            <w:r>
              <w:rPr>
                <w:rFonts w:hint="eastAsia" w:ascii="仿宋_GB2312" w:hAnsi="仿宋_GB2312" w:eastAsia="仿宋_GB2312" w:cs="仿宋_GB2312"/>
                <w:color w:val="auto"/>
                <w:sz w:val="32"/>
                <w:szCs w:val="40"/>
                <w:lang w:val="en-US" w:eastAsia="zh-CN"/>
              </w:rPr>
              <w:t>根据项目相关性、重要性，可比性、经济性、系统性原则，结合财政支出项目绩效评价的相关要求设立相应的指标，并分配相应的权重(分值）。本项目评价指标拟设置5个一级指标(项目设置、项目管理、项目产出、项目效益、项目效果）；11个二级指标（项目立项、绩效自评情况、资金管理、项目管理、数量指标、质量指标、时效指标、成本指标、经济效益指标、社会效益指标、满意度)；根据项目实施具体情况，共设置16个三级指标。本项目绩效评价以100分计，项目设置、项目管理、项目产出、项目效益、项目效果5个一级指标分别权重为：20%，20%，20%，20%，20%。（1）共性指标是对项目设置、项目管理进行评价，包括项目立项、绩效自评情况、资金管理、项目管理4个二级指标，分值分别为10分、10分、12分、8分，共40分；设置三级指标9个。充分反映实施部门项目立项、绩效自评情况、预算调整、资金管理等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(2)个性指标是对项目产出、项目效益、项目效果情况进行评价，共设置产出数量、产出质量、产出成本、产出时效、社会效益、经济效益、满意度7个二级指标，分别占5分、5分、5分、5分、10分、10分、20分，共60分；设置三级指标7个，能够充分地反映出工作活动产出数量、质量、成本、时效、社会效益、经济效益及群众满意度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（三）评价依据</w:t>
            </w:r>
            <w:bookmarkEnd w:id="65"/>
            <w:bookmarkEnd w:id="66"/>
            <w:bookmarkEnd w:id="67"/>
            <w:bookmarkEnd w:id="68"/>
            <w:bookmarkEnd w:id="69"/>
            <w:bookmarkEnd w:id="70"/>
            <w:bookmarkEnd w:id="71"/>
            <w:bookmarkEnd w:id="72"/>
            <w:bookmarkEnd w:id="73"/>
            <w:bookmarkEnd w:id="74"/>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bookmarkStart w:id="75" w:name="_Toc22038"/>
            <w:bookmarkStart w:id="76" w:name="_Toc1868"/>
            <w:bookmarkStart w:id="77" w:name="_Toc11243"/>
            <w:bookmarkStart w:id="78" w:name="_Toc7393"/>
            <w:bookmarkStart w:id="79" w:name="_Toc24302"/>
            <w:bookmarkStart w:id="80" w:name="_Toc13179"/>
            <w:bookmarkStart w:id="81" w:name="_Toc9401"/>
            <w:bookmarkStart w:id="82" w:name="_Toc26780"/>
            <w:bookmarkStart w:id="83" w:name="_Toc6747"/>
            <w:bookmarkStart w:id="84" w:name="_Toc12940"/>
            <w:r>
              <w:rPr>
                <w:rFonts w:hint="eastAsia" w:ascii="仿宋_GB2312" w:hAnsi="仿宋_GB2312" w:eastAsia="仿宋_GB2312" w:cs="仿宋_GB2312"/>
                <w:color w:val="auto"/>
                <w:sz w:val="32"/>
                <w:szCs w:val="40"/>
                <w:lang w:val="en-US" w:eastAsia="zh-CN"/>
              </w:rPr>
              <w:t>1.《中华人民共和国预算法》；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2.《中华人民共和国会计法》；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3.《中华人民共和国政府采购法》；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4.《财政部关于印发〈项目支出绩效评价管理办法〉的通知》（财预（2020）10号）；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5.《中共中央国务院关于全面实施预算绩效管理的意见》（中发（2018）34号）；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6.《中共河北省委河北省人民政府关于全面实施预算绩效管理的实施意见》（冀发（2018）54号）；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7.《中共邢台市委、市政府关于全面落实预算绩效管理的实施意见》（邢发（2019）17号）；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8.《邢台市市级财政重点绩效评价管理办法》(邢市财预（2019）76号）；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9.项目其他相关依据。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（四）评价的主要方法及等级设定</w:t>
            </w:r>
            <w:bookmarkEnd w:id="75"/>
            <w:bookmarkEnd w:id="76"/>
            <w:bookmarkEnd w:id="77"/>
            <w:bookmarkEnd w:id="78"/>
            <w:bookmarkEnd w:id="79"/>
            <w:bookmarkEnd w:id="80"/>
            <w:bookmarkEnd w:id="81"/>
            <w:bookmarkEnd w:id="82"/>
            <w:bookmarkEnd w:id="83"/>
            <w:bookmarkEnd w:id="84"/>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根据《财政部关于印发〈项目支出绩效评价管理办法〉的通知》（财预（2020）10号），财政和部门评价的方法主要包括比较分析法、因素分析法、公众评判法、成本效益分析法等。根据评价对象的具体情况，采用多种方法，采取定量与定性相结合进行评价并计算综合得分。评价结果分为A、B、C、D四个等级，根据各项指标得分合计分数，确定综合评价等级。具体如下：</w:t>
            </w:r>
          </w:p>
          <w:p>
            <w:pPr>
              <w:pStyle w:val="10"/>
              <w:rPr>
                <w:rFonts w:hint="eastAsia" w:ascii="仿宋_GB2312" w:hAnsi="仿宋_GB2312" w:eastAsia="仿宋_GB2312" w:cs="仿宋_GB2312"/>
                <w:color w:val="auto"/>
                <w:sz w:val="32"/>
                <w:szCs w:val="40"/>
                <w:lang w:val="en-US" w:eastAsia="zh-CN"/>
              </w:rPr>
            </w:pPr>
          </w:p>
          <w:p>
            <w:pPr>
              <w:pStyle w:val="10"/>
              <w:rPr>
                <w:rFonts w:hint="default"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5</w:t>
            </w:r>
          </w:p>
          <w:p>
            <w:pPr>
              <w:pStyle w:val="10"/>
              <w:rPr>
                <w:rFonts w:hint="eastAsia"/>
                <w:lang w:val="en-US" w:eastAsia="zh-CN"/>
              </w:rPr>
            </w:pPr>
          </w:p>
          <w:tbl>
            <w:tblPr>
              <w:tblStyle w:val="9"/>
              <w:tblW w:w="83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1800"/>
              <w:gridCol w:w="1726"/>
              <w:gridCol w:w="1793"/>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7" w:type="dxa"/>
                </w:tcPr>
                <w:p>
                  <w:pPr>
                    <w:pStyle w:val="10"/>
                    <w:ind w:left="0" w:leftChars="0" w:firstLine="280" w:firstLineChars="100"/>
                    <w:jc w:val="both"/>
                    <w:rPr>
                      <w:rFonts w:hint="default" w:ascii="仿宋_GB2312" w:hAnsi="仿宋_GB2312" w:eastAsia="仿宋_GB2312" w:cs="仿宋_GB2312"/>
                      <w:color w:val="auto"/>
                      <w:sz w:val="32"/>
                      <w:szCs w:val="40"/>
                      <w:vertAlign w:val="baseline"/>
                      <w:lang w:val="en-US" w:eastAsia="zh-CN"/>
                    </w:rPr>
                  </w:pPr>
                  <w:r>
                    <w:rPr>
                      <w:rFonts w:hint="eastAsia" w:ascii="仿宋_GB2312" w:hAnsi="仿宋_GB2312" w:eastAsia="仿宋_GB2312" w:cs="仿宋_GB2312"/>
                      <w:color w:val="auto"/>
                      <w:sz w:val="28"/>
                      <w:szCs w:val="28"/>
                      <w:vertAlign w:val="baseline"/>
                      <w:lang w:val="en-US" w:eastAsia="zh-CN"/>
                    </w:rPr>
                    <w:t>项目</w:t>
                  </w:r>
                </w:p>
              </w:tc>
              <w:tc>
                <w:tcPr>
                  <w:tcW w:w="1800" w:type="dxa"/>
                </w:tcPr>
                <w:p>
                  <w:pPr>
                    <w:pStyle w:val="10"/>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A</w:t>
                  </w:r>
                </w:p>
              </w:tc>
              <w:tc>
                <w:tcPr>
                  <w:tcW w:w="1726" w:type="dxa"/>
                </w:tcPr>
                <w:p>
                  <w:pPr>
                    <w:pStyle w:val="10"/>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B</w:t>
                  </w:r>
                </w:p>
              </w:tc>
              <w:tc>
                <w:tcPr>
                  <w:tcW w:w="1793" w:type="dxa"/>
                </w:tcPr>
                <w:p>
                  <w:pPr>
                    <w:pStyle w:val="10"/>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C</w:t>
                  </w:r>
                </w:p>
              </w:tc>
              <w:tc>
                <w:tcPr>
                  <w:tcW w:w="1530" w:type="dxa"/>
                </w:tcPr>
                <w:p>
                  <w:pPr>
                    <w:pStyle w:val="10"/>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jc w:val="center"/>
              </w:trPr>
              <w:tc>
                <w:tcPr>
                  <w:tcW w:w="1457" w:type="dxa"/>
                </w:tcPr>
                <w:p>
                  <w:pPr>
                    <w:pStyle w:val="10"/>
                    <w:ind w:left="0" w:leftChars="0" w:firstLine="280" w:firstLineChars="100"/>
                    <w:rPr>
                      <w:rFonts w:hint="default" w:ascii="仿宋_GB2312" w:hAnsi="仿宋_GB2312" w:eastAsia="仿宋_GB2312" w:cs="仿宋_GB2312"/>
                      <w:color w:val="auto"/>
                      <w:sz w:val="32"/>
                      <w:szCs w:val="40"/>
                      <w:vertAlign w:val="baseline"/>
                      <w:lang w:val="en-US" w:eastAsia="zh-CN"/>
                    </w:rPr>
                  </w:pPr>
                  <w:r>
                    <w:rPr>
                      <w:rFonts w:hint="eastAsia" w:ascii="仿宋_GB2312" w:hAnsi="仿宋_GB2312" w:eastAsia="仿宋_GB2312" w:cs="仿宋_GB2312"/>
                      <w:color w:val="auto"/>
                      <w:sz w:val="28"/>
                      <w:szCs w:val="28"/>
                      <w:vertAlign w:val="baseline"/>
                      <w:lang w:val="en-US" w:eastAsia="zh-CN"/>
                    </w:rPr>
                    <w:t>分值</w:t>
                  </w:r>
                </w:p>
              </w:tc>
              <w:tc>
                <w:tcPr>
                  <w:tcW w:w="1800" w:type="dxa"/>
                  <w:vAlign w:val="center"/>
                </w:tcPr>
                <w:p>
                  <w:pPr>
                    <w:pStyle w:val="10"/>
                    <w:ind w:left="0" w:leftChars="0" w:firstLine="0" w:firstLineChars="0"/>
                    <w:jc w:val="center"/>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≧90分</w:t>
                  </w:r>
                </w:p>
              </w:tc>
              <w:tc>
                <w:tcPr>
                  <w:tcW w:w="1726" w:type="dxa"/>
                  <w:vAlign w:val="center"/>
                </w:tcPr>
                <w:p>
                  <w:pPr>
                    <w:pStyle w:val="10"/>
                    <w:ind w:left="0" w:leftChars="0" w:firstLine="0" w:firstLineChars="0"/>
                    <w:jc w:val="center"/>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≥80分，＜90分</w:t>
                  </w:r>
                </w:p>
              </w:tc>
              <w:tc>
                <w:tcPr>
                  <w:tcW w:w="1793" w:type="dxa"/>
                  <w:vAlign w:val="center"/>
                </w:tcPr>
                <w:p>
                  <w:pPr>
                    <w:bidi w:val="0"/>
                    <w:jc w:val="center"/>
                    <w:rPr>
                      <w:rFonts w:hint="eastAsia" w:ascii="仿宋" w:hAnsi="仿宋" w:eastAsia="仿宋" w:cs="仿宋"/>
                      <w:lang w:val="en-US" w:eastAsia="zh-CN"/>
                    </w:rPr>
                  </w:pPr>
                  <w:r>
                    <w:rPr>
                      <w:rFonts w:hint="eastAsia" w:ascii="仿宋" w:hAnsi="仿宋" w:eastAsia="仿宋" w:cs="仿宋"/>
                      <w:lang w:val="en-US" w:eastAsia="zh-CN"/>
                    </w:rPr>
                    <w:t>≥60分，＜80分</w:t>
                  </w:r>
                </w:p>
              </w:tc>
              <w:tc>
                <w:tcPr>
                  <w:tcW w:w="1530" w:type="dxa"/>
                  <w:vAlign w:val="center"/>
                </w:tcPr>
                <w:p>
                  <w:pPr>
                    <w:pStyle w:val="10"/>
                    <w:ind w:left="0" w:leftChars="0" w:firstLine="0" w:firstLineChars="0"/>
                    <w:jc w:val="center"/>
                    <w:rPr>
                      <w:rFonts w:hint="eastAsia" w:ascii="仿宋" w:hAnsi="仿宋" w:eastAsia="仿宋" w:cs="仿宋"/>
                      <w:color w:val="auto"/>
                      <w:sz w:val="32"/>
                      <w:szCs w:val="40"/>
                      <w:vertAlign w:val="baseline"/>
                      <w:lang w:val="en-US" w:eastAsia="zh-CN"/>
                    </w:rPr>
                  </w:pPr>
                  <w:r>
                    <w:rPr>
                      <w:rFonts w:hint="eastAsia" w:ascii="仿宋" w:hAnsi="仿宋" w:eastAsia="仿宋" w:cs="仿宋"/>
                      <w:kern w:val="2"/>
                      <w:sz w:val="21"/>
                      <w:szCs w:val="24"/>
                      <w:lang w:val="en-US" w:eastAsia="zh-CN" w:bidi="ar-SA"/>
                    </w:rPr>
                    <w:t>&lt;60分</w:t>
                  </w:r>
                </w:p>
              </w:tc>
            </w:tr>
          </w:tbl>
          <w:p>
            <w:pPr>
              <w:pStyle w:val="10"/>
              <w:ind w:left="0" w:leftChars="0" w:firstLine="0" w:firstLineChars="0"/>
              <w:rPr>
                <w:rFonts w:hint="eastAsia" w:ascii="仿宋_GB2312" w:hAnsi="仿宋_GB2312" w:eastAsia="仿宋_GB2312" w:cs="仿宋_GB2312"/>
                <w:color w:val="auto"/>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0"/>
              <w:rPr>
                <w:rFonts w:hint="eastAsia" w:ascii="仿宋_GB2312" w:hAnsi="仿宋_GB2312" w:eastAsia="仿宋_GB2312" w:cs="仿宋_GB2312"/>
                <w:lang w:val="en-US" w:eastAsia="zh-CN"/>
              </w:rPr>
            </w:pPr>
            <w:bookmarkStart w:id="85" w:name="_Toc20748"/>
            <w:bookmarkStart w:id="86" w:name="_Toc5623"/>
            <w:bookmarkStart w:id="87" w:name="_Toc22222"/>
            <w:bookmarkStart w:id="88" w:name="_Toc17025"/>
            <w:bookmarkStart w:id="89" w:name="_Toc30508"/>
            <w:bookmarkStart w:id="90" w:name="_Toc21014"/>
            <w:bookmarkStart w:id="91" w:name="_Toc28621"/>
            <w:bookmarkStart w:id="92" w:name="_Toc10113"/>
            <w:bookmarkStart w:id="93" w:name="_Toc6105"/>
            <w:bookmarkStart w:id="94" w:name="_Toc18842"/>
            <w:r>
              <w:rPr>
                <w:rFonts w:hint="eastAsia" w:ascii="仿宋_GB2312" w:hAnsi="仿宋_GB2312" w:eastAsia="仿宋_GB2312" w:cs="仿宋_GB2312"/>
                <w:b/>
                <w:bCs/>
                <w:color w:val="auto"/>
                <w:sz w:val="32"/>
                <w:szCs w:val="40"/>
                <w:lang w:val="en-US" w:eastAsia="zh-CN"/>
              </w:rPr>
              <w:t>四、绩效评价指标体系及得分情况</w:t>
            </w:r>
            <w:bookmarkEnd w:id="85"/>
            <w:bookmarkEnd w:id="86"/>
            <w:bookmarkEnd w:id="87"/>
            <w:bookmarkEnd w:id="88"/>
            <w:bookmarkEnd w:id="89"/>
            <w:bookmarkEnd w:id="90"/>
            <w:bookmarkEnd w:id="91"/>
            <w:bookmarkEnd w:id="92"/>
            <w:bookmarkEnd w:id="93"/>
            <w:bookmarkEnd w:id="94"/>
          </w:p>
          <w:p>
            <w:pPr>
              <w:keepNext w:val="0"/>
              <w:keepLines w:val="0"/>
              <w:widowControl/>
              <w:suppressLineNumbers w:val="0"/>
              <w:jc w:val="center"/>
              <w:textAlignment w:val="center"/>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重点绩效自评指标表</w:t>
            </w:r>
          </w:p>
        </w:tc>
      </w:tr>
      <w:tr>
        <w:tblPrEx>
          <w:tblLayout w:type="fixed"/>
          <w:tblCellMar>
            <w:top w:w="0" w:type="dxa"/>
            <w:left w:w="0" w:type="dxa"/>
            <w:bottom w:w="0" w:type="dxa"/>
            <w:right w:w="0" w:type="dxa"/>
          </w:tblCellMar>
        </w:tblPrEx>
        <w:trPr>
          <w:trHeight w:val="585" w:hRule="atLeast"/>
        </w:trPr>
        <w:tc>
          <w:tcPr>
            <w:tcW w:w="1611" w:type="dxa"/>
            <w:tcBorders>
              <w:top w:val="single" w:color="000000" w:sz="4" w:space="0"/>
              <w:left w:val="single" w:color="000000" w:sz="4" w:space="0"/>
              <w:bottom w:val="single" w:color="000000" w:sz="4" w:space="0"/>
              <w:right w:val="nil"/>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一级指标  </w:t>
            </w:r>
          </w:p>
        </w:tc>
        <w:tc>
          <w:tcPr>
            <w:tcW w:w="67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二级指标</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 三级指标</w:t>
            </w:r>
          </w:p>
        </w:tc>
        <w:tc>
          <w:tcPr>
            <w:tcW w:w="759"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分值</w:t>
            </w:r>
          </w:p>
        </w:tc>
        <w:tc>
          <w:tcPr>
            <w:tcW w:w="3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指标说明</w:t>
            </w:r>
          </w:p>
        </w:tc>
        <w:tc>
          <w:tcPr>
            <w:tcW w:w="819"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得分</w:t>
            </w:r>
          </w:p>
        </w:tc>
      </w:tr>
      <w:tr>
        <w:tblPrEx>
          <w:tblLayout w:type="fixed"/>
          <w:tblCellMar>
            <w:top w:w="0" w:type="dxa"/>
            <w:left w:w="0" w:type="dxa"/>
            <w:bottom w:w="0" w:type="dxa"/>
            <w:right w:w="0" w:type="dxa"/>
          </w:tblCellMar>
        </w:tblPrEx>
        <w:trPr>
          <w:trHeight w:val="552" w:hRule="atLeast"/>
        </w:trPr>
        <w:tc>
          <w:tcPr>
            <w:tcW w:w="161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名称</w:t>
            </w:r>
          </w:p>
        </w:tc>
        <w:tc>
          <w:tcPr>
            <w:tcW w:w="67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名称</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名称</w:t>
            </w:r>
          </w:p>
        </w:tc>
        <w:tc>
          <w:tcPr>
            <w:tcW w:w="759"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b/>
                <w:i w:val="0"/>
                <w:color w:val="000000"/>
                <w:sz w:val="24"/>
                <w:szCs w:val="24"/>
                <w:u w:val="none"/>
              </w:rPr>
            </w:pPr>
          </w:p>
        </w:tc>
        <w:tc>
          <w:tcPr>
            <w:tcW w:w="3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b/>
                <w:i w:val="0"/>
                <w:color w:val="000000"/>
                <w:sz w:val="24"/>
                <w:szCs w:val="24"/>
                <w:u w:val="none"/>
              </w:rPr>
            </w:pPr>
          </w:p>
        </w:tc>
        <w:tc>
          <w:tcPr>
            <w:tcW w:w="819"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b/>
                <w:i w:val="0"/>
                <w:color w:val="000000"/>
                <w:sz w:val="24"/>
                <w:szCs w:val="24"/>
                <w:u w:val="none"/>
              </w:rPr>
            </w:pPr>
          </w:p>
        </w:tc>
      </w:tr>
      <w:tr>
        <w:tblPrEx>
          <w:tblLayout w:type="fixed"/>
          <w:tblCellMar>
            <w:top w:w="0" w:type="dxa"/>
            <w:left w:w="0" w:type="dxa"/>
            <w:bottom w:w="0" w:type="dxa"/>
            <w:right w:w="0" w:type="dxa"/>
          </w:tblCellMar>
        </w:tblPrEx>
        <w:trPr>
          <w:trHeight w:val="921" w:hRule="atLeast"/>
        </w:trPr>
        <w:tc>
          <w:tcPr>
            <w:tcW w:w="1611"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“工作活动”设置（20分）</w:t>
            </w:r>
          </w:p>
        </w:tc>
        <w:tc>
          <w:tcPr>
            <w:tcW w:w="674"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项目立项情况</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是否符合县政府经济和社会总体发展规划</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有县政府相关政策、规划、任务等文件得5分；无不得分。</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sz w:val="22"/>
                <w:szCs w:val="22"/>
                <w:u w:val="none"/>
                <w:lang w:val="en-US"/>
              </w:rPr>
            </w:pPr>
            <w:r>
              <w:rPr>
                <w:rFonts w:hint="eastAsia" w:ascii="仿宋_GB2312" w:hAnsi="仿宋_GB2312" w:eastAsia="仿宋_GB2312" w:cs="仿宋_GB2312"/>
                <w:i w:val="0"/>
                <w:color w:val="000000"/>
                <w:kern w:val="0"/>
                <w:sz w:val="22"/>
                <w:szCs w:val="22"/>
                <w:u w:val="none"/>
                <w:lang w:val="en-US" w:eastAsia="zh-CN" w:bidi="ar"/>
              </w:rPr>
              <w:t xml:space="preserve"> 5</w:t>
            </w:r>
          </w:p>
        </w:tc>
      </w:tr>
      <w:tr>
        <w:tblPrEx>
          <w:tblLayout w:type="fixed"/>
          <w:tblCellMar>
            <w:top w:w="0" w:type="dxa"/>
            <w:left w:w="0" w:type="dxa"/>
            <w:bottom w:w="0" w:type="dxa"/>
            <w:right w:w="0" w:type="dxa"/>
          </w:tblCellMar>
        </w:tblPrEx>
        <w:trPr>
          <w:trHeight w:val="1164" w:hRule="atLeast"/>
        </w:trPr>
        <w:tc>
          <w:tcPr>
            <w:tcW w:w="1611"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项目活动与职责相关性</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工作活动与部门职责、工作规划和重点工作相关，工作活动项下确定的预算项目合理，与工作活动密切相关，工作活动和项目预算安排合理，得5分；否则不得分。</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r>
      <w:tr>
        <w:tblPrEx>
          <w:tblLayout w:type="fixed"/>
          <w:tblCellMar>
            <w:top w:w="0" w:type="dxa"/>
            <w:left w:w="0" w:type="dxa"/>
            <w:bottom w:w="0" w:type="dxa"/>
            <w:right w:w="0" w:type="dxa"/>
          </w:tblCellMar>
        </w:tblPrEx>
        <w:trPr>
          <w:trHeight w:val="564" w:hRule="atLeast"/>
        </w:trPr>
        <w:tc>
          <w:tcPr>
            <w:tcW w:w="1611"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绩效自评情况</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项目设立绩效目标合理性</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①是否将项目绩效目标细化分解为具体的绩效指标；</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②是否通过清晰、可衡量的指标值予以体现；</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③是否与项目年度任务数或计划数相对应；</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④是否与预算确定的项目投资额或资金量相匹配。</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缺少一项扣0.2分,扣完为止。</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5 </w:t>
            </w:r>
          </w:p>
        </w:tc>
      </w:tr>
      <w:tr>
        <w:tblPrEx>
          <w:tblLayout w:type="fixed"/>
          <w:tblCellMar>
            <w:top w:w="0" w:type="dxa"/>
            <w:left w:w="0" w:type="dxa"/>
            <w:bottom w:w="0" w:type="dxa"/>
            <w:right w:w="0" w:type="dxa"/>
          </w:tblCellMar>
        </w:tblPrEx>
        <w:trPr>
          <w:trHeight w:val="1460" w:hRule="atLeast"/>
        </w:trPr>
        <w:tc>
          <w:tcPr>
            <w:tcW w:w="1611"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自评报告情况</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是否有绩效评价报告，报告是否依据充分、内容真实完整；数据准确、分析透彻。每存在一项问题扣0.5分，扣完为止。</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5 </w:t>
            </w:r>
          </w:p>
        </w:tc>
      </w:tr>
      <w:tr>
        <w:tblPrEx>
          <w:tblLayout w:type="fixed"/>
          <w:tblCellMar>
            <w:top w:w="0" w:type="dxa"/>
            <w:left w:w="0" w:type="dxa"/>
            <w:bottom w:w="0" w:type="dxa"/>
            <w:right w:w="0" w:type="dxa"/>
          </w:tblCellMar>
        </w:tblPrEx>
        <w:trPr>
          <w:trHeight w:val="1308" w:hRule="atLeast"/>
        </w:trPr>
        <w:tc>
          <w:tcPr>
            <w:tcW w:w="1611"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“工作活动”管理（20分）</w:t>
            </w:r>
          </w:p>
        </w:tc>
        <w:tc>
          <w:tcPr>
            <w:tcW w:w="674"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资金管理</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预算调整率</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预算调整率=（预算调整数/预算数）×100%。预算调整率每大于1%扣0.1分，扣完为止。</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r>
      <w:tr>
        <w:tblPrEx>
          <w:tblLayout w:type="fixed"/>
          <w:tblCellMar>
            <w:top w:w="0" w:type="dxa"/>
            <w:left w:w="0" w:type="dxa"/>
            <w:bottom w:w="0" w:type="dxa"/>
            <w:right w:w="0" w:type="dxa"/>
          </w:tblCellMar>
        </w:tblPrEx>
        <w:trPr>
          <w:trHeight w:val="1020" w:hRule="atLeast"/>
        </w:trPr>
        <w:tc>
          <w:tcPr>
            <w:tcW w:w="1611" w:type="dxa"/>
            <w:vMerge w:val="continue"/>
            <w:tcBorders>
              <w:top w:val="single" w:color="000000" w:sz="4" w:space="0"/>
              <w:left w:val="single" w:color="000000" w:sz="4" w:space="0"/>
              <w:bottom w:val="nil"/>
              <w:right w:val="single" w:color="000000" w:sz="4" w:space="0"/>
            </w:tcBorders>
            <w:shd w:val="clear" w:color="auto" w:fill="auto"/>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资金使用合规性</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c>
          <w:tcPr>
            <w:tcW w:w="3600" w:type="dxa"/>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项目资金使用是否符合国家财经法规及相关的财务管理制度规定，资金支出程序是否规范,报账手续是否齐全。每存在一项不合规问题扣0.5分，扣完为止。</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r>
      <w:tr>
        <w:tblPrEx>
          <w:tblLayout w:type="fixed"/>
          <w:tblCellMar>
            <w:top w:w="0" w:type="dxa"/>
            <w:left w:w="0" w:type="dxa"/>
            <w:bottom w:w="0" w:type="dxa"/>
            <w:right w:w="0" w:type="dxa"/>
          </w:tblCellMar>
        </w:tblPrEx>
        <w:trPr>
          <w:trHeight w:val="1220" w:hRule="atLeast"/>
        </w:trPr>
        <w:tc>
          <w:tcPr>
            <w:tcW w:w="1611"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会计核算规范性</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会计核算是否符合《中华人民共和国会计法》、《政府会计制度》、《会计基础工作规范》等法律法规和相关制度规定。每存在一项不合规问题扣0.5分，扣完为止。</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sz w:val="22"/>
                <w:szCs w:val="22"/>
                <w:u w:val="none"/>
                <w:lang w:val="en-US"/>
              </w:rPr>
            </w:pPr>
            <w:r>
              <w:rPr>
                <w:rFonts w:hint="eastAsia" w:ascii="仿宋_GB2312" w:hAnsi="仿宋_GB2312" w:eastAsia="仿宋_GB2312" w:cs="仿宋_GB2312"/>
                <w:i w:val="0"/>
                <w:color w:val="000000"/>
                <w:kern w:val="0"/>
                <w:sz w:val="22"/>
                <w:szCs w:val="22"/>
                <w:u w:val="none"/>
                <w:lang w:val="en-US" w:eastAsia="zh-CN" w:bidi="ar"/>
              </w:rPr>
              <w:t xml:space="preserve"> 4</w:t>
            </w:r>
          </w:p>
        </w:tc>
      </w:tr>
      <w:tr>
        <w:tblPrEx>
          <w:tblLayout w:type="fixed"/>
          <w:tblCellMar>
            <w:top w:w="0" w:type="dxa"/>
            <w:left w:w="0" w:type="dxa"/>
            <w:bottom w:w="0" w:type="dxa"/>
            <w:right w:w="0" w:type="dxa"/>
          </w:tblCellMar>
        </w:tblPrEx>
        <w:trPr>
          <w:trHeight w:val="1098" w:hRule="atLeast"/>
        </w:trPr>
        <w:tc>
          <w:tcPr>
            <w:tcW w:w="1611"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项目管理</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项目责任机制是否健全</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是否建立责任机制，项目管理和责任落实到有关人。每存在一项问题扣0.5分，扣完为止。</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4 </w:t>
            </w:r>
          </w:p>
        </w:tc>
      </w:tr>
      <w:tr>
        <w:tblPrEx>
          <w:tblLayout w:type="fixed"/>
          <w:tblCellMar>
            <w:top w:w="0" w:type="dxa"/>
            <w:left w:w="0" w:type="dxa"/>
            <w:bottom w:w="0" w:type="dxa"/>
            <w:right w:w="0" w:type="dxa"/>
          </w:tblCellMar>
        </w:tblPrEx>
        <w:trPr>
          <w:trHeight w:val="756" w:hRule="atLeast"/>
        </w:trPr>
        <w:tc>
          <w:tcPr>
            <w:tcW w:w="1611" w:type="dxa"/>
            <w:vMerge w:val="continue"/>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continue"/>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2083" w:type="dxa"/>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管理制度健全性</w:t>
            </w:r>
          </w:p>
        </w:tc>
        <w:tc>
          <w:tcPr>
            <w:tcW w:w="759" w:type="dxa"/>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c>
          <w:tcPr>
            <w:tcW w:w="3600" w:type="dxa"/>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制定管理制度和措施（包括财务制度）是否明确、清晰、具有可操作性，能否保障工作活动顺利实施。每缺少一项制度扣0.2分，扣完为止。</w:t>
            </w:r>
          </w:p>
        </w:tc>
        <w:tc>
          <w:tcPr>
            <w:tcW w:w="819" w:type="dxa"/>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4 </w:t>
            </w:r>
          </w:p>
        </w:tc>
      </w:tr>
      <w:tr>
        <w:tblPrEx>
          <w:tblLayout w:type="fixed"/>
          <w:tblCellMar>
            <w:top w:w="0" w:type="dxa"/>
            <w:left w:w="0" w:type="dxa"/>
            <w:bottom w:w="0" w:type="dxa"/>
            <w:right w:w="0" w:type="dxa"/>
          </w:tblCellMar>
        </w:tblPrEx>
        <w:trPr>
          <w:trHeight w:val="1464" w:hRule="atLeast"/>
        </w:trPr>
        <w:tc>
          <w:tcPr>
            <w:tcW w:w="1611" w:type="dxa"/>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“工作活动”产出（20分）</w:t>
            </w:r>
          </w:p>
        </w:tc>
        <w:tc>
          <w:tcPr>
            <w:tcW w:w="674"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数量指标</w:t>
            </w:r>
          </w:p>
        </w:tc>
        <w:tc>
          <w:tcPr>
            <w:tcW w:w="2083"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公路建设工程量</w:t>
            </w:r>
          </w:p>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rPr>
            </w:pPr>
            <w:r>
              <w:rPr>
                <w:rFonts w:hint="eastAsia" w:ascii="仿宋_GB2312" w:hAnsi="仿宋_GB2312" w:eastAsia="仿宋_GB2312" w:cs="仿宋_GB2312"/>
                <w:i w:val="0"/>
                <w:color w:val="000000"/>
                <w:kern w:val="0"/>
                <w:sz w:val="22"/>
                <w:szCs w:val="22"/>
                <w:u w:val="none"/>
                <w:lang w:val="en-US" w:eastAsia="zh-CN" w:bidi="ar"/>
              </w:rPr>
              <w:t>（千米）</w:t>
            </w:r>
          </w:p>
        </w:tc>
        <w:tc>
          <w:tcPr>
            <w:tcW w:w="75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sz w:val="22"/>
                <w:szCs w:val="22"/>
                <w:u w:val="none"/>
              </w:rPr>
              <w:t>建设公路公里数按照合同、可研批复、实施方案等里程要求数量完成，得该项的满分；未完全完成且无依据的不得分；未完全完成的，酌情扣1-2分。</w:t>
            </w:r>
          </w:p>
        </w:tc>
        <w:tc>
          <w:tcPr>
            <w:tcW w:w="81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r>
      <w:tr>
        <w:tblPrEx>
          <w:tblLayout w:type="fixed"/>
          <w:tblCellMar>
            <w:top w:w="0" w:type="dxa"/>
            <w:left w:w="0" w:type="dxa"/>
            <w:bottom w:w="0" w:type="dxa"/>
            <w:right w:w="0" w:type="dxa"/>
          </w:tblCellMar>
        </w:tblPrEx>
        <w:trPr>
          <w:trHeight w:val="2099" w:hRule="atLeast"/>
        </w:trPr>
        <w:tc>
          <w:tcPr>
            <w:tcW w:w="1611"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质量指标</w:t>
            </w:r>
          </w:p>
        </w:tc>
        <w:tc>
          <w:tcPr>
            <w:tcW w:w="2083"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项目验收合格</w:t>
            </w:r>
          </w:p>
        </w:tc>
        <w:tc>
          <w:tcPr>
            <w:tcW w:w="75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sz w:val="22"/>
                <w:szCs w:val="22"/>
                <w:u w:val="none"/>
              </w:rPr>
              <w:t>工程项目验收报告具体完整，符合标准要求，验收合格率达100%的得满分，验收报告内容不够具体完整或未按照标准验收的，发现1项扣减1分，验收合格率每降低5%扣减1分，不足5%按5%计算，本项得分扣完为止。</w:t>
            </w:r>
          </w:p>
        </w:tc>
        <w:tc>
          <w:tcPr>
            <w:tcW w:w="81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5 </w:t>
            </w:r>
          </w:p>
        </w:tc>
      </w:tr>
      <w:tr>
        <w:tblPrEx>
          <w:tblLayout w:type="fixed"/>
          <w:tblCellMar>
            <w:top w:w="0" w:type="dxa"/>
            <w:left w:w="0" w:type="dxa"/>
            <w:bottom w:w="0" w:type="dxa"/>
            <w:right w:w="0" w:type="dxa"/>
          </w:tblCellMar>
        </w:tblPrEx>
        <w:trPr>
          <w:trHeight w:val="1176" w:hRule="atLeast"/>
        </w:trPr>
        <w:tc>
          <w:tcPr>
            <w:tcW w:w="1611"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时效指标</w:t>
            </w:r>
          </w:p>
        </w:tc>
        <w:tc>
          <w:tcPr>
            <w:tcW w:w="2083"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工作任务及时完成率</w:t>
            </w:r>
          </w:p>
        </w:tc>
        <w:tc>
          <w:tcPr>
            <w:tcW w:w="75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sz w:val="22"/>
                <w:szCs w:val="22"/>
                <w:u w:val="none"/>
              </w:rPr>
              <w:t>工程完工按照合同约定时间完成，存在延时的，每延迟1天扣减1分，本项得分扣完为止。</w:t>
            </w:r>
          </w:p>
        </w:tc>
        <w:tc>
          <w:tcPr>
            <w:tcW w:w="81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5 </w:t>
            </w:r>
          </w:p>
        </w:tc>
      </w:tr>
      <w:tr>
        <w:tblPrEx>
          <w:tblLayout w:type="fixed"/>
          <w:tblCellMar>
            <w:top w:w="0" w:type="dxa"/>
            <w:left w:w="0" w:type="dxa"/>
            <w:bottom w:w="0" w:type="dxa"/>
            <w:right w:w="0" w:type="dxa"/>
          </w:tblCellMar>
        </w:tblPrEx>
        <w:trPr>
          <w:trHeight w:val="405" w:hRule="atLeast"/>
        </w:trPr>
        <w:tc>
          <w:tcPr>
            <w:tcW w:w="1611"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成本指标</w:t>
            </w:r>
          </w:p>
        </w:tc>
        <w:tc>
          <w:tcPr>
            <w:tcW w:w="2083"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项目投资完成情况</w:t>
            </w:r>
          </w:p>
        </w:tc>
        <w:tc>
          <w:tcPr>
            <w:tcW w:w="75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5</w:t>
            </w:r>
          </w:p>
        </w:tc>
        <w:tc>
          <w:tcPr>
            <w:tcW w:w="3600"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衡量实际成本支出较预算下降节约的比例，超过预算成本的，该项不得分。未超出的，得满分。</w:t>
            </w:r>
          </w:p>
        </w:tc>
        <w:tc>
          <w:tcPr>
            <w:tcW w:w="81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5</w:t>
            </w:r>
          </w:p>
        </w:tc>
      </w:tr>
      <w:tr>
        <w:tblPrEx>
          <w:tblLayout w:type="fixed"/>
          <w:tblCellMar>
            <w:top w:w="0" w:type="dxa"/>
            <w:left w:w="0" w:type="dxa"/>
            <w:bottom w:w="0" w:type="dxa"/>
            <w:right w:w="0" w:type="dxa"/>
          </w:tblCellMar>
        </w:tblPrEx>
        <w:trPr>
          <w:trHeight w:val="1546" w:hRule="atLeast"/>
        </w:trPr>
        <w:tc>
          <w:tcPr>
            <w:tcW w:w="1611" w:type="dxa"/>
            <w:vMerge w:val="restart"/>
            <w:tcBorders>
              <w:top w:val="single" w:color="auto" w:sz="4" w:space="0"/>
              <w:left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lang w:eastAsia="zh-CN"/>
              </w:rPr>
            </w:pPr>
            <w:r>
              <w:rPr>
                <w:rFonts w:hint="eastAsia" w:ascii="仿宋_GB2312" w:hAnsi="仿宋_GB2312" w:eastAsia="仿宋_GB2312" w:cs="仿宋_GB2312"/>
                <w:i w:val="0"/>
                <w:color w:val="000000"/>
                <w:kern w:val="0"/>
                <w:sz w:val="22"/>
                <w:szCs w:val="22"/>
                <w:u w:val="none"/>
                <w:lang w:val="en-US" w:eastAsia="zh-CN" w:bidi="ar"/>
              </w:rPr>
              <w:t>“工作活动”</w:t>
            </w:r>
            <w:r>
              <w:rPr>
                <w:rFonts w:hint="eastAsia" w:ascii="仿宋_GB2312" w:hAnsi="仿宋_GB2312" w:eastAsia="仿宋_GB2312" w:cs="仿宋_GB2312"/>
                <w:i w:val="0"/>
                <w:color w:val="000000"/>
                <w:sz w:val="22"/>
                <w:szCs w:val="22"/>
                <w:u w:val="none"/>
              </w:rPr>
              <w:t>效益</w:t>
            </w:r>
            <w:r>
              <w:rPr>
                <w:rFonts w:hint="eastAsia" w:ascii="仿宋_GB2312" w:hAnsi="仿宋_GB2312" w:eastAsia="仿宋_GB2312" w:cs="仿宋_GB2312"/>
                <w:i w:val="0"/>
                <w:color w:val="000000"/>
                <w:sz w:val="22"/>
                <w:szCs w:val="22"/>
                <w:u w:val="none"/>
                <w:lang w:eastAsia="zh-CN"/>
              </w:rPr>
              <w:t>（</w:t>
            </w:r>
            <w:r>
              <w:rPr>
                <w:rFonts w:hint="eastAsia" w:ascii="仿宋_GB2312" w:hAnsi="仿宋_GB2312" w:eastAsia="仿宋_GB2312" w:cs="仿宋_GB2312"/>
                <w:i w:val="0"/>
                <w:color w:val="000000"/>
                <w:sz w:val="22"/>
                <w:szCs w:val="22"/>
                <w:u w:val="none"/>
                <w:lang w:val="en-US" w:eastAsia="zh-CN"/>
              </w:rPr>
              <w:t>20分</w:t>
            </w:r>
            <w:r>
              <w:rPr>
                <w:rFonts w:hint="eastAsia" w:ascii="仿宋_GB2312" w:hAnsi="仿宋_GB2312" w:eastAsia="仿宋_GB2312" w:cs="仿宋_GB2312"/>
                <w:i w:val="0"/>
                <w:color w:val="000000"/>
                <w:sz w:val="22"/>
                <w:szCs w:val="22"/>
                <w:u w:val="none"/>
                <w:lang w:eastAsia="zh-CN"/>
              </w:rPr>
              <w:t>）</w:t>
            </w:r>
          </w:p>
        </w:tc>
        <w:tc>
          <w:tcPr>
            <w:tcW w:w="674" w:type="dxa"/>
            <w:tcBorders>
              <w:top w:val="single" w:color="auto" w:sz="4" w:space="0"/>
              <w:left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经济效益指标</w:t>
            </w:r>
          </w:p>
        </w:tc>
        <w:tc>
          <w:tcPr>
            <w:tcW w:w="2083"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促进区域经济发展，提高当地人民物质生活水平</w:t>
            </w:r>
          </w:p>
        </w:tc>
        <w:tc>
          <w:tcPr>
            <w:tcW w:w="759"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10</w:t>
            </w:r>
          </w:p>
        </w:tc>
        <w:tc>
          <w:tcPr>
            <w:tcW w:w="3600"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项目通车运营将极大改善地区投资环境，促进沿线产业发展。起到带动作用的，得满分；一定程度带动的扣2分；未带动不得分。</w:t>
            </w:r>
          </w:p>
        </w:tc>
        <w:tc>
          <w:tcPr>
            <w:tcW w:w="819"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10</w:t>
            </w:r>
          </w:p>
        </w:tc>
      </w:tr>
      <w:tr>
        <w:tblPrEx>
          <w:tblLayout w:type="fixed"/>
          <w:tblCellMar>
            <w:top w:w="0" w:type="dxa"/>
            <w:left w:w="0" w:type="dxa"/>
            <w:bottom w:w="0" w:type="dxa"/>
            <w:right w:w="0" w:type="dxa"/>
          </w:tblCellMar>
        </w:tblPrEx>
        <w:trPr>
          <w:trHeight w:val="2072" w:hRule="atLeast"/>
        </w:trPr>
        <w:tc>
          <w:tcPr>
            <w:tcW w:w="1611" w:type="dxa"/>
            <w:vMerge w:val="continue"/>
            <w:tcBorders>
              <w:left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tcBorders>
              <w:top w:val="single" w:color="000000" w:sz="4" w:space="0"/>
              <w:left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社会效益指标</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改善农村交通环境，方便周边村民出行、方便货物运输</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10</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项目建设实施提升当地基础设施建设水平，改善区域交通基础设施条件，路域环境得到提升，为群众出行、生产、生活带来便利。达到预期目标得满分，未达到的根据具体程度酌情扣2-3分。</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10</w:t>
            </w:r>
          </w:p>
        </w:tc>
      </w:tr>
      <w:tr>
        <w:tblPrEx>
          <w:tblLayout w:type="fixed"/>
          <w:tblCellMar>
            <w:top w:w="0" w:type="dxa"/>
            <w:left w:w="0" w:type="dxa"/>
            <w:bottom w:w="0" w:type="dxa"/>
            <w:right w:w="0" w:type="dxa"/>
          </w:tblCellMar>
        </w:tblPrEx>
        <w:trPr>
          <w:trHeight w:val="405" w:hRule="atLeast"/>
        </w:trPr>
        <w:tc>
          <w:tcPr>
            <w:tcW w:w="1611" w:type="dxa"/>
            <w:tcBorders>
              <w:top w:val="single" w:color="000000" w:sz="4" w:space="0"/>
              <w:left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sz w:val="22"/>
                <w:szCs w:val="22"/>
                <w:u w:val="none"/>
              </w:rPr>
              <w:t>“工作活动”效果（</w:t>
            </w:r>
            <w:r>
              <w:rPr>
                <w:rFonts w:hint="eastAsia" w:ascii="仿宋_GB2312" w:hAnsi="仿宋_GB2312" w:eastAsia="仿宋_GB2312" w:cs="仿宋_GB2312"/>
                <w:i w:val="0"/>
                <w:color w:val="000000"/>
                <w:kern w:val="0"/>
                <w:sz w:val="22"/>
                <w:szCs w:val="22"/>
                <w:u w:val="none"/>
                <w:lang w:val="en-US" w:eastAsia="zh-CN" w:bidi="ar"/>
              </w:rPr>
              <w:t>20</w:t>
            </w:r>
            <w:r>
              <w:rPr>
                <w:rFonts w:hint="eastAsia" w:ascii="仿宋_GB2312" w:hAnsi="仿宋_GB2312" w:eastAsia="仿宋_GB2312" w:cs="仿宋_GB2312"/>
                <w:i w:val="0"/>
                <w:color w:val="000000"/>
                <w:sz w:val="22"/>
                <w:szCs w:val="22"/>
                <w:u w:val="none"/>
              </w:rPr>
              <w:t>分）</w:t>
            </w:r>
          </w:p>
        </w:tc>
        <w:tc>
          <w:tcPr>
            <w:tcW w:w="674" w:type="dxa"/>
            <w:tcBorders>
              <w:top w:val="single" w:color="000000" w:sz="4" w:space="0"/>
              <w:left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满意度</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受益人群满意度</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20</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通过对群众发放调查问卷，了解对公路建设项目的接受、认可程度，根据群众满意度综合评分。满意度为95%以上的，得该项分值的满分；每下降5%扣1分，低于70%，该项不得分。</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20</w:t>
            </w:r>
          </w:p>
        </w:tc>
      </w:tr>
      <w:tr>
        <w:tblPrEx>
          <w:tblLayout w:type="fixed"/>
          <w:tblCellMar>
            <w:top w:w="0" w:type="dxa"/>
            <w:left w:w="0" w:type="dxa"/>
            <w:bottom w:w="0" w:type="dxa"/>
            <w:right w:w="0" w:type="dxa"/>
          </w:tblCellMar>
        </w:tblPrEx>
        <w:trPr>
          <w:trHeight w:val="622" w:hRule="atLeast"/>
        </w:trPr>
        <w:tc>
          <w:tcPr>
            <w:tcW w:w="161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ind w:firstLine="220" w:firstLineChars="100"/>
              <w:jc w:val="both"/>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合计</w:t>
            </w:r>
          </w:p>
        </w:tc>
        <w:tc>
          <w:tcPr>
            <w:tcW w:w="67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100</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2"/>
                <w:szCs w:val="22"/>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10</w:t>
            </w:r>
          </w:p>
        </w:tc>
      </w:tr>
    </w:tbl>
    <w:p>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center"/>
        <w:outlineLvl w:val="0"/>
        <w:rPr>
          <w:rFonts w:hint="eastAsia" w:ascii="仿宋_GB2312" w:hAnsi="仿宋_GB2312" w:eastAsia="仿宋_GB2312" w:cs="仿宋_GB2312"/>
          <w:b w:val="0"/>
          <w:bCs w:val="0"/>
          <w:color w:val="000000"/>
          <w:sz w:val="32"/>
          <w:szCs w:val="32"/>
          <w:lang w:val="en-US" w:eastAsia="zh-CN"/>
        </w:rPr>
      </w:pPr>
      <w:bookmarkStart w:id="95" w:name="_Toc2634_WPSOffice_Level1"/>
      <w:r>
        <w:rPr>
          <w:rFonts w:hint="eastAsia" w:ascii="仿宋" w:hAnsi="仿宋" w:eastAsia="仿宋" w:cs="仿宋"/>
          <w:color w:val="auto"/>
          <w:kern w:val="2"/>
          <w:sz w:val="32"/>
          <w:szCs w:val="32"/>
          <w:highlight w:val="none"/>
          <w:lang w:eastAsia="zh-CN"/>
        </w:rPr>
        <w:t>综</w:t>
      </w:r>
      <w:r>
        <w:rPr>
          <w:rFonts w:hint="eastAsia" w:ascii="仿宋" w:hAnsi="仿宋" w:eastAsia="仿宋" w:cs="仿宋"/>
          <w:color w:val="auto"/>
          <w:kern w:val="2"/>
          <w:sz w:val="32"/>
          <w:szCs w:val="32"/>
          <w:highlight w:val="none"/>
        </w:rPr>
        <w:t>合上述资金规划符合有关政策，工作目标明确，绩效指标设定合理、可衡量，</w:t>
      </w:r>
      <w:r>
        <w:rPr>
          <w:rFonts w:hint="eastAsia" w:ascii="仿宋" w:hAnsi="仿宋" w:eastAsia="仿宋" w:cs="仿宋"/>
          <w:color w:val="auto"/>
          <w:spacing w:val="-6"/>
          <w:kern w:val="2"/>
          <w:sz w:val="32"/>
          <w:szCs w:val="32"/>
          <w:highlight w:val="none"/>
          <w:lang w:eastAsia="zh-CN"/>
        </w:rPr>
        <w:t>评价得分：</w:t>
      </w:r>
      <w:r>
        <w:rPr>
          <w:rFonts w:hint="eastAsia" w:ascii="仿宋" w:hAnsi="仿宋" w:eastAsia="仿宋" w:cs="仿宋"/>
          <w:color w:val="auto"/>
          <w:spacing w:val="-6"/>
          <w:kern w:val="2"/>
          <w:sz w:val="32"/>
          <w:szCs w:val="32"/>
          <w:highlight w:val="none"/>
          <w:lang w:val="en-US" w:eastAsia="zh-CN"/>
        </w:rPr>
        <w:t>100分，</w:t>
      </w:r>
      <w:r>
        <w:rPr>
          <w:rFonts w:hint="eastAsia" w:ascii="仿宋_GB2312" w:hAnsi="仿宋_GB2312" w:eastAsia="仿宋_GB2312" w:cs="仿宋_GB2312"/>
          <w:color w:val="auto"/>
          <w:sz w:val="32"/>
          <w:szCs w:val="40"/>
          <w:lang w:val="en-US" w:eastAsia="zh-CN"/>
        </w:rPr>
        <w:t>评价结果分为A等级</w:t>
      </w:r>
      <w:r>
        <w:rPr>
          <w:rFonts w:hint="eastAsia" w:ascii="仿宋" w:hAnsi="仿宋" w:eastAsia="仿宋" w:cs="仿宋"/>
          <w:color w:val="auto"/>
          <w:spacing w:val="-6"/>
          <w:kern w:val="2"/>
          <w:sz w:val="32"/>
          <w:szCs w:val="32"/>
          <w:highlight w:val="none"/>
        </w:rPr>
        <w:t>。</w:t>
      </w:r>
    </w:p>
    <w:bookmarkEnd w:id="95"/>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700" w:lineRule="exact"/>
        <w:ind w:leftChars="100" w:firstLine="643" w:firstLineChars="200"/>
        <w:jc w:val="both"/>
        <w:textAlignment w:val="auto"/>
        <w:rPr>
          <w:rFonts w:hint="eastAsia" w:ascii="仿宋_GB2312" w:hAnsi="仿宋_GB2312" w:eastAsia="仿宋_GB2312" w:cs="仿宋_GB2312"/>
          <w:b/>
          <w:bCs/>
          <w:color w:val="auto"/>
          <w:kern w:val="2"/>
          <w:sz w:val="32"/>
          <w:szCs w:val="40"/>
          <w:lang w:val="en-US" w:eastAsia="zh-CN" w:bidi="ar-SA"/>
        </w:rPr>
      </w:pPr>
      <w:r>
        <w:rPr>
          <w:rFonts w:hint="eastAsia" w:ascii="仿宋_GB2312" w:hAnsi="仿宋_GB2312" w:eastAsia="仿宋_GB2312" w:cs="仿宋_GB2312"/>
          <w:b/>
          <w:bCs/>
          <w:color w:val="auto"/>
          <w:kern w:val="2"/>
          <w:sz w:val="32"/>
          <w:szCs w:val="40"/>
          <w:lang w:val="en-US" w:eastAsia="zh-CN" w:bidi="ar-SA"/>
        </w:rPr>
        <w:t>五、工作活动(项目)存在的问题、改进工作的意见及建议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lang w:eastAsia="zh-CN"/>
        </w:rPr>
      </w:pPr>
      <w:r>
        <w:rPr>
          <w:rFonts w:hint="eastAsia" w:ascii="仿宋" w:hAnsi="仿宋" w:eastAsia="仿宋" w:cs="仿宋"/>
          <w:color w:val="auto"/>
          <w:kern w:val="2"/>
          <w:sz w:val="32"/>
          <w:szCs w:val="32"/>
          <w:highlight w:val="none"/>
          <w:lang w:eastAsia="zh-CN"/>
        </w:rPr>
        <w:t>（一）</w:t>
      </w:r>
      <w:r>
        <w:rPr>
          <w:rFonts w:hint="eastAsia" w:ascii="仿宋" w:hAnsi="仿宋" w:eastAsia="仿宋" w:cs="仿宋"/>
          <w:color w:val="auto"/>
          <w:kern w:val="2"/>
          <w:sz w:val="32"/>
          <w:szCs w:val="32"/>
          <w:highlight w:val="none"/>
        </w:rPr>
        <w:t>自评过程中</w:t>
      </w:r>
      <w:r>
        <w:rPr>
          <w:rFonts w:hint="eastAsia" w:ascii="仿宋" w:hAnsi="仿宋" w:eastAsia="仿宋" w:cs="仿宋"/>
          <w:color w:val="auto"/>
          <w:kern w:val="2"/>
          <w:sz w:val="32"/>
          <w:szCs w:val="32"/>
          <w:highlight w:val="none"/>
          <w:lang w:eastAsia="zh-CN"/>
        </w:rPr>
        <w:t>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rPr>
        <w:t>自评标准不够明确：部分项目在自评时缺乏具体的评价标准，导致评价过程主观性较强，难以确保评价的公正性和准确性。</w:t>
      </w:r>
    </w:p>
    <w:p>
      <w:pPr>
        <w:rPr>
          <w:rFonts w:hint="eastAsia"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目前我局</w:t>
      </w:r>
      <w:r>
        <w:rPr>
          <w:rFonts w:hint="eastAsia" w:ascii="仿宋" w:hAnsi="仿宋" w:eastAsia="仿宋" w:cs="仿宋"/>
          <w:sz w:val="32"/>
          <w:szCs w:val="32"/>
        </w:rPr>
        <w:t>绩效管理人员</w:t>
      </w:r>
      <w:r>
        <w:rPr>
          <w:rFonts w:hint="eastAsia" w:ascii="仿宋" w:hAnsi="仿宋" w:eastAsia="仿宋" w:cs="仿宋"/>
          <w:sz w:val="32"/>
          <w:szCs w:val="32"/>
          <w:lang w:val="en-US" w:eastAsia="zh-CN"/>
        </w:rPr>
        <w:t>主要为部门业务人员，专业能力方面有一定不足</w:t>
      </w:r>
      <w:r>
        <w:rPr>
          <w:rFonts w:hint="eastAsia" w:ascii="仿宋" w:hAnsi="仿宋" w:eastAsia="仿宋" w:cs="仿宋"/>
          <w:sz w:val="32"/>
          <w:szCs w:val="32"/>
          <w:lang w:eastAsia="zh-CN"/>
        </w:rPr>
        <w:t>。</w:t>
      </w:r>
      <w:r>
        <w:rPr>
          <w:rFonts w:hint="eastAsia" w:ascii="仿宋" w:hAnsi="仿宋" w:eastAsia="仿宋" w:cs="仿宋"/>
          <w:kern w:val="2"/>
          <w:sz w:val="32"/>
          <w:szCs w:val="32"/>
          <w:lang w:val="en-US" w:eastAsia="zh-CN" w:bidi="ar-SA"/>
        </w:rPr>
        <w:t>自评价人员通常站在本单位职能的角度对工作进行评价，不能总体统筹考虑绩效情况，存在部分绩效评价难以量化，主观判断的自由裁量空间较大，影响了绩效管理的科学性和规范性。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lang w:eastAsia="zh-CN"/>
        </w:rPr>
        <w:t>（二）</w:t>
      </w:r>
      <w:r>
        <w:rPr>
          <w:rFonts w:hint="eastAsia" w:ascii="仿宋" w:hAnsi="仿宋" w:eastAsia="仿宋" w:cs="仿宋"/>
          <w:color w:val="auto"/>
          <w:kern w:val="2"/>
          <w:sz w:val="32"/>
          <w:szCs w:val="32"/>
          <w:highlight w:val="none"/>
        </w:rPr>
        <w:t>改进建议：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lang w:eastAsia="zh-CN"/>
        </w:rPr>
      </w:pPr>
      <w:r>
        <w:rPr>
          <w:rFonts w:hint="eastAsia" w:ascii="仿宋_GB2312" w:hAnsi="仿宋_GB2312" w:eastAsia="仿宋_GB2312" w:cs="仿宋_GB2312"/>
          <w:sz w:val="32"/>
          <w:szCs w:val="32"/>
        </w:rPr>
        <w:t>加强</w:t>
      </w:r>
      <w:r>
        <w:rPr>
          <w:rFonts w:hint="eastAsia" w:ascii="仿宋_GB2312" w:hAnsi="仿宋_GB2312" w:eastAsia="仿宋_GB2312" w:cs="仿宋_GB2312"/>
          <w:sz w:val="32"/>
          <w:szCs w:val="32"/>
          <w:lang w:eastAsia="zh-CN"/>
        </w:rPr>
        <w:t>相关人员绩效管理的学习，</w:t>
      </w:r>
      <w:r>
        <w:rPr>
          <w:rFonts w:hint="eastAsia" w:ascii="仿宋_GB2312" w:hAnsi="仿宋_GB2312" w:eastAsia="仿宋_GB2312" w:cs="仿宋_GB2312"/>
          <w:sz w:val="32"/>
          <w:szCs w:val="32"/>
        </w:rPr>
        <w:t>学习预算绩效管理的法律法规、规范要求</w:t>
      </w:r>
      <w:r>
        <w:rPr>
          <w:rFonts w:hint="eastAsia" w:ascii="仿宋_GB2312" w:hAnsi="仿宋_GB2312" w:eastAsia="仿宋_GB2312" w:cs="仿宋_GB2312"/>
          <w:sz w:val="32"/>
          <w:szCs w:val="32"/>
          <w:lang w:eastAsia="zh-CN"/>
        </w:rPr>
        <w:t>等内容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增强人员综合素质和业务能力。</w:t>
      </w:r>
      <w:r>
        <w:rPr>
          <w:rFonts w:hint="eastAsia" w:ascii="仿宋_GB2312" w:hAnsi="仿宋_GB2312" w:eastAsia="仿宋_GB2312" w:cs="仿宋_GB2312"/>
          <w:sz w:val="32"/>
          <w:szCs w:val="32"/>
        </w:rPr>
        <w:t>提高绩效目标设定的科学性</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业务人员分析、量化绩效指标的能力，提高预算编制严谨性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可控性</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eastAsia="zh-CN"/>
        </w:rPr>
        <w:t>管理</w:t>
      </w:r>
      <w:r>
        <w:rPr>
          <w:rFonts w:hint="eastAsia" w:ascii="仿宋_GB2312" w:hAnsi="仿宋_GB2312" w:eastAsia="仿宋_GB2312" w:cs="仿宋_GB2312"/>
          <w:sz w:val="32"/>
          <w:szCs w:val="32"/>
        </w:rPr>
        <w:t>质量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充分反映并发挥绩效目标设定的作用，让项目开展和绩效目标设定相互促进。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eastAsia="zh-CN"/>
        </w:rPr>
        <w:t>下一步，</w:t>
      </w:r>
      <w:r>
        <w:rPr>
          <w:rFonts w:hint="eastAsia" w:ascii="仿宋" w:hAnsi="仿宋" w:eastAsia="仿宋" w:cs="仿宋"/>
          <w:color w:val="auto"/>
          <w:kern w:val="2"/>
          <w:sz w:val="32"/>
          <w:szCs w:val="32"/>
          <w:highlight w:val="none"/>
        </w:rPr>
        <w:t>我们将继续努力，不断完善重点项目绩效自评工作，为</w:t>
      </w:r>
      <w:r>
        <w:rPr>
          <w:rFonts w:hint="eastAsia" w:ascii="仿宋" w:hAnsi="仿宋" w:eastAsia="仿宋" w:cs="仿宋"/>
          <w:color w:val="auto"/>
          <w:kern w:val="2"/>
          <w:sz w:val="32"/>
          <w:szCs w:val="32"/>
          <w:highlight w:val="none"/>
          <w:lang w:eastAsia="zh-CN"/>
        </w:rPr>
        <w:t>项目</w:t>
      </w:r>
      <w:r>
        <w:rPr>
          <w:rFonts w:hint="eastAsia" w:ascii="仿宋" w:hAnsi="仿宋" w:eastAsia="仿宋" w:cs="仿宋"/>
          <w:color w:val="auto"/>
          <w:kern w:val="2"/>
          <w:sz w:val="32"/>
          <w:szCs w:val="32"/>
          <w:highlight w:val="none"/>
        </w:rPr>
        <w:t>的发展和进步</w:t>
      </w:r>
      <w:r>
        <w:rPr>
          <w:rFonts w:hint="eastAsia" w:ascii="仿宋" w:hAnsi="仿宋" w:eastAsia="仿宋" w:cs="仿宋"/>
          <w:color w:val="auto"/>
          <w:kern w:val="2"/>
          <w:sz w:val="32"/>
          <w:szCs w:val="32"/>
          <w:highlight w:val="none"/>
          <w:lang w:val="en-US" w:eastAsia="zh-CN"/>
        </w:rPr>
        <w:t>作</w:t>
      </w:r>
      <w:r>
        <w:rPr>
          <w:rFonts w:hint="eastAsia" w:ascii="仿宋" w:hAnsi="仿宋" w:eastAsia="仿宋" w:cs="仿宋"/>
          <w:color w:val="auto"/>
          <w:kern w:val="2"/>
          <w:sz w:val="32"/>
          <w:szCs w:val="32"/>
          <w:highlight w:val="none"/>
        </w:rPr>
        <w:t>出更大的贡献。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5760" w:firstLineChars="1800"/>
        <w:rPr>
          <w:rFonts w:hint="eastAsia" w:ascii="仿宋_GB2312" w:hAnsi="仿宋_GB2312" w:eastAsia="仿宋_GB2312" w:cs="仿宋_GB2312"/>
          <w:color w:val="000000"/>
        </w:rPr>
      </w:pPr>
      <w:r>
        <w:rPr>
          <w:rFonts w:hint="eastAsia" w:ascii="仿宋_GB2312" w:hAnsi="仿宋_GB2312" w:eastAsia="仿宋_GB2312" w:cs="仿宋_GB2312"/>
          <w:color w:val="000000"/>
          <w:sz w:val="32"/>
          <w:szCs w:val="32"/>
          <w:lang w:val="en-US" w:eastAsia="zh-CN"/>
        </w:rPr>
        <w:t>2024年4月28日</w:t>
      </w:r>
    </w:p>
    <w:p>
      <w:pPr>
        <w:rPr>
          <w:rFonts w:hint="eastAsia" w:ascii="仿宋_GB2312" w:hAnsi="仿宋_GB2312" w:eastAsia="仿宋_GB2312" w:cs="仿宋_GB2312"/>
        </w:rPr>
      </w:pPr>
    </w:p>
    <w:p>
      <w:pPr>
        <w:rPr>
          <w:rFonts w:hint="eastAsia" w:ascii="仿宋_GB2312" w:hAnsi="仿宋_GB2312" w:eastAsia="仿宋_GB2312" w:cs="仿宋_GB2312"/>
        </w:rPr>
      </w:pPr>
    </w:p>
    <w:sectPr>
      <w:footerReference r:id="rId3" w:type="default"/>
      <w:pgSz w:w="11906" w:h="16838"/>
      <w:pgMar w:top="2154" w:right="1474" w:bottom="1984" w:left="1587" w:header="851" w:footer="992"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3A35D2"/>
    <w:multiLevelType w:val="singleLevel"/>
    <w:tmpl w:val="F43A35D2"/>
    <w:lvl w:ilvl="0" w:tentative="0">
      <w:start w:val="2"/>
      <w:numFmt w:val="decimal"/>
      <w:lvlText w:val="%1."/>
      <w:lvlJc w:val="left"/>
      <w:pPr>
        <w:tabs>
          <w:tab w:val="left" w:pos="312"/>
        </w:tabs>
      </w:pPr>
    </w:lvl>
  </w:abstractNum>
  <w:abstractNum w:abstractNumId="1">
    <w:nsid w:val="3DFD9F4F"/>
    <w:multiLevelType w:val="singleLevel"/>
    <w:tmpl w:val="3DFD9F4F"/>
    <w:lvl w:ilvl="0" w:tentative="0">
      <w:start w:val="3"/>
      <w:numFmt w:val="decimal"/>
      <w:suff w:val="nothing"/>
      <w:lvlText w:val="%1、"/>
      <w:lvlJc w:val="left"/>
    </w:lvl>
  </w:abstractNum>
  <w:abstractNum w:abstractNumId="2">
    <w:nsid w:val="42E9362E"/>
    <w:multiLevelType w:val="singleLevel"/>
    <w:tmpl w:val="42E9362E"/>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CC499B"/>
    <w:rsid w:val="00B60E03"/>
    <w:rsid w:val="01B67D1F"/>
    <w:rsid w:val="01CA2AF2"/>
    <w:rsid w:val="03274687"/>
    <w:rsid w:val="04064A0C"/>
    <w:rsid w:val="04321BCD"/>
    <w:rsid w:val="04FF4482"/>
    <w:rsid w:val="057A0A50"/>
    <w:rsid w:val="064C4C17"/>
    <w:rsid w:val="076C3175"/>
    <w:rsid w:val="07CC499B"/>
    <w:rsid w:val="0815567D"/>
    <w:rsid w:val="08865EF4"/>
    <w:rsid w:val="0909607F"/>
    <w:rsid w:val="09A64785"/>
    <w:rsid w:val="0A3B4E4B"/>
    <w:rsid w:val="0B601B06"/>
    <w:rsid w:val="0BEB58BF"/>
    <w:rsid w:val="0C15027B"/>
    <w:rsid w:val="0C3B2A49"/>
    <w:rsid w:val="0DAA4EE9"/>
    <w:rsid w:val="0E3117D9"/>
    <w:rsid w:val="102B0836"/>
    <w:rsid w:val="1064155D"/>
    <w:rsid w:val="10BC597C"/>
    <w:rsid w:val="1156122B"/>
    <w:rsid w:val="11F11891"/>
    <w:rsid w:val="12C35BB4"/>
    <w:rsid w:val="13093C05"/>
    <w:rsid w:val="140849FA"/>
    <w:rsid w:val="14583EA3"/>
    <w:rsid w:val="151D09B5"/>
    <w:rsid w:val="1689469A"/>
    <w:rsid w:val="16DB1E7D"/>
    <w:rsid w:val="178C6C5A"/>
    <w:rsid w:val="17BC13E9"/>
    <w:rsid w:val="17CD646A"/>
    <w:rsid w:val="184F3049"/>
    <w:rsid w:val="1B3F225B"/>
    <w:rsid w:val="1B4269FF"/>
    <w:rsid w:val="1C672059"/>
    <w:rsid w:val="1D4B3C83"/>
    <w:rsid w:val="1DBD7AB3"/>
    <w:rsid w:val="1E0B387E"/>
    <w:rsid w:val="21460607"/>
    <w:rsid w:val="21FF1E9B"/>
    <w:rsid w:val="23C1122C"/>
    <w:rsid w:val="243D751D"/>
    <w:rsid w:val="24522B03"/>
    <w:rsid w:val="24C763B2"/>
    <w:rsid w:val="25ED2FD4"/>
    <w:rsid w:val="264A346A"/>
    <w:rsid w:val="270A41B9"/>
    <w:rsid w:val="274B3C4E"/>
    <w:rsid w:val="285356FD"/>
    <w:rsid w:val="288E37E0"/>
    <w:rsid w:val="290243B4"/>
    <w:rsid w:val="2A5C748F"/>
    <w:rsid w:val="2B10000E"/>
    <w:rsid w:val="2B2D56DA"/>
    <w:rsid w:val="2D391E20"/>
    <w:rsid w:val="30785FD3"/>
    <w:rsid w:val="31702E0D"/>
    <w:rsid w:val="32377AA4"/>
    <w:rsid w:val="33C32B3C"/>
    <w:rsid w:val="34E52524"/>
    <w:rsid w:val="35CA4ECD"/>
    <w:rsid w:val="35CE5164"/>
    <w:rsid w:val="35F07825"/>
    <w:rsid w:val="360C2FBA"/>
    <w:rsid w:val="363913FE"/>
    <w:rsid w:val="36D6548C"/>
    <w:rsid w:val="376918C7"/>
    <w:rsid w:val="37832AC7"/>
    <w:rsid w:val="38195BED"/>
    <w:rsid w:val="39B23A02"/>
    <w:rsid w:val="3A4766ED"/>
    <w:rsid w:val="3A713A3B"/>
    <w:rsid w:val="3AAB2217"/>
    <w:rsid w:val="3CAE49E3"/>
    <w:rsid w:val="3DAE40CB"/>
    <w:rsid w:val="3E7103A9"/>
    <w:rsid w:val="3E7E746E"/>
    <w:rsid w:val="3EBE2184"/>
    <w:rsid w:val="3F5912F8"/>
    <w:rsid w:val="3F9B4FC0"/>
    <w:rsid w:val="41B74B09"/>
    <w:rsid w:val="43DC781A"/>
    <w:rsid w:val="441C7555"/>
    <w:rsid w:val="44647BA4"/>
    <w:rsid w:val="450A0AA4"/>
    <w:rsid w:val="45236574"/>
    <w:rsid w:val="46434BE2"/>
    <w:rsid w:val="46AA6AA7"/>
    <w:rsid w:val="478E0E32"/>
    <w:rsid w:val="48A2447B"/>
    <w:rsid w:val="49430BD9"/>
    <w:rsid w:val="494625CA"/>
    <w:rsid w:val="4A2B1596"/>
    <w:rsid w:val="4BD23ED8"/>
    <w:rsid w:val="4C2846CD"/>
    <w:rsid w:val="4C7A4C55"/>
    <w:rsid w:val="4F6A54EE"/>
    <w:rsid w:val="4FDF6ED1"/>
    <w:rsid w:val="514C0EC5"/>
    <w:rsid w:val="51F50157"/>
    <w:rsid w:val="52866F20"/>
    <w:rsid w:val="52EE7A8B"/>
    <w:rsid w:val="535B290E"/>
    <w:rsid w:val="53F1208F"/>
    <w:rsid w:val="54DE5250"/>
    <w:rsid w:val="55495194"/>
    <w:rsid w:val="56115CEE"/>
    <w:rsid w:val="56D42516"/>
    <w:rsid w:val="56FE5044"/>
    <w:rsid w:val="57E03285"/>
    <w:rsid w:val="5AE71036"/>
    <w:rsid w:val="5B5F30DA"/>
    <w:rsid w:val="5BAF6F84"/>
    <w:rsid w:val="5BE03A0F"/>
    <w:rsid w:val="5D5C7CBD"/>
    <w:rsid w:val="5DF86B3F"/>
    <w:rsid w:val="5F1C1ADB"/>
    <w:rsid w:val="60134031"/>
    <w:rsid w:val="60C120AA"/>
    <w:rsid w:val="61787429"/>
    <w:rsid w:val="627F38E2"/>
    <w:rsid w:val="6304094B"/>
    <w:rsid w:val="64165E4C"/>
    <w:rsid w:val="6536013A"/>
    <w:rsid w:val="667B0FF0"/>
    <w:rsid w:val="68DA698B"/>
    <w:rsid w:val="6A3E1F45"/>
    <w:rsid w:val="6CCC6D4C"/>
    <w:rsid w:val="6D5F4EC3"/>
    <w:rsid w:val="6E3F5A2C"/>
    <w:rsid w:val="7008088F"/>
    <w:rsid w:val="712634CC"/>
    <w:rsid w:val="71A3781D"/>
    <w:rsid w:val="7202526A"/>
    <w:rsid w:val="724E698E"/>
    <w:rsid w:val="756501CF"/>
    <w:rsid w:val="778F438E"/>
    <w:rsid w:val="7A055146"/>
    <w:rsid w:val="7A757A3F"/>
    <w:rsid w:val="7B8D71F7"/>
    <w:rsid w:val="7C647BFE"/>
    <w:rsid w:val="7D9B64C3"/>
    <w:rsid w:val="7FA85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toc 2"/>
    <w:basedOn w:val="1"/>
    <w:next w:val="1"/>
    <w:qFormat/>
    <w:uiPriority w:val="0"/>
    <w:pPr>
      <w:ind w:left="420" w:leftChars="200"/>
    </w:pPr>
    <w:rPr>
      <w:rFonts w:ascii="Calibri" w:hAnsi="Calibri" w:eastAsia="宋体" w:cs="Times New Roman"/>
    </w:r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2"/>
    <w:basedOn w:val="3"/>
    <w:next w:val="1"/>
    <w:qFormat/>
    <w:uiPriority w:val="0"/>
    <w:pPr>
      <w:ind w:firstLine="420"/>
    </w:p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正文（缩进）"/>
    <w:basedOn w:val="1"/>
    <w:qFormat/>
    <w:uiPriority w:val="0"/>
    <w:pPr>
      <w:spacing w:before="50" w:after="50"/>
      <w:ind w:firstLine="200" w:firstLineChars="200"/>
    </w:pPr>
    <w:rPr>
      <w:szCs w:val="22"/>
    </w:rPr>
  </w:style>
  <w:style w:type="paragraph" w:customStyle="1" w:styleId="11">
    <w:name w:val="WPSOffice手动目录 1"/>
    <w:qFormat/>
    <w:uiPriority w:val="0"/>
    <w:pPr>
      <w:ind w:leftChars="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云</cp:lastModifiedBy>
  <cp:lastPrinted>2024-05-06T06:43:00Z</cp:lastPrinted>
  <dcterms:modified xsi:type="dcterms:W3CDTF">2024-07-10T03:07:56Z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41260B391483414CBAB659E47BBFBA50</vt:lpwstr>
  </property>
</Properties>
</file>