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一、中国共产主义青年团巨鹿县委员会本级收支预算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一、中国共产主义青年团巨鹿县委员会本级收支预算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41.47</w:t>
            </w:r>
          </w:p>
        </w:tc>
        <w:tc>
          <w:tcPr>
            <w:tcW w:w="4535" w:type="dxa"/>
            <w:vAlign w:val="center"/>
          </w:tcPr>
          <w:p>
            <w:pPr>
              <w:pStyle w:val="12"/>
            </w:pPr>
            <w:r>
              <w:t>一、一般公共服务支出</w:t>
            </w:r>
          </w:p>
        </w:tc>
        <w:tc>
          <w:tcPr>
            <w:tcW w:w="2126" w:type="dxa"/>
            <w:vAlign w:val="center"/>
          </w:tcPr>
          <w:p>
            <w:pPr>
              <w:pStyle w:val="11"/>
            </w:pPr>
            <w:r>
              <w:t>41.47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41.47</w:t>
            </w:r>
          </w:p>
        </w:tc>
        <w:tc>
          <w:tcPr>
            <w:tcW w:w="4535" w:type="dxa"/>
            <w:vAlign w:val="center"/>
          </w:tcPr>
          <w:p>
            <w:pPr>
              <w:pStyle w:val="14"/>
            </w:pPr>
            <w:r>
              <w:t>本年支出合计</w:t>
            </w:r>
          </w:p>
        </w:tc>
        <w:tc>
          <w:tcPr>
            <w:tcW w:w="2126" w:type="dxa"/>
            <w:vAlign w:val="center"/>
          </w:tcPr>
          <w:p>
            <w:pPr>
              <w:pStyle w:val="15"/>
            </w:pPr>
            <w:r>
              <w:t>41.47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41.47</w:t>
            </w:r>
          </w:p>
        </w:tc>
        <w:tc>
          <w:tcPr>
            <w:tcW w:w="4535" w:type="dxa"/>
            <w:vAlign w:val="center"/>
          </w:tcPr>
          <w:p>
            <w:pPr>
              <w:pStyle w:val="14"/>
            </w:pPr>
            <w:r>
              <w:t>支出总计</w:t>
            </w:r>
          </w:p>
        </w:tc>
        <w:tc>
          <w:tcPr>
            <w:tcW w:w="2126" w:type="dxa"/>
            <w:vAlign w:val="center"/>
          </w:tcPr>
          <w:p>
            <w:pPr>
              <w:pStyle w:val="15"/>
            </w:pPr>
            <w:r>
              <w:t>41.47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41.47</w:t>
            </w:r>
          </w:p>
        </w:tc>
        <w:tc>
          <w:tcPr>
            <w:tcW w:w="1134" w:type="dxa"/>
            <w:vAlign w:val="center"/>
          </w:tcPr>
          <w:p>
            <w:pPr>
              <w:pStyle w:val="15"/>
            </w:pPr>
            <w:r>
              <w:t>41.47</w:t>
            </w:r>
          </w:p>
        </w:tc>
        <w:tc>
          <w:tcPr>
            <w:tcW w:w="1134" w:type="dxa"/>
            <w:vAlign w:val="center"/>
          </w:tcPr>
          <w:p>
            <w:pPr>
              <w:pStyle w:val="15"/>
            </w:pPr>
            <w:r>
              <w:t>41.47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41.47</w:t>
            </w:r>
          </w:p>
        </w:tc>
        <w:tc>
          <w:tcPr>
            <w:tcW w:w="1134" w:type="dxa"/>
            <w:vAlign w:val="center"/>
          </w:tcPr>
          <w:p>
            <w:pPr>
              <w:pStyle w:val="11"/>
            </w:pPr>
            <w:r>
              <w:t>41.47</w:t>
            </w:r>
          </w:p>
        </w:tc>
        <w:tc>
          <w:tcPr>
            <w:tcW w:w="1134" w:type="dxa"/>
            <w:vAlign w:val="center"/>
          </w:tcPr>
          <w:p>
            <w:pPr>
              <w:pStyle w:val="11"/>
            </w:pPr>
            <w:r>
              <w:t>41.47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41.47</w:t>
            </w:r>
          </w:p>
        </w:tc>
        <w:tc>
          <w:tcPr>
            <w:tcW w:w="1134" w:type="dxa"/>
            <w:vAlign w:val="center"/>
          </w:tcPr>
          <w:p>
            <w:pPr>
              <w:pStyle w:val="11"/>
            </w:pPr>
            <w:r>
              <w:t>41.47</w:t>
            </w:r>
          </w:p>
        </w:tc>
        <w:tc>
          <w:tcPr>
            <w:tcW w:w="1134" w:type="dxa"/>
            <w:vAlign w:val="center"/>
          </w:tcPr>
          <w:p>
            <w:pPr>
              <w:pStyle w:val="11"/>
            </w:pPr>
            <w:r>
              <w:t>41.47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37.47</w:t>
            </w:r>
          </w:p>
        </w:tc>
        <w:tc>
          <w:tcPr>
            <w:tcW w:w="1134" w:type="dxa"/>
            <w:vAlign w:val="center"/>
          </w:tcPr>
          <w:p>
            <w:pPr>
              <w:pStyle w:val="11"/>
            </w:pPr>
            <w:r>
              <w:t>37.47</w:t>
            </w:r>
          </w:p>
        </w:tc>
        <w:tc>
          <w:tcPr>
            <w:tcW w:w="1134" w:type="dxa"/>
            <w:vAlign w:val="center"/>
          </w:tcPr>
          <w:p>
            <w:pPr>
              <w:pStyle w:val="11"/>
            </w:pPr>
            <w:r>
              <w:t>37.47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41.47</w:t>
            </w:r>
          </w:p>
        </w:tc>
        <w:tc>
          <w:tcPr>
            <w:tcW w:w="1361" w:type="dxa"/>
            <w:vAlign w:val="center"/>
          </w:tcPr>
          <w:p>
            <w:pPr>
              <w:pStyle w:val="15"/>
            </w:pPr>
            <w:r>
              <w:t>37.47</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41.47</w:t>
            </w:r>
          </w:p>
        </w:tc>
        <w:tc>
          <w:tcPr>
            <w:tcW w:w="1361" w:type="dxa"/>
            <w:vAlign w:val="center"/>
          </w:tcPr>
          <w:p>
            <w:pPr>
              <w:pStyle w:val="11"/>
            </w:pPr>
            <w:r>
              <w:t>37.47</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41.47</w:t>
            </w:r>
          </w:p>
        </w:tc>
        <w:tc>
          <w:tcPr>
            <w:tcW w:w="1361" w:type="dxa"/>
            <w:vAlign w:val="center"/>
          </w:tcPr>
          <w:p>
            <w:pPr>
              <w:pStyle w:val="11"/>
            </w:pPr>
            <w:r>
              <w:t>37.47</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37.47</w:t>
            </w:r>
          </w:p>
        </w:tc>
        <w:tc>
          <w:tcPr>
            <w:tcW w:w="1361" w:type="dxa"/>
            <w:vAlign w:val="center"/>
          </w:tcPr>
          <w:p>
            <w:pPr>
              <w:pStyle w:val="11"/>
            </w:pPr>
            <w:r>
              <w:t>37.47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41.47</w:t>
            </w:r>
          </w:p>
        </w:tc>
        <w:tc>
          <w:tcPr>
            <w:tcW w:w="3402" w:type="dxa"/>
            <w:vAlign w:val="center"/>
          </w:tcPr>
          <w:p>
            <w:pPr>
              <w:pStyle w:val="12"/>
            </w:pPr>
            <w:r>
              <w:t>一、一般公共服务支出</w:t>
            </w:r>
          </w:p>
        </w:tc>
        <w:tc>
          <w:tcPr>
            <w:tcW w:w="1474" w:type="dxa"/>
            <w:vAlign w:val="center"/>
          </w:tcPr>
          <w:p>
            <w:pPr>
              <w:pStyle w:val="11"/>
            </w:pPr>
            <w:r>
              <w:t>41.47</w:t>
            </w:r>
          </w:p>
        </w:tc>
        <w:tc>
          <w:tcPr>
            <w:tcW w:w="1474" w:type="dxa"/>
            <w:vAlign w:val="center"/>
          </w:tcPr>
          <w:p>
            <w:pPr>
              <w:pStyle w:val="11"/>
            </w:pPr>
            <w:r>
              <w:t>41.47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41.47</w:t>
            </w:r>
          </w:p>
        </w:tc>
        <w:tc>
          <w:tcPr>
            <w:tcW w:w="3402" w:type="dxa"/>
            <w:vAlign w:val="center"/>
          </w:tcPr>
          <w:p>
            <w:pPr>
              <w:pStyle w:val="14"/>
            </w:pPr>
            <w:r>
              <w:t>本年支出合计</w:t>
            </w:r>
          </w:p>
        </w:tc>
        <w:tc>
          <w:tcPr>
            <w:tcW w:w="1474" w:type="dxa"/>
            <w:vAlign w:val="center"/>
          </w:tcPr>
          <w:p>
            <w:pPr>
              <w:pStyle w:val="15"/>
            </w:pPr>
            <w:r>
              <w:t>41.47</w:t>
            </w:r>
          </w:p>
        </w:tc>
        <w:tc>
          <w:tcPr>
            <w:tcW w:w="1474" w:type="dxa"/>
            <w:vAlign w:val="center"/>
          </w:tcPr>
          <w:p>
            <w:pPr>
              <w:pStyle w:val="15"/>
            </w:pPr>
            <w:r>
              <w:t>41.47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41.47</w:t>
            </w:r>
          </w:p>
        </w:tc>
        <w:tc>
          <w:tcPr>
            <w:tcW w:w="3402" w:type="dxa"/>
            <w:vAlign w:val="center"/>
          </w:tcPr>
          <w:p>
            <w:pPr>
              <w:pStyle w:val="14"/>
            </w:pPr>
            <w:r>
              <w:t>支出总计</w:t>
            </w:r>
          </w:p>
        </w:tc>
        <w:tc>
          <w:tcPr>
            <w:tcW w:w="1474" w:type="dxa"/>
            <w:vAlign w:val="center"/>
          </w:tcPr>
          <w:p>
            <w:pPr>
              <w:pStyle w:val="15"/>
            </w:pPr>
            <w:r>
              <w:t>41.47</w:t>
            </w:r>
          </w:p>
        </w:tc>
        <w:tc>
          <w:tcPr>
            <w:tcW w:w="1474" w:type="dxa"/>
            <w:vAlign w:val="center"/>
          </w:tcPr>
          <w:p>
            <w:pPr>
              <w:pStyle w:val="15"/>
            </w:pPr>
            <w:r>
              <w:t>41.47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41.47</w:t>
            </w:r>
          </w:p>
        </w:tc>
        <w:tc>
          <w:tcPr>
            <w:tcW w:w="2551" w:type="dxa"/>
            <w:vAlign w:val="center"/>
          </w:tcPr>
          <w:p>
            <w:pPr>
              <w:pStyle w:val="15"/>
            </w:pPr>
            <w:r>
              <w:t>37.47</w:t>
            </w:r>
          </w:p>
        </w:tc>
        <w:tc>
          <w:tcPr>
            <w:tcW w:w="2551"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41.47</w:t>
            </w:r>
          </w:p>
        </w:tc>
        <w:tc>
          <w:tcPr>
            <w:tcW w:w="2551" w:type="dxa"/>
            <w:vAlign w:val="center"/>
          </w:tcPr>
          <w:p>
            <w:pPr>
              <w:pStyle w:val="11"/>
            </w:pPr>
            <w:r>
              <w:t>37.47</w:t>
            </w: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41.47</w:t>
            </w:r>
          </w:p>
        </w:tc>
        <w:tc>
          <w:tcPr>
            <w:tcW w:w="2551" w:type="dxa"/>
            <w:vAlign w:val="center"/>
          </w:tcPr>
          <w:p>
            <w:pPr>
              <w:pStyle w:val="11"/>
            </w:pPr>
            <w:r>
              <w:t>37.47</w:t>
            </w: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37.47</w:t>
            </w:r>
          </w:p>
        </w:tc>
        <w:tc>
          <w:tcPr>
            <w:tcW w:w="2551" w:type="dxa"/>
            <w:vAlign w:val="center"/>
          </w:tcPr>
          <w:p>
            <w:pPr>
              <w:pStyle w:val="11"/>
            </w:pPr>
            <w:r>
              <w:t>37.47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37.47</w:t>
            </w:r>
          </w:p>
        </w:tc>
        <w:tc>
          <w:tcPr>
            <w:tcW w:w="2551" w:type="dxa"/>
            <w:vAlign w:val="center"/>
          </w:tcPr>
          <w:p>
            <w:pPr>
              <w:pStyle w:val="15"/>
            </w:pPr>
            <w:r>
              <w:t>31.40</w:t>
            </w:r>
          </w:p>
        </w:tc>
        <w:tc>
          <w:tcPr>
            <w:tcW w:w="2551" w:type="dxa"/>
            <w:vAlign w:val="center"/>
          </w:tcPr>
          <w:p>
            <w:pPr>
              <w:pStyle w:val="15"/>
            </w:pPr>
            <w:r>
              <w:t>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31.40</w:t>
            </w:r>
          </w:p>
        </w:tc>
        <w:tc>
          <w:tcPr>
            <w:tcW w:w="2551" w:type="dxa"/>
            <w:vAlign w:val="center"/>
          </w:tcPr>
          <w:p>
            <w:pPr>
              <w:pStyle w:val="11"/>
            </w:pPr>
            <w:r>
              <w:t>31.40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6.07</w:t>
            </w:r>
          </w:p>
        </w:tc>
        <w:tc>
          <w:tcPr>
            <w:tcW w:w="2551" w:type="dxa"/>
            <w:vAlign w:val="center"/>
          </w:tcPr>
          <w:p>
            <w:pPr>
              <w:pStyle w:val="11"/>
            </w:pPr>
          </w:p>
        </w:tc>
        <w:tc>
          <w:tcPr>
            <w:tcW w:w="2551" w:type="dxa"/>
            <w:vAlign w:val="center"/>
          </w:tcPr>
          <w:p>
            <w:pPr>
              <w:pStyle w:val="11"/>
            </w:pPr>
            <w:r>
              <w:t>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1.47</w:t>
            </w:r>
          </w:p>
        </w:tc>
        <w:tc>
          <w:tcPr>
            <w:tcW w:w="2551" w:type="dxa"/>
            <w:vAlign w:val="center"/>
          </w:tcPr>
          <w:p>
            <w:pPr>
              <w:pStyle w:val="11"/>
            </w:pPr>
          </w:p>
        </w:tc>
        <w:tc>
          <w:tcPr>
            <w:tcW w:w="2551"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中国共产主义青年团巨鹿县委员会本级2025年单位预算信息公开情况说明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按照《中华人民共和国预算法》、《地方预决算公开操作规程》和《关于进一步推进预算公开工作的实施意见》规定，现将中国共产主义青年团巨鹿县委员会本级2025年单位预算公开如下：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中国共产主义青年团巨鹿县委员会本级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41.47万元，其中：一般公共预算收入41.47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主义青年团巨鹿县委员会本级年度单位预算中支出预算的总体情况。2025年支出预算41.47万元，其中基本支出37.47万元，包括人员经费31.40万元和日常公用经费6.07万元；项目支出4.00万元，主要为日常办公经费；用于团代会、青联会召开经费。</w:t>
      </w:r>
    </w:p>
    <w:p>
      <w:pPr>
        <w:pStyle w:val="18"/>
      </w:pPr>
      <w:r>
        <w:t>3、比上年增减情况</w:t>
      </w:r>
    </w:p>
    <w:p>
      <w:pPr>
        <w:pStyle w:val="18"/>
      </w:pPr>
      <w:r>
        <w:t>2025年预算收支安排41.47万元，较2024年预算增加4.69万元，其中：基本支出增加5.69万元，主要为单位人员增加，基本工资与社保类经费支出增加；三公经费与上年持平，无增减变化。项目支出减少1.00万元，主要为预算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1、共青团、少先队工作经费绩效目标表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13052925P00005510131Y</w:t>
            </w:r>
          </w:p>
        </w:tc>
        <w:tc>
          <w:tcPr>
            <w:tcW w:w="2835" w:type="dxa"/>
            <w:vAlign w:val="center"/>
          </w:tcPr>
          <w:p>
            <w:pPr>
              <w:pStyle w:val="10"/>
            </w:pPr>
            <w:r>
              <w:t>项目名称</w:t>
            </w:r>
          </w:p>
        </w:tc>
        <w:tc>
          <w:tcPr>
            <w:tcW w:w="6095" w:type="dxa"/>
            <w:gridSpan w:val="3"/>
            <w:vAlign w:val="center"/>
          </w:tcPr>
          <w:p>
            <w:pPr>
              <w:pStyle w:val="12"/>
            </w:pPr>
            <w:r>
              <w:t>共青团、少先队工作经费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用于单位日常办公的支出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0.50</w:t>
            </w:r>
          </w:p>
        </w:tc>
        <w:tc>
          <w:tcPr>
            <w:tcW w:w="2551" w:type="dxa"/>
            <w:vAlign w:val="center"/>
          </w:tcPr>
          <w:p>
            <w:pPr>
              <w:pStyle w:val="13"/>
            </w:pPr>
            <w:r>
              <w:t>0.50</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1.不断加强青少年对党和社会主义祖国的朴素情感</w:t>
            </w:r>
          </w:p>
          <w:p>
            <w:pPr>
              <w:pStyle w:val="12"/>
            </w:pPr>
            <w:r>
              <w:t>2.切实增强和保护青少年合法权益</w:t>
            </w:r>
          </w:p>
          <w:p>
            <w:pPr>
              <w:pStyle w:val="12"/>
            </w:pPr>
            <w:r>
              <w:t>3.加强团的建设、促进青年就业创业、预防青少年违法犯罪、打造少先队品牌活动、围绕党政中心工作开展各项活动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组织工作培训数量</w:t>
            </w:r>
          </w:p>
        </w:tc>
        <w:tc>
          <w:tcPr>
            <w:tcW w:w="5386" w:type="dxa"/>
            <w:vAlign w:val="center"/>
          </w:tcPr>
          <w:p>
            <w:pPr>
              <w:pStyle w:val="12"/>
            </w:pPr>
            <w:r>
              <w:t>组织团干部开展培训数量</w:t>
            </w:r>
          </w:p>
        </w:tc>
        <w:tc>
          <w:tcPr>
            <w:tcW w:w="2268" w:type="dxa"/>
            <w:vAlign w:val="center"/>
          </w:tcPr>
          <w:p>
            <w:pPr>
              <w:pStyle w:val="12"/>
            </w:pPr>
            <w:r>
              <w:t>≥2次</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组织团干部培训的合格情况</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资金支付的完成时间</w:t>
            </w:r>
          </w:p>
        </w:tc>
        <w:tc>
          <w:tcPr>
            <w:tcW w:w="2268" w:type="dxa"/>
            <w:vAlign w:val="center"/>
          </w:tcPr>
          <w:p>
            <w:pPr>
              <w:pStyle w:val="12"/>
            </w:pPr>
            <w:r>
              <w:t>≤12月</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反映项目资金的总金额</w:t>
            </w:r>
          </w:p>
        </w:tc>
        <w:tc>
          <w:tcPr>
            <w:tcW w:w="2268" w:type="dxa"/>
            <w:vAlign w:val="center"/>
          </w:tcPr>
          <w:p>
            <w:pPr>
              <w:pStyle w:val="12"/>
            </w:pPr>
            <w:r>
              <w:t>2万元</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正常运转指标</w:t>
            </w:r>
          </w:p>
        </w:tc>
        <w:tc>
          <w:tcPr>
            <w:tcW w:w="5386" w:type="dxa"/>
            <w:vAlign w:val="center"/>
          </w:tcPr>
          <w:p>
            <w:pPr>
              <w:pStyle w:val="12"/>
            </w:pPr>
            <w:r>
              <w:t>正常运转指标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2、团代会、青联会经费绩效目标表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13052925P00005510151N</w:t>
            </w:r>
          </w:p>
        </w:tc>
        <w:tc>
          <w:tcPr>
            <w:tcW w:w="2835" w:type="dxa"/>
            <w:vAlign w:val="center"/>
          </w:tcPr>
          <w:p>
            <w:pPr>
              <w:pStyle w:val="10"/>
            </w:pPr>
            <w:r>
              <w:t>项目名称</w:t>
            </w:r>
          </w:p>
        </w:tc>
        <w:tc>
          <w:tcPr>
            <w:tcW w:w="6095" w:type="dxa"/>
            <w:gridSpan w:val="3"/>
            <w:vAlign w:val="center"/>
          </w:tcPr>
          <w:p>
            <w:pPr>
              <w:pStyle w:val="12"/>
            </w:pPr>
            <w:r>
              <w:t>团代会、青联会经费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用于召开团代会、青联会经费支出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0.50</w:t>
            </w:r>
          </w:p>
        </w:tc>
        <w:tc>
          <w:tcPr>
            <w:tcW w:w="2551" w:type="dxa"/>
            <w:vAlign w:val="center"/>
          </w:tcPr>
          <w:p>
            <w:pPr>
              <w:pStyle w:val="13"/>
            </w:pPr>
            <w:r>
              <w:t>0.50</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1.保障必要的会议条件，提高工作效率</w:t>
            </w:r>
          </w:p>
          <w:p>
            <w:pPr>
              <w:pStyle w:val="12"/>
            </w:pPr>
            <w:r>
              <w:t>2.年度开展会议不少于2次，活动人数每次不少于100人，提升共青团业务水平</w:t>
            </w:r>
          </w:p>
          <w:p>
            <w:pPr>
              <w:pStyle w:val="12"/>
            </w:pPr>
            <w:r>
              <w:t>3.保障会议正常运转不少于12个月，确保会议工作顺利开展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开展团代会、青联会活动</w:t>
            </w:r>
          </w:p>
        </w:tc>
        <w:tc>
          <w:tcPr>
            <w:tcW w:w="5386" w:type="dxa"/>
            <w:vAlign w:val="center"/>
          </w:tcPr>
          <w:p>
            <w:pPr>
              <w:pStyle w:val="12"/>
            </w:pPr>
            <w:r>
              <w:t>开展团代会、青联会人数</w:t>
            </w:r>
          </w:p>
        </w:tc>
        <w:tc>
          <w:tcPr>
            <w:tcW w:w="2268" w:type="dxa"/>
            <w:vAlign w:val="center"/>
          </w:tcPr>
          <w:p>
            <w:pPr>
              <w:pStyle w:val="12"/>
            </w:pPr>
            <w:r>
              <w:t>≥100人</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会议完成率</w:t>
            </w:r>
          </w:p>
        </w:tc>
        <w:tc>
          <w:tcPr>
            <w:tcW w:w="5386" w:type="dxa"/>
            <w:vAlign w:val="center"/>
          </w:tcPr>
          <w:p>
            <w:pPr>
              <w:pStyle w:val="12"/>
            </w:pPr>
            <w:r>
              <w:t>团代会、青联会会议圆满完成率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召开完成团代会、青联会时间</w:t>
            </w:r>
          </w:p>
        </w:tc>
        <w:tc>
          <w:tcPr>
            <w:tcW w:w="2268" w:type="dxa"/>
            <w:vAlign w:val="center"/>
          </w:tcPr>
          <w:p>
            <w:pPr>
              <w:pStyle w:val="12"/>
            </w:pPr>
            <w:r>
              <w:t>≤12月</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团代会、青联会费用</w:t>
            </w:r>
          </w:p>
        </w:tc>
        <w:tc>
          <w:tcPr>
            <w:tcW w:w="5386" w:type="dxa"/>
            <w:vAlign w:val="center"/>
          </w:tcPr>
          <w:p>
            <w:pPr>
              <w:pStyle w:val="12"/>
            </w:pPr>
            <w:r>
              <w:t>反映开展团代会、青联会费用</w:t>
            </w:r>
          </w:p>
        </w:tc>
        <w:tc>
          <w:tcPr>
            <w:tcW w:w="2268" w:type="dxa"/>
            <w:vAlign w:val="center"/>
          </w:tcPr>
          <w:p>
            <w:pPr>
              <w:pStyle w:val="12"/>
            </w:pPr>
            <w:r>
              <w:t>≤2万元</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保障完成团代会、青联会</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持续运转率</w:t>
            </w:r>
          </w:p>
        </w:tc>
        <w:tc>
          <w:tcPr>
            <w:tcW w:w="5386" w:type="dxa"/>
            <w:vAlign w:val="center"/>
          </w:tcPr>
          <w:p>
            <w:pPr>
              <w:pStyle w:val="12"/>
            </w:pPr>
            <w:r>
              <w:t>团代会、青联会运转时限</w:t>
            </w:r>
          </w:p>
        </w:tc>
        <w:tc>
          <w:tcPr>
            <w:tcW w:w="2268" w:type="dxa"/>
            <w:vAlign w:val="center"/>
          </w:tcPr>
          <w:p>
            <w:pPr>
              <w:pStyle w:val="12"/>
            </w:pPr>
            <w:r>
              <w:t>≥1年</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中国共产主义青年团巨鹿县委员会本级上年末固定资产金额为0.00万元（详见下表）。本年度拟购置固定资产总额为0.00万元，已按要求列入政府采购预算，详见政府采购预算表。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712001中国共产主义青年团巨鹿县委员会本级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17F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2025-02-28T10:26:00Z</dcterms:created>
  <dc:creator>Administrator</dc:creator>
  <cp:lastModifiedBy>Administrator</cp:lastModifiedBy>
  <dcterms:modified xsi:type="dcterms:W3CDTF">2025-02-28T02:27:16Z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