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  <w:lang w:val="en-US" w:eastAsia="zh-CN"/>
        </w:rPr>
        <w:t>巨鹿县王虎寨镇人民政府</w:t>
      </w:r>
    </w:p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2023年度整体</w:t>
      </w:r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按照《巨鹿县财政局关于开展2023年度县级预算部门绩效自评和重点自评工作的通知》（巨财〔2024〕22号）文件要求，我单位对2023年项目资金开展了绩效自评工作，现将自评情况报告如下：</w:t>
      </w: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2023年度，王虎寨镇共有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个特定目标类项目开展了绩效自评工作。首先，组织本部门进行全面收集、系统整理各项资金绩效完成信息，确认各项绩效指标实际完成值和实现程度。然后计算绩效自评得分，分析绩效存在的问题及原因，提出改进措施。</w:t>
      </w:r>
    </w:p>
    <w:p>
      <w:pPr>
        <w:snapToGrid w:val="0"/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2023年，王虎寨镇预算安排2842.93万元，执行资金2717.75万元，全部为财政资金，执行率为95.60%。</w:t>
      </w:r>
    </w:p>
    <w:p>
      <w:pPr>
        <w:snapToGrid w:val="0"/>
        <w:spacing w:line="580" w:lineRule="exact"/>
        <w:ind w:firstLine="640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在日常工作中，我单位高度重视绩效自评工作，主要分为资料收集、绩效评价、工作总结及撰写报告等几个阶段。根据绩效评价的要求，我单位成立自评工作领导小组并制定绩效评价工作方案，对照自评方案进行研究和部署，党委成员和各科室全程参与，按照自评方案要求，对全年预算项目的各指标体系逐条逐项进行自评。在自评过程中发现问题，查找原因，及时纠正偏差，进行反思总结并撰写绩效自评报告，为下一步工作奠定基础。每季度开展绩效监控工作，不定期发布预算执行进度通报，督促相关项目负责人及时开展项目，加快资金支出，保障各项目严格按照年初绩效指标设定来执行项目开展。</w:t>
      </w: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二、绩效目标实现情况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</w:rPr>
        <w:t>20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宋体" w:eastAsia="方正仿宋_GBK"/>
          <w:sz w:val="32"/>
          <w:szCs w:val="32"/>
        </w:rPr>
        <w:t>年，坚持以习近平新时代中国特色社会主义思想为指导，贯彻落实中央、省市县委决策部署，坚持稳中求进的工作总基调，牢固树立和贯彻落实新发展理念，适应把握引领经济发展的新常态，坚持以提高发展质量和效益为中心，以“打造特色经济强镇，建设生态幸福家园”为目标，以创新驱动、科学发展为动力，统筹推进党的建设、经济建设、民生事业和社会稳定，为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宋体" w:eastAsia="方正仿宋_GBK"/>
          <w:sz w:val="32"/>
          <w:szCs w:val="32"/>
        </w:rPr>
        <w:t>年全镇经济与社会事业的顺利推进打下坚实的基础，使全镇呈现出经济社会持续健康发展的良好局面。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同时，</w:t>
      </w:r>
      <w:r>
        <w:rPr>
          <w:rFonts w:hint="eastAsia" w:ascii="方正仿宋_GBK" w:hAnsi="宋体" w:eastAsia="方正仿宋_GBK"/>
          <w:sz w:val="32"/>
          <w:szCs w:val="32"/>
        </w:rPr>
        <w:t>经过对部门整体支出的“目标设定”的合理性、明确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性，“预算配置”的合理性、科学性，“预算执行、管理”的合法合规性、完整性，“资产管理”的合法合规性、规范性，“履职产出和效果”的真实性、相关性等方面进行全面详细分析计算，2023年度部门整体支出绩效自评综合得分</w:t>
      </w:r>
      <w:bookmarkStart w:id="0" w:name="_GoBack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96.95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部门整体绩效目标基本实现。45个项目中，自评得分为100分的34个，90分以上的8个，60分以下的3个。</w:t>
      </w:r>
    </w:p>
    <w:p>
      <w:pPr>
        <w:snapToGrid w:val="0"/>
        <w:spacing w:line="58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三个得分60分以下的项目均为项目未实施完毕，年底资金收回的项目即“农村综合改革”项目经费、（上年结转）冀财教2021年175号提前下达2022年支持市县科技创新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和科学普及专项资金（第二批）和“美丽城镇”项目资金。</w:t>
      </w: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三、绩效目标设定质量情况</w:t>
      </w:r>
    </w:p>
    <w:p>
      <w:pPr>
        <w:snapToGrid w:val="0"/>
        <w:spacing w:line="580" w:lineRule="exact"/>
        <w:ind w:firstLine="640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通过绩效自评结果对比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年初绩效目标设定比较符合实际项目情况，设定清晰准确，比较全面完整，科学合理，并且易于评价。</w:t>
      </w:r>
    </w:p>
    <w:p>
      <w:pPr>
        <w:snapToGrid w:val="0"/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主要存在的问题有：</w:t>
      </w:r>
    </w:p>
    <w:p>
      <w:pPr>
        <w:snapToGrid w:val="0"/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一是预算调整率较高。由于年初预算时一些无法预计的工作开展和上级交办任务的突发性，预算运行中，环境变化带来的不确定因素增多，造成追加预算较大。</w:t>
      </w:r>
    </w:p>
    <w:p>
      <w:pPr>
        <w:snapToGrid w:val="0"/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二是绩效评价指标体系还不够完善。财政支出的评价对象涉及行业多，项目之间差异性大，真正能体现项目效果的个性指标，在标准设计上存在难度，导致评价内容不够全面，评价数据采集缺少充分的调查分析和严密的逻辑关系，难以满足不同层面和不同性质的绩效评价需求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三是预算绩效管理工作开展涉及面广，专业性强，人员素质有待进一步提高。</w:t>
      </w: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四、整改措施及结果应用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加强整体支出绩效评价队伍建设。组织相关人员认真学习《预算法》等相关法规、制度，加强业务知识培训，增强财务人员的预算意识，避免年中大幅追加以及超预算，进一步提高资金使用效率。要抓好绩效评价管理部门的队伍建设和业务指导，培育部门的绩效评价管理队伍，加强业务培训和指导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二是严格执行预算。预算编制前根据年度内单位可预见的工作任务，确定单位年度预算目标，结合实际情况，科学设置支出科目，规范财务核算，完整披露相关信息。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三是建立部门支出绩效评价长效机制。年度预算编制后，结合工作实际，定期做好预算执行分析，掌握预算执行进度，把握年度预算控制率，把绩效评价作为部门的日常工作。</w:t>
      </w: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ind w:firstLine="420" w:firstLineChars="200"/>
        <w:rPr>
          <w:rFonts w:ascii="方正仿宋_GBK" w:eastAsia="方正仿宋_GBK"/>
        </w:rPr>
      </w:pPr>
    </w:p>
    <w:sectPr>
      <w:pgSz w:w="11906" w:h="16838"/>
      <w:pgMar w:top="209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GUyNWZhMWRmY2JiZWU4ZDI0NzBiM2U3Yzk2NTUifQ=="/>
  </w:docVars>
  <w:rsids>
    <w:rsidRoot w:val="00EF16A3"/>
    <w:rsid w:val="0003266D"/>
    <w:rsid w:val="000B5213"/>
    <w:rsid w:val="001627CF"/>
    <w:rsid w:val="00172022"/>
    <w:rsid w:val="00176210"/>
    <w:rsid w:val="001D2D4C"/>
    <w:rsid w:val="00206C22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A651F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065A5FCD"/>
    <w:rsid w:val="090A2FB2"/>
    <w:rsid w:val="0A81454B"/>
    <w:rsid w:val="12F45ED6"/>
    <w:rsid w:val="22D67D60"/>
    <w:rsid w:val="73304ADA"/>
    <w:rsid w:val="746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  <w:pPr>
      <w:autoSpaceDE w:val="0"/>
      <w:autoSpaceDN w:val="0"/>
      <w:adjustRightInd w:val="0"/>
      <w:snapToGrid w:val="0"/>
      <w:spacing w:line="588" w:lineRule="atLeast"/>
    </w:pPr>
    <w:rPr>
      <w:rFonts w:ascii="宋体" w:hAnsi="宋体" w:eastAsia="仿宋_GB2312"/>
      <w:spacing w:val="-2"/>
      <w:sz w:val="32"/>
      <w:szCs w:val="24"/>
    </w:rPr>
  </w:style>
  <w:style w:type="paragraph" w:styleId="4">
    <w:name w:val="Body Text Indent"/>
    <w:basedOn w:val="1"/>
    <w:qFormat/>
    <w:uiPriority w:val="0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0"/>
    <w:pPr>
      <w:ind w:firstLine="420" w:firstLineChars="200"/>
    </w:pPr>
    <w:rPr>
      <w:rFonts w:eastAsia="宋体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paragraph" w:customStyle="1" w:styleId="12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65</Words>
  <Characters>373</Characters>
  <Lines>3</Lines>
  <Paragraphs>1</Paragraphs>
  <TotalTime>5</TotalTime>
  <ScaleCrop>false</ScaleCrop>
  <LinksUpToDate>false</LinksUpToDate>
  <CharactersWithSpaces>437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whz</cp:lastModifiedBy>
  <cp:lastPrinted>2020-01-06T00:47:00Z</cp:lastPrinted>
  <dcterms:modified xsi:type="dcterms:W3CDTF">2024-05-14T08:36:42Z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3A96FEC672D44A6BA17BCAA7F19EAE79</vt:lpwstr>
  </property>
</Properties>
</file>