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textAlignment w:val="bottom"/>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附件4：</w:t>
      </w:r>
    </w:p>
    <w:tbl>
      <w:tblPr>
        <w:tblStyle w:val="6"/>
        <w:tblW w:w="8330" w:type="dxa"/>
        <w:tblInd w:w="0" w:type="dxa"/>
        <w:tblLayout w:type="fixed"/>
        <w:tblCellMar>
          <w:top w:w="0" w:type="dxa"/>
          <w:left w:w="0" w:type="dxa"/>
          <w:bottom w:w="0" w:type="dxa"/>
          <w:right w:w="0" w:type="dxa"/>
        </w:tblCellMar>
      </w:tblPr>
      <w:tblGrid>
        <w:gridCol w:w="958"/>
        <w:gridCol w:w="674"/>
        <w:gridCol w:w="2083"/>
        <w:gridCol w:w="545"/>
        <w:gridCol w:w="3557"/>
        <w:gridCol w:w="513"/>
      </w:tblGrid>
      <w:tr>
        <w:tblPrEx>
          <w:tblCellMar>
            <w:top w:w="0" w:type="dxa"/>
            <w:left w:w="0" w:type="dxa"/>
            <w:bottom w:w="0" w:type="dxa"/>
            <w:right w:w="0" w:type="dxa"/>
          </w:tblCellMar>
        </w:tblPrEx>
        <w:trPr>
          <w:trHeight w:val="660" w:hRule="atLeast"/>
        </w:trPr>
        <w:tc>
          <w:tcPr>
            <w:tcW w:w="8330" w:type="dxa"/>
            <w:gridSpan w:val="6"/>
            <w:tcBorders>
              <w:top w:val="nil"/>
              <w:left w:val="nil"/>
              <w:bottom w:val="single" w:color="000000" w:sz="4" w:space="0"/>
              <w:right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6"/>
                <w:szCs w:val="36"/>
              </w:rPr>
            </w:pPr>
            <w:r>
              <w:rPr>
                <w:rFonts w:hint="eastAsia" w:ascii="仿宋_GB2312" w:hAnsi="仿宋_GB2312" w:eastAsia="仿宋_GB2312" w:cs="仿宋_GB2312"/>
                <w:kern w:val="0"/>
                <w:sz w:val="36"/>
                <w:szCs w:val="36"/>
                <w:lang w:eastAsia="zh-CN"/>
              </w:rPr>
              <w:t>巨鹿县</w:t>
            </w:r>
            <w:r>
              <w:rPr>
                <w:rFonts w:hint="eastAsia" w:ascii="仿宋_GB2312" w:hAnsi="仿宋_GB2312" w:eastAsia="仿宋_GB2312" w:cs="仿宋_GB2312"/>
                <w:kern w:val="0"/>
                <w:sz w:val="36"/>
                <w:szCs w:val="36"/>
                <w:lang w:val="en-US" w:eastAsia="zh-CN"/>
              </w:rPr>
              <w:t>科学技术协会项目重点绩效自评报告</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pacing w:val="-20"/>
                <w:sz w:val="28"/>
                <w:szCs w:val="28"/>
                <w:u w:val="single"/>
                <w:lang w:val="en-US"/>
              </w:rPr>
            </w:pPr>
            <w:r>
              <w:rPr>
                <w:rFonts w:hint="eastAsia" w:ascii="仿宋_GB2312" w:hAnsi="仿宋_GB2312" w:eastAsia="仿宋_GB2312" w:cs="仿宋_GB2312"/>
                <w:color w:val="auto"/>
                <w:spacing w:val="11"/>
                <w:sz w:val="28"/>
                <w:szCs w:val="28"/>
                <w:u w:val="none"/>
              </w:rPr>
              <w:t>项</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目</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名</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称：</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科普专项经费 </w:t>
            </w:r>
            <w:r>
              <w:rPr>
                <w:rFonts w:hint="eastAsia" w:ascii="仿宋_GB2312" w:hAnsi="仿宋_GB2312" w:eastAsia="仿宋_GB2312" w:cs="仿宋_GB2312"/>
                <w:color w:val="auto"/>
                <w:spacing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none"/>
              </w:rPr>
              <w:t>项目实施单位：</w:t>
            </w:r>
            <w:r>
              <w:rPr>
                <w:rFonts w:hint="eastAsia" w:ascii="仿宋_GB2312" w:hAnsi="仿宋_GB2312" w:eastAsia="仿宋_GB2312" w:cs="仿宋_GB2312"/>
                <w:color w:val="auto"/>
                <w:spacing w:val="-20"/>
                <w:sz w:val="28"/>
                <w:szCs w:val="28"/>
                <w:u w:val="none"/>
                <w:lang w:val="en-US" w:eastAsia="zh-CN"/>
              </w:rPr>
              <w:t xml:space="preserve">  </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巨鹿县科学技术协会</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28"/>
                <w:sz w:val="28"/>
                <w:szCs w:val="28"/>
                <w:u w:val="none"/>
              </w:rPr>
              <w:t>项目总金额：</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87万元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11"/>
                <w:sz w:val="28"/>
                <w:szCs w:val="28"/>
                <w:u w:val="none"/>
              </w:rPr>
              <w:t>评</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价</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年</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度：</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2023年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pacing w:val="28"/>
                <w:sz w:val="28"/>
                <w:szCs w:val="28"/>
                <w:u w:val="none"/>
                <w:lang w:val="en-US" w:eastAsia="zh-CN"/>
              </w:rPr>
              <w:t>评价组组长：</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28"/>
                <w:sz w:val="28"/>
                <w:szCs w:val="28"/>
                <w:u w:val="none"/>
                <w:lang w:val="en-US" w:eastAsia="zh-CN"/>
              </w:rPr>
              <w:t>评价组成员：</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rPr>
                <w:rFonts w:hint="eastAsia" w:ascii="仿宋_GB2312" w:hAnsi="仿宋_GB2312" w:eastAsia="仿宋_GB2312" w:cs="仿宋_GB2312"/>
                <w:color w:val="auto"/>
                <w:lang w:val="en-US" w:eastAsia="zh-CN"/>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2"/>
                <w:szCs w:val="40"/>
              </w:rPr>
            </w:pPr>
            <w:bookmarkStart w:id="0" w:name="_Toc7470_WPSOffice_Level1"/>
            <w:bookmarkStart w:id="1" w:name="_Toc5909_WPSOffice_Level1"/>
          </w:p>
          <w:p>
            <w:pPr>
              <w:spacing w:before="0" w:beforeLines="0" w:after="0" w:afterLines="0" w:line="240" w:lineRule="auto"/>
              <w:ind w:left="0" w:leftChars="0" w:right="0" w:rightChars="0" w:firstLine="0" w:firstLineChars="0"/>
              <w:jc w:val="both"/>
              <w:rPr>
                <w:rFonts w:hint="eastAsia" w:ascii="仿宋_GB2312" w:hAnsi="仿宋_GB2312" w:eastAsia="仿宋_GB2312" w:cs="仿宋_GB2312"/>
                <w:color w:val="auto"/>
                <w:sz w:val="32"/>
                <w:szCs w:val="40"/>
              </w:rPr>
            </w:pPr>
          </w:p>
          <w:p>
            <w:pPr>
              <w:pStyle w:val="5"/>
              <w:rPr>
                <w:rFonts w:hint="eastAsia" w:ascii="仿宋_GB2312" w:hAnsi="仿宋_GB2312" w:eastAsia="仿宋_GB2312" w:cs="仿宋_GB2312"/>
                <w:color w:val="auto"/>
                <w:sz w:val="32"/>
                <w:szCs w:val="40"/>
              </w:rPr>
            </w:pPr>
          </w:p>
          <w:p>
            <w:pPr>
              <w:rPr>
                <w:rFonts w:hint="eastAsia" w:ascii="仿宋_GB2312" w:hAnsi="仿宋_GB2312" w:eastAsia="仿宋_GB2312" w:cs="仿宋_GB2312"/>
              </w:rPr>
            </w:pPr>
          </w:p>
          <w:bookmarkEnd w:id="0"/>
          <w:bookmarkEnd w:id="1"/>
          <w:p>
            <w:pPr>
              <w:pStyle w:val="5"/>
              <w:keepNext w:val="0"/>
              <w:keepLines w:val="0"/>
              <w:pageBreakBefore w:val="0"/>
              <w:widowControl w:val="0"/>
              <w:kinsoku/>
              <w:wordWrap/>
              <w:overflowPunct/>
              <w:topLinePunct w:val="0"/>
              <w:autoSpaceDE/>
              <w:autoSpaceDN/>
              <w:bidi w:val="0"/>
              <w:adjustRightInd/>
              <w:snapToGrid/>
              <w:spacing w:line="120" w:lineRule="exact"/>
              <w:textAlignment w:val="center"/>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color w:val="auto"/>
                <w:sz w:val="32"/>
                <w:szCs w:val="40"/>
                <w:lang w:val="en-US" w:eastAsia="zh-CN"/>
              </w:rPr>
            </w:pPr>
            <w:bookmarkStart w:id="2" w:name="_Toc2245"/>
            <w:bookmarkStart w:id="3" w:name="_Toc6314"/>
            <w:bookmarkStart w:id="4" w:name="_Toc23411"/>
            <w:bookmarkStart w:id="5" w:name="_Toc4013"/>
            <w:bookmarkStart w:id="6" w:name="_Toc13153"/>
            <w:bookmarkStart w:id="7" w:name="_Toc18334"/>
            <w:bookmarkStart w:id="8" w:name="_Toc9525"/>
            <w:bookmarkStart w:id="9" w:name="_Toc16913"/>
            <w:bookmarkStart w:id="10" w:name="_Toc11301"/>
            <w:bookmarkStart w:id="11" w:name="_Toc30335"/>
            <w:r>
              <w:rPr>
                <w:rFonts w:hint="eastAsia" w:ascii="仿宋_GB2312" w:hAnsi="仿宋_GB2312" w:eastAsia="仿宋_GB2312" w:cs="仿宋_GB2312"/>
                <w:b/>
                <w:bCs/>
                <w:color w:val="auto"/>
                <w:sz w:val="32"/>
                <w:szCs w:val="40"/>
                <w:lang w:val="en-US" w:eastAsia="zh-CN"/>
              </w:rPr>
              <w:t>一、项目概况</w:t>
            </w:r>
            <w:bookmarkEnd w:id="2"/>
            <w:bookmarkEnd w:id="3"/>
            <w:bookmarkEnd w:id="4"/>
            <w:bookmarkEnd w:id="5"/>
            <w:bookmarkEnd w:id="6"/>
            <w:bookmarkEnd w:id="7"/>
            <w:bookmarkEnd w:id="8"/>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12" w:name="_Toc937"/>
            <w:bookmarkStart w:id="13" w:name="_Toc22453"/>
            <w:bookmarkStart w:id="14" w:name="_Toc22285"/>
            <w:bookmarkStart w:id="15" w:name="_Toc24784"/>
            <w:bookmarkStart w:id="16" w:name="_Toc32742"/>
            <w:bookmarkStart w:id="17" w:name="_Toc15831"/>
            <w:bookmarkStart w:id="18" w:name="_Toc19963"/>
            <w:bookmarkStart w:id="19" w:name="_Toc23957"/>
            <w:bookmarkStart w:id="20" w:name="_Toc30895"/>
            <w:bookmarkStart w:id="21" w:name="_Toc19370"/>
            <w:r>
              <w:rPr>
                <w:rFonts w:hint="eastAsia" w:ascii="仿宋_GB2312" w:hAnsi="仿宋_GB2312" w:eastAsia="仿宋_GB2312" w:cs="仿宋_GB2312"/>
                <w:color w:val="auto"/>
                <w:sz w:val="32"/>
                <w:szCs w:val="40"/>
                <w:lang w:val="en-US" w:eastAsia="zh-CN"/>
              </w:rPr>
              <w:t>（一）项目单位基本情况</w:t>
            </w:r>
            <w:bookmarkEnd w:id="12"/>
            <w:bookmarkEnd w:id="13"/>
            <w:bookmarkEnd w:id="14"/>
            <w:bookmarkEnd w:id="15"/>
            <w:bookmarkEnd w:id="16"/>
            <w:bookmarkEnd w:id="17"/>
            <w:bookmarkEnd w:id="18"/>
            <w:bookmarkEnd w:id="19"/>
            <w:bookmarkEnd w:id="20"/>
            <w:bookmarkEnd w:id="21"/>
          </w:p>
          <w:p>
            <w:pPr>
              <w:numPr>
                <w:ilvl w:val="0"/>
                <w:numId w:val="0"/>
              </w:numPr>
              <w:shd w:val="clear" w:color="auto" w:fill="FFFFFF"/>
              <w:bidi w:val="0"/>
              <w:spacing w:before="240" w:after="240"/>
              <w:ind w:firstLine="640" w:firstLineChars="200"/>
              <w:jc w:val="left"/>
              <w:rPr>
                <w:rFonts w:hint="eastAsia" w:ascii="仿宋_GB2312" w:hAnsi="仿宋_GB2312" w:eastAsia="仿宋_GB2312" w:cs="仿宋_GB2312"/>
                <w:color w:val="auto"/>
                <w:sz w:val="32"/>
                <w:szCs w:val="40"/>
                <w:highlight w:val="none"/>
                <w:lang w:val="en-US" w:eastAsia="zh-CN"/>
              </w:rPr>
            </w:pPr>
            <w:bookmarkStart w:id="22" w:name="_Toc29308"/>
            <w:bookmarkStart w:id="23" w:name="_Toc15167"/>
            <w:bookmarkStart w:id="24" w:name="_Toc8843"/>
            <w:r>
              <w:rPr>
                <w:rFonts w:hint="eastAsia" w:ascii="仿宋_GB2312" w:hAnsi="仿宋_GB2312" w:eastAsia="仿宋_GB2312" w:cs="仿宋_GB2312"/>
                <w:color w:val="auto"/>
                <w:sz w:val="32"/>
                <w:szCs w:val="40"/>
                <w:lang w:val="en-US" w:eastAsia="zh-CN"/>
              </w:rPr>
              <w:t>包括单位名称：</w:t>
            </w:r>
            <w:r>
              <w:rPr>
                <w:rFonts w:hint="eastAsia" w:ascii="仿宋" w:hAnsi="仿宋" w:eastAsia="仿宋" w:cs="仿宋"/>
                <w:sz w:val="32"/>
                <w:lang w:eastAsia="zh-CN"/>
              </w:rPr>
              <w:t>巨鹿县科学技术协会，</w:t>
            </w:r>
            <w:r>
              <w:rPr>
                <w:rFonts w:hint="eastAsia" w:ascii="仿宋" w:hAnsi="仿宋" w:eastAsia="仿宋" w:cs="仿宋"/>
                <w:sz w:val="32"/>
              </w:rPr>
              <w:t>地址</w:t>
            </w:r>
            <w:r>
              <w:rPr>
                <w:rFonts w:hint="eastAsia" w:ascii="仿宋" w:hAnsi="仿宋" w:eastAsia="仿宋" w:cs="仿宋"/>
                <w:sz w:val="32"/>
                <w:lang w:eastAsia="zh-CN"/>
              </w:rPr>
              <w:t>：巨鹿县黄金大道政务中心，</w:t>
            </w:r>
            <w:r>
              <w:rPr>
                <w:rFonts w:hint="eastAsia" w:ascii="仿宋" w:hAnsi="仿宋" w:eastAsia="仿宋" w:cs="仿宋"/>
                <w:sz w:val="32"/>
              </w:rPr>
              <w:t>性质</w:t>
            </w:r>
            <w:r>
              <w:rPr>
                <w:rFonts w:hint="eastAsia" w:ascii="仿宋" w:hAnsi="仿宋" w:eastAsia="仿宋" w:cs="仿宋"/>
                <w:sz w:val="32"/>
                <w:lang w:eastAsia="zh-CN"/>
              </w:rPr>
              <w:t>：机</w:t>
            </w:r>
            <w:r>
              <w:rPr>
                <w:rFonts w:hint="eastAsia" w:ascii="仿宋" w:hAnsi="仿宋" w:eastAsia="仿宋" w:cs="仿宋"/>
                <w:sz w:val="32"/>
                <w:highlight w:val="none"/>
                <w:lang w:eastAsia="zh-CN"/>
              </w:rPr>
              <w:t>关，</w:t>
            </w:r>
            <w:r>
              <w:rPr>
                <w:rFonts w:hint="eastAsia" w:ascii="仿宋_GB2312" w:hAnsi="仿宋_GB2312" w:eastAsia="仿宋_GB2312" w:cs="仿宋_GB2312"/>
                <w:color w:val="auto"/>
                <w:sz w:val="32"/>
                <w:szCs w:val="40"/>
                <w:highlight w:val="none"/>
                <w:lang w:val="en-US" w:eastAsia="zh-CN"/>
              </w:rPr>
              <w:t>主要职责：</w:t>
            </w:r>
          </w:p>
          <w:p>
            <w:pPr>
              <w:numPr>
                <w:ilvl w:val="0"/>
                <w:numId w:val="0"/>
              </w:numPr>
              <w:shd w:val="clear" w:color="auto" w:fill="FFFFFF"/>
              <w:bidi w:val="0"/>
              <w:spacing w:before="240" w:after="240"/>
              <w:ind w:firstLine="640" w:firstLineChars="200"/>
              <w:jc w:val="left"/>
              <w:rPr>
                <w:rFonts w:ascii="仿宋" w:hAnsi="仿宋" w:eastAsia="仿宋"/>
                <w:sz w:val="32"/>
                <w:szCs w:val="32"/>
              </w:rPr>
            </w:pPr>
            <w:r>
              <w:rPr>
                <w:rFonts w:ascii="仿宋" w:hAnsi="仿宋" w:eastAsia="仿宋"/>
                <w:sz w:val="32"/>
                <w:szCs w:val="32"/>
              </w:rPr>
              <w:t>巨鹿县科协是中共巨鹿县委领导下的群众团体组织，是党和政府联系科技工作者的桥梁和纽带。巨鹿县科协业务工作接受邢台市科协指导。其机关主要职责是：</w:t>
            </w:r>
          </w:p>
          <w:p>
            <w:pPr>
              <w:numPr>
                <w:ilvl w:val="0"/>
                <w:numId w:val="1"/>
              </w:numPr>
              <w:shd w:val="clear" w:color="auto" w:fill="FFFFFF"/>
              <w:bidi w:val="0"/>
              <w:spacing w:before="240" w:after="240"/>
              <w:ind w:firstLine="640" w:firstLineChars="200"/>
              <w:jc w:val="left"/>
              <w:rPr>
                <w:rFonts w:ascii="仿宋" w:hAnsi="仿宋" w:eastAsia="仿宋"/>
                <w:sz w:val="32"/>
                <w:szCs w:val="32"/>
              </w:rPr>
            </w:pPr>
            <w:r>
              <w:rPr>
                <w:rFonts w:ascii="仿宋" w:hAnsi="仿宋" w:eastAsia="仿宋"/>
                <w:sz w:val="32"/>
                <w:szCs w:val="32"/>
              </w:rPr>
              <w:t>普及科学知识，传播科学思想和科学方法，反对邪教和愚昧迷信，推广先进技术，开展青少年科学技术教育活动。</w:t>
            </w:r>
          </w:p>
          <w:p>
            <w:pPr>
              <w:numPr>
                <w:numId w:val="0"/>
              </w:numPr>
              <w:shd w:val="clear" w:color="auto" w:fill="FFFFFF"/>
              <w:bidi w:val="0"/>
              <w:spacing w:before="240" w:after="240"/>
              <w:ind w:firstLine="640" w:firstLineChars="200"/>
              <w:jc w:val="left"/>
              <w:rPr>
                <w:rFonts w:ascii="仿宋" w:hAnsi="仿宋" w:eastAsia="仿宋"/>
                <w:sz w:val="32"/>
                <w:szCs w:val="32"/>
              </w:rPr>
            </w:pPr>
            <w:r>
              <w:rPr>
                <w:rFonts w:ascii="仿宋" w:hAnsi="仿宋" w:eastAsia="仿宋"/>
                <w:sz w:val="32"/>
                <w:szCs w:val="32"/>
              </w:rPr>
              <w:t>（二)开展学术交流，促进科学发展、知识创新。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（三）维护科学技术工作者的合法权益，反应科学技术工作者的意见和要求，组织科学技术工作者参与政府有关科技社团地方性规章的拟定和国家事务的政治协商、科学决策、民主监督工作。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（四）表彰奖励优秀科学技术工作者，举荐人才。</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（五）开展科学论证、科技咨询服务工作，提出政策性建议，促进科学技术成果的转化。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（六）开展交流活动，发展与香港、澳门特别行政区和台湾地区科技界及海外科学技术团体、科学技术工作者的交往和联系。</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（七）开展对科技工作者的继续教育和培训工作。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（八）负责指导所属学会和科技类社会团体的工作。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（九）负责组织参见邢台市科协系统的各种作品评选申报工作。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（十）承担县委、县政府交办的其他事项。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（二）项目基本情况</w:t>
            </w:r>
            <w:bookmarkEnd w:id="22"/>
            <w:bookmarkEnd w:id="23"/>
            <w:bookmarkEnd w:id="24"/>
          </w:p>
          <w:p>
            <w:pPr>
              <w:widowControl/>
              <w:ind w:left="281" w:leftChars="134" w:firstLine="640" w:firstLineChars="200"/>
              <w:rPr>
                <w:rFonts w:hint="eastAsia" w:ascii="仿宋" w:hAnsi="仿宋" w:eastAsia="仿宋" w:cs="仿宋"/>
                <w:kern w:val="0"/>
                <w:sz w:val="32"/>
                <w:szCs w:val="32"/>
                <w:highlight w:val="yellow"/>
              </w:rPr>
            </w:pPr>
            <w:bookmarkStart w:id="25" w:name="_Toc26109"/>
            <w:bookmarkStart w:id="26" w:name="_Toc14644"/>
            <w:bookmarkStart w:id="27" w:name="_Toc17782"/>
            <w:bookmarkStart w:id="28" w:name="_Toc28908"/>
            <w:bookmarkStart w:id="29" w:name="_Toc12860"/>
            <w:bookmarkStart w:id="30" w:name="_Toc4859"/>
            <w:bookmarkStart w:id="31" w:name="_Toc6781"/>
            <w:bookmarkStart w:id="32" w:name="_Toc18992"/>
            <w:bookmarkStart w:id="33" w:name="_Toc7839"/>
            <w:bookmarkStart w:id="34" w:name="_Toc2988"/>
            <w:r>
              <w:rPr>
                <w:rFonts w:hint="eastAsia" w:ascii="仿宋" w:hAnsi="仿宋" w:eastAsia="仿宋" w:cs="仿宋"/>
                <w:kern w:val="0"/>
                <w:sz w:val="32"/>
                <w:szCs w:val="32"/>
              </w:rPr>
              <w:t>1、</w:t>
            </w:r>
            <w:r>
              <w:rPr>
                <w:rFonts w:hint="eastAsia" w:ascii="仿宋" w:hAnsi="仿宋" w:eastAsia="仿宋" w:cs="仿宋"/>
                <w:color w:val="000000"/>
                <w:spacing w:val="0"/>
                <w:sz w:val="32"/>
                <w:szCs w:val="32"/>
                <w:lang w:val="en-US" w:eastAsia="zh-CN"/>
              </w:rPr>
              <w:t>为</w:t>
            </w:r>
            <w:r>
              <w:rPr>
                <w:rFonts w:hint="eastAsia" w:ascii="仿宋" w:hAnsi="仿宋" w:eastAsia="仿宋" w:cs="仿宋"/>
                <w:color w:val="000000"/>
                <w:spacing w:val="1"/>
                <w:sz w:val="32"/>
                <w:szCs w:val="32"/>
                <w:lang w:val="en-US" w:eastAsia="zh-CN"/>
              </w:rPr>
              <w:t>深入贯彻习近平新时代中国特色社会主义思想，全面贯彻党的十九大和十九届二中、三中、四中全会精神和习近平总书记“把科学普及放在与科技创新同等重要的位置”等关于科普的重要指示精神，进一步落实好《科普法》，按照中国科协、省科协关于深入开展全国科普示范县（市、区）工作的要求，对2016-2020年度全国科普示范县（市、区）进行总结评估，并启动2021-2025年度全国科普示范县（市、区）创建工作。</w:t>
            </w:r>
            <w:r>
              <w:rPr>
                <w:rFonts w:hint="eastAsia" w:ascii="仿宋" w:hAnsi="仿宋" w:eastAsia="仿宋" w:cs="仿宋"/>
                <w:bCs/>
                <w:spacing w:val="0"/>
                <w:sz w:val="32"/>
                <w:szCs w:val="32"/>
                <w:highlight w:val="none"/>
              </w:rPr>
              <w:t>有财政科普专项经费投入保障，人均科普专项经费不得少于2元。</w:t>
            </w:r>
          </w:p>
          <w:p>
            <w:pPr>
              <w:widowControl/>
              <w:ind w:left="319" w:leftChars="152" w:firstLine="640" w:firstLineChars="200"/>
              <w:rPr>
                <w:rFonts w:ascii="宋体" w:hAnsi="宋体" w:eastAsia="宋体" w:cs="宋体"/>
                <w:sz w:val="32"/>
              </w:rPr>
            </w:pPr>
            <w:r>
              <w:rPr>
                <w:rFonts w:hint="eastAsia" w:ascii="仿宋" w:hAnsi="仿宋" w:eastAsia="仿宋" w:cs="仿宋"/>
                <w:kern w:val="0"/>
                <w:sz w:val="32"/>
                <w:szCs w:val="32"/>
              </w:rPr>
              <w:t>2、</w:t>
            </w:r>
            <w:r>
              <w:rPr>
                <w:rFonts w:hint="eastAsia" w:ascii="仿宋" w:hAnsi="仿宋" w:eastAsia="仿宋" w:cs="仿宋"/>
                <w:bCs/>
                <w:spacing w:val="0"/>
                <w:sz w:val="32"/>
                <w:szCs w:val="32"/>
              </w:rPr>
              <w:t>在当地党委和政府的领导下，积极服务党和政府工作大局，践行科技为民服务，加强应急科普体系建设，不断提升科协组织动员力，增强基层科普服务能力，打造普惠创新、全面动员、全民参与的社会化大科普格局，着力彰显科普的政治、经济、社会、文化及生态文明价值，着力打造支撑国民素质提升的战略力量，在全社会推动形成讲科学、爱科学、学科学、用科学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二、项目实施情况</w:t>
            </w:r>
            <w:bookmarkEnd w:id="25"/>
            <w:bookmarkEnd w:id="26"/>
            <w:bookmarkEnd w:id="27"/>
            <w:bookmarkEnd w:id="28"/>
            <w:bookmarkEnd w:id="29"/>
            <w:bookmarkEnd w:id="30"/>
            <w:bookmarkEnd w:id="31"/>
            <w:bookmarkEnd w:id="32"/>
            <w:bookmarkEnd w:id="33"/>
            <w:bookmarkEnd w:id="34"/>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640" w:firstLineChars="200"/>
              <w:jc w:val="left"/>
              <w:textAlignment w:val="auto"/>
              <w:rPr>
                <w:rFonts w:hint="eastAsia" w:ascii="仿宋" w:hAnsi="仿宋" w:eastAsia="仿宋" w:cs="仿宋"/>
                <w:b w:val="0"/>
                <w:i w:val="0"/>
                <w:kern w:val="2"/>
                <w:sz w:val="32"/>
                <w:szCs w:val="32"/>
                <w:highlight w:val="none"/>
                <w:u w:val="none"/>
                <w:lang w:val="en-US" w:eastAsia="zh-CN" w:bidi="ar-SA"/>
              </w:rPr>
            </w:pPr>
            <w:r>
              <w:rPr>
                <w:rFonts w:hint="eastAsia" w:ascii="仿宋" w:hAnsi="仿宋" w:eastAsia="仿宋" w:cs="仿宋"/>
                <w:b w:val="0"/>
                <w:i w:val="0"/>
                <w:kern w:val="2"/>
                <w:sz w:val="32"/>
                <w:szCs w:val="32"/>
                <w:u w:val="none"/>
                <w:lang w:val="en-US" w:eastAsia="zh-CN" w:bidi="ar-SA"/>
              </w:rPr>
              <w:t>根据县财政预算绩效管理要求，以“部门职责-工作活动”为依据，确定年度整体目标和预算额度，清晰描述预算项目开支范围和内容，确定预算项目的绩效目标、绩效指标和评价标准，为预算绩效控制、绩效分析、绩效评价打下好的基础。2023年科普专项经费安排</w:t>
            </w:r>
            <w:r>
              <w:rPr>
                <w:rFonts w:hint="eastAsia" w:ascii="仿宋" w:hAnsi="仿宋" w:eastAsia="仿宋" w:cs="仿宋"/>
                <w:b w:val="0"/>
                <w:i w:val="0"/>
                <w:kern w:val="2"/>
                <w:sz w:val="32"/>
                <w:szCs w:val="32"/>
                <w:highlight w:val="none"/>
                <w:u w:val="none"/>
                <w:lang w:val="en-US" w:eastAsia="zh-CN" w:bidi="ar-SA"/>
              </w:rPr>
              <w:t>87万元。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640"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 w:hAnsi="仿宋" w:eastAsia="仿宋" w:cs="仿宋"/>
                <w:b w:val="0"/>
                <w:i w:val="0"/>
                <w:kern w:val="2"/>
                <w:sz w:val="32"/>
                <w:szCs w:val="32"/>
                <w:u w:val="none"/>
                <w:lang w:val="en-US" w:eastAsia="zh-CN" w:bidi="ar-SA"/>
              </w:rPr>
              <w:t>2023年科普活动绩效目标基本全面完成，单位财务制度健全，管理规范，得到有效执行。总之，通过加强绩效预算，财政资金得到有效使用，行政效率得到提高，促进了开展科普行动计划项目的实施。通过加强预算收支管理，不断建立健全内部管理制度，梳理内部管理流程，部门项目支出管理水平得到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color w:val="auto"/>
                <w:sz w:val="32"/>
                <w:szCs w:val="40"/>
                <w:lang w:val="en-US" w:eastAsia="zh-CN"/>
              </w:rPr>
            </w:pPr>
            <w:bookmarkStart w:id="35" w:name="_Toc5317"/>
            <w:bookmarkStart w:id="36" w:name="_Toc12150"/>
            <w:bookmarkStart w:id="37" w:name="_Toc20904"/>
            <w:bookmarkStart w:id="38" w:name="_Toc5215"/>
            <w:bookmarkStart w:id="39" w:name="_Toc26855"/>
            <w:bookmarkStart w:id="40" w:name="_Toc10651"/>
            <w:bookmarkStart w:id="41" w:name="_Toc6451"/>
            <w:bookmarkStart w:id="42" w:name="_Toc29800"/>
            <w:bookmarkStart w:id="43" w:name="_Toc21501"/>
            <w:bookmarkStart w:id="44" w:name="_Toc18915"/>
            <w:r>
              <w:rPr>
                <w:rFonts w:hint="eastAsia" w:ascii="仿宋_GB2312" w:hAnsi="仿宋_GB2312" w:eastAsia="仿宋_GB2312" w:cs="仿宋_GB2312"/>
                <w:b/>
                <w:bCs/>
                <w:color w:val="auto"/>
                <w:sz w:val="32"/>
                <w:szCs w:val="40"/>
                <w:lang w:val="en-US" w:eastAsia="zh-CN"/>
              </w:rPr>
              <w:t>三、绩效评价工作情况</w:t>
            </w:r>
            <w:bookmarkEnd w:id="35"/>
            <w:bookmarkEnd w:id="36"/>
            <w:bookmarkEnd w:id="37"/>
            <w:bookmarkEnd w:id="38"/>
            <w:bookmarkEnd w:id="39"/>
            <w:bookmarkEnd w:id="40"/>
            <w:bookmarkEnd w:id="41"/>
            <w:bookmarkEnd w:id="42"/>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b w:val="0"/>
                <w:bCs w:val="0"/>
                <w:color w:val="auto"/>
                <w:sz w:val="32"/>
                <w:szCs w:val="40"/>
                <w:lang w:val="en-US" w:eastAsia="zh-CN"/>
              </w:rPr>
            </w:pPr>
            <w:bookmarkStart w:id="45" w:name="_Toc17355"/>
            <w:bookmarkStart w:id="46" w:name="_Toc7570"/>
            <w:bookmarkStart w:id="47" w:name="_Toc22771"/>
            <w:bookmarkStart w:id="48" w:name="_Toc25600"/>
            <w:bookmarkStart w:id="49" w:name="_Toc4056"/>
            <w:bookmarkStart w:id="50" w:name="_Toc14742"/>
            <w:bookmarkStart w:id="51" w:name="_Toc5105"/>
            <w:bookmarkStart w:id="52" w:name="_Toc8077"/>
            <w:bookmarkStart w:id="53" w:name="_Toc23608"/>
            <w:bookmarkStart w:id="54" w:name="_Toc15730"/>
            <w:r>
              <w:rPr>
                <w:rFonts w:hint="eastAsia" w:ascii="仿宋_GB2312" w:hAnsi="仿宋_GB2312" w:eastAsia="仿宋_GB2312" w:cs="仿宋_GB2312"/>
                <w:b w:val="0"/>
                <w:bCs w:val="0"/>
                <w:color w:val="auto"/>
                <w:sz w:val="32"/>
                <w:szCs w:val="40"/>
                <w:lang w:val="en-US" w:eastAsia="zh-CN"/>
              </w:rPr>
              <w:t>（一）评价目的</w:t>
            </w:r>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firstLine="640" w:firstLineChars="200"/>
              <w:jc w:val="both"/>
              <w:rPr>
                <w:rFonts w:hint="eastAsia" w:ascii="仿宋_GB2312" w:hAnsi="仿宋_GB2312" w:eastAsia="仿宋_GB2312" w:cs="仿宋_GB2312"/>
                <w:b w:val="0"/>
                <w:bCs w:val="0"/>
                <w:color w:val="auto"/>
                <w:sz w:val="32"/>
                <w:szCs w:val="40"/>
                <w:lang w:val="en-US" w:eastAsia="zh-CN"/>
              </w:rPr>
            </w:pPr>
            <w:r>
              <w:rPr>
                <w:rFonts w:hint="eastAsia" w:ascii="仿宋" w:hAnsi="仿宋" w:eastAsia="仿宋" w:cs="仿宋"/>
                <w:spacing w:val="0"/>
                <w:sz w:val="32"/>
                <w:szCs w:val="32"/>
              </w:rPr>
              <w:t>以习近平新时代中国特色社会主义思想为指导，贯彻党的十九大和十九届二中、三中、四中全会精神和习近平总书记“把科学普及放在与科技创新同等重要的位置”等关于科普的重要指示精神，通过全国科普示范县</w:t>
            </w:r>
            <w:r>
              <w:rPr>
                <w:rFonts w:hint="eastAsia" w:ascii="仿宋" w:hAnsi="仿宋" w:eastAsia="仿宋" w:cs="仿宋"/>
                <w:bCs/>
                <w:spacing w:val="0"/>
                <w:sz w:val="32"/>
                <w:szCs w:val="32"/>
              </w:rPr>
              <w:t>推动新时代基层科普工作转型升级，</w:t>
            </w:r>
            <w:r>
              <w:rPr>
                <w:rFonts w:hint="eastAsia" w:ascii="仿宋" w:hAnsi="仿宋" w:eastAsia="仿宋" w:cs="仿宋"/>
                <w:spacing w:val="0"/>
                <w:sz w:val="32"/>
                <w:szCs w:val="32"/>
              </w:rPr>
              <w:t>着力构建以市域为中心、县域为重点、乡镇街道和村、社区为主阵地的全域科普体系，</w:t>
            </w:r>
            <w:r>
              <w:rPr>
                <w:rFonts w:hint="eastAsia" w:ascii="仿宋" w:hAnsi="仿宋" w:eastAsia="仿宋" w:cs="仿宋"/>
                <w:bCs/>
                <w:spacing w:val="0"/>
                <w:sz w:val="32"/>
                <w:szCs w:val="32"/>
              </w:rPr>
              <w:t>提升基层科普公共服务能力，进一步促进县域经济社会协调可持续发展</w:t>
            </w:r>
            <w:r>
              <w:rPr>
                <w:rFonts w:hint="eastAsia" w:ascii="仿宋" w:hAnsi="仿宋" w:eastAsia="仿宋" w:cs="仿宋"/>
                <w:spacing w:val="0"/>
                <w:sz w:val="32"/>
                <w:szCs w:val="32"/>
              </w:rPr>
              <w:t>及县域治理能力和治理水平现代化。</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highlight w:val="none"/>
                <w:lang w:val="en-US" w:eastAsia="zh-CN"/>
              </w:rPr>
            </w:pPr>
            <w:bookmarkStart w:id="55" w:name="_Toc16971"/>
            <w:bookmarkStart w:id="56" w:name="_Toc27346"/>
            <w:bookmarkStart w:id="57" w:name="_Toc27199"/>
            <w:bookmarkStart w:id="58" w:name="_Toc16121"/>
            <w:bookmarkStart w:id="59" w:name="_Toc3910"/>
            <w:bookmarkStart w:id="60" w:name="_Toc25746"/>
            <w:bookmarkStart w:id="61" w:name="_Toc22727"/>
            <w:bookmarkStart w:id="62" w:name="_Toc30351"/>
            <w:bookmarkStart w:id="63" w:name="_Toc8288"/>
            <w:bookmarkStart w:id="64" w:name="_Toc18502"/>
            <w:r>
              <w:rPr>
                <w:rFonts w:hint="eastAsia" w:ascii="仿宋_GB2312" w:hAnsi="仿宋_GB2312" w:eastAsia="仿宋_GB2312" w:cs="仿宋_GB2312"/>
                <w:color w:val="auto"/>
                <w:sz w:val="32"/>
                <w:szCs w:val="40"/>
                <w:highlight w:val="none"/>
                <w:lang w:val="en-US" w:eastAsia="zh-CN"/>
              </w:rPr>
              <w:t>评价指标</w:t>
            </w:r>
            <w:bookmarkEnd w:id="55"/>
            <w:bookmarkEnd w:id="56"/>
            <w:bookmarkEnd w:id="57"/>
            <w:bookmarkEnd w:id="58"/>
            <w:bookmarkEnd w:id="59"/>
            <w:bookmarkEnd w:id="60"/>
            <w:bookmarkEnd w:id="61"/>
            <w:bookmarkEnd w:id="62"/>
            <w:bookmarkEnd w:id="63"/>
            <w:bookmarkEnd w:id="64"/>
          </w:p>
          <w:p>
            <w:pPr>
              <w:widowControl/>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 w:hAnsi="仿宋" w:eastAsia="仿宋" w:cs="仿宋"/>
                <w:b w:val="0"/>
                <w:i w:val="0"/>
                <w:kern w:val="2"/>
                <w:sz w:val="32"/>
                <w:szCs w:val="32"/>
                <w:u w:val="none"/>
                <w:lang w:val="en-US" w:eastAsia="zh-CN" w:bidi="ar-SA"/>
              </w:rPr>
              <w:t>数量指标：科普活动开展场次≥2场；2.质量指标：科普活动参与率≥95%；3.成本指标：专项工作活动经费≥</w:t>
            </w:r>
            <w:r>
              <w:rPr>
                <w:rFonts w:hint="eastAsia" w:ascii="仿宋" w:hAnsi="仿宋" w:eastAsia="仿宋" w:cs="仿宋"/>
                <w:b w:val="0"/>
                <w:i w:val="0"/>
                <w:kern w:val="2"/>
                <w:sz w:val="32"/>
                <w:szCs w:val="32"/>
                <w:highlight w:val="none"/>
                <w:u w:val="none"/>
                <w:lang w:val="en-US" w:eastAsia="zh-CN" w:bidi="ar-SA"/>
              </w:rPr>
              <w:t>87万元</w:t>
            </w:r>
            <w:r>
              <w:rPr>
                <w:rFonts w:hint="eastAsia" w:ascii="仿宋" w:hAnsi="仿宋" w:eastAsia="仿宋" w:cs="仿宋"/>
                <w:b w:val="0"/>
                <w:i w:val="0"/>
                <w:kern w:val="2"/>
                <w:sz w:val="32"/>
                <w:szCs w:val="32"/>
                <w:u w:val="none"/>
                <w:lang w:val="en-US" w:eastAsia="zh-CN" w:bidi="ar-SA"/>
              </w:rPr>
              <w:t>；4.时效指标：工作完成及时率≥95%；5.社会效益指标：</w:t>
            </w:r>
            <w:r>
              <w:rPr>
                <w:rFonts w:hint="eastAsia" w:ascii="仿宋" w:hAnsi="仿宋" w:eastAsia="仿宋" w:cs="仿宋"/>
                <w:b w:val="0"/>
                <w:i w:val="0"/>
                <w:kern w:val="2"/>
                <w:sz w:val="32"/>
                <w:szCs w:val="32"/>
                <w:highlight w:val="none"/>
                <w:u w:val="none"/>
                <w:lang w:val="en-US" w:eastAsia="zh-CN" w:bidi="ar-SA"/>
              </w:rPr>
              <w:t>科普知识知晓率</w:t>
            </w:r>
            <w:r>
              <w:rPr>
                <w:rFonts w:hint="eastAsia" w:ascii="仿宋" w:hAnsi="仿宋" w:eastAsia="仿宋" w:cs="仿宋"/>
                <w:b w:val="0"/>
                <w:i w:val="0"/>
                <w:kern w:val="2"/>
                <w:sz w:val="32"/>
                <w:szCs w:val="32"/>
                <w:u w:val="none"/>
                <w:lang w:val="en-US" w:eastAsia="zh-CN" w:bidi="ar-SA"/>
              </w:rPr>
              <w:t>≥95</w:t>
            </w:r>
            <w:r>
              <w:rPr>
                <w:rFonts w:hint="eastAsia" w:ascii="仿宋" w:hAnsi="仿宋" w:eastAsia="仿宋" w:cs="仿宋"/>
                <w:b w:val="0"/>
                <w:i w:val="0"/>
                <w:kern w:val="2"/>
                <w:sz w:val="32"/>
                <w:szCs w:val="32"/>
                <w:highlight w:val="none"/>
                <w:u w:val="none"/>
                <w:lang w:val="en-US" w:eastAsia="zh-CN" w:bidi="ar-SA"/>
              </w:rPr>
              <w:t>%；可持续影响指标：科普长期影响率</w:t>
            </w:r>
            <w:r>
              <w:rPr>
                <w:rFonts w:hint="eastAsia" w:ascii="仿宋" w:hAnsi="仿宋" w:eastAsia="仿宋" w:cs="仿宋"/>
                <w:b w:val="0"/>
                <w:i w:val="0"/>
                <w:kern w:val="2"/>
                <w:sz w:val="32"/>
                <w:szCs w:val="32"/>
                <w:u w:val="none"/>
                <w:lang w:val="en-US" w:eastAsia="zh-CN" w:bidi="ar-SA"/>
              </w:rPr>
              <w:t>≥95%。</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65" w:name="_Toc19068"/>
            <w:bookmarkStart w:id="66" w:name="_Toc32241"/>
            <w:bookmarkStart w:id="67" w:name="_Toc19154"/>
            <w:bookmarkStart w:id="68" w:name="_Toc12572"/>
            <w:bookmarkStart w:id="69" w:name="_Toc11684"/>
            <w:bookmarkStart w:id="70" w:name="_Toc25343"/>
            <w:bookmarkStart w:id="71" w:name="_Toc32306"/>
            <w:bookmarkStart w:id="72" w:name="_Toc5587"/>
            <w:bookmarkStart w:id="73" w:name="_Toc23270"/>
            <w:bookmarkStart w:id="74" w:name="_Toc5304"/>
            <w:r>
              <w:rPr>
                <w:rFonts w:hint="eastAsia" w:ascii="仿宋_GB2312" w:hAnsi="仿宋_GB2312" w:eastAsia="仿宋_GB2312" w:cs="仿宋_GB2312"/>
                <w:color w:val="auto"/>
                <w:sz w:val="32"/>
                <w:szCs w:val="40"/>
                <w:lang w:val="en-US" w:eastAsia="zh-CN"/>
              </w:rPr>
              <w:t>评价依据</w:t>
            </w:r>
            <w:bookmarkEnd w:id="65"/>
            <w:bookmarkEnd w:id="66"/>
            <w:bookmarkEnd w:id="67"/>
            <w:bookmarkEnd w:id="68"/>
            <w:bookmarkEnd w:id="69"/>
            <w:bookmarkEnd w:id="70"/>
            <w:bookmarkEnd w:id="71"/>
            <w:bookmarkEnd w:id="72"/>
            <w:bookmarkEnd w:id="73"/>
            <w:bookmarkEnd w:id="74"/>
          </w:p>
          <w:p>
            <w:pPr>
              <w:widowControl/>
              <w:ind w:firstLine="644" w:firstLineChars="200"/>
              <w:rPr>
                <w:rFonts w:hint="eastAsia" w:ascii="仿宋_GB2312" w:hAnsi="仿宋_GB2312" w:eastAsia="仿宋_GB2312" w:cs="仿宋_GB2312"/>
                <w:color w:val="auto"/>
                <w:sz w:val="32"/>
                <w:szCs w:val="40"/>
                <w:lang w:val="en-US" w:eastAsia="zh-CN"/>
              </w:rPr>
            </w:pPr>
            <w:r>
              <w:rPr>
                <w:rFonts w:hint="eastAsia" w:ascii="仿宋" w:hAnsi="仿宋" w:eastAsia="仿宋" w:cs="仿宋"/>
                <w:color w:val="000000"/>
                <w:spacing w:val="1"/>
                <w:sz w:val="32"/>
                <w:szCs w:val="32"/>
                <w:lang w:val="en-US" w:eastAsia="zh-CN"/>
              </w:rPr>
              <w:t>进一步落实好《科普法》，按照中国科协、省科协关于深入开展全国科普示范县（市、区）工作的要求，对2016-2020年度全国科普示范县（市、区）进行总结评估，并启动2021-2025年度全国科普示范县（市、区）创建工作。</w:t>
            </w:r>
            <w:r>
              <w:rPr>
                <w:rFonts w:hint="eastAsia" w:ascii="仿宋" w:hAnsi="仿宋" w:eastAsia="仿宋" w:cs="仿宋"/>
                <w:bCs/>
                <w:spacing w:val="0"/>
                <w:sz w:val="32"/>
                <w:szCs w:val="32"/>
                <w:highlight w:val="none"/>
              </w:rPr>
              <w:t>有财政科普专项经费投入保障，人均科普专项经费不得少于2元。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75" w:name="_Toc1868"/>
            <w:bookmarkStart w:id="76" w:name="_Toc22038"/>
            <w:bookmarkStart w:id="77" w:name="_Toc26780"/>
            <w:bookmarkStart w:id="78" w:name="_Toc9401"/>
            <w:bookmarkStart w:id="79" w:name="_Toc24302"/>
            <w:bookmarkStart w:id="80" w:name="_Toc7393"/>
            <w:bookmarkStart w:id="81" w:name="_Toc12940"/>
            <w:bookmarkStart w:id="82" w:name="_Toc6747"/>
            <w:bookmarkStart w:id="83" w:name="_Toc13179"/>
            <w:bookmarkStart w:id="84" w:name="_Toc11243"/>
            <w:r>
              <w:rPr>
                <w:rFonts w:hint="eastAsia" w:ascii="仿宋_GB2312" w:hAnsi="仿宋_GB2312" w:eastAsia="仿宋_GB2312" w:cs="仿宋_GB2312"/>
                <w:color w:val="auto"/>
                <w:sz w:val="32"/>
                <w:szCs w:val="40"/>
                <w:lang w:val="en-US" w:eastAsia="zh-CN"/>
              </w:rPr>
              <w:t>评价的主要方法及等级设定</w:t>
            </w:r>
            <w:bookmarkEnd w:id="75"/>
            <w:bookmarkEnd w:id="76"/>
            <w:bookmarkEnd w:id="77"/>
            <w:bookmarkEnd w:id="78"/>
            <w:bookmarkEnd w:id="79"/>
            <w:bookmarkEnd w:id="80"/>
            <w:bookmarkEnd w:id="81"/>
            <w:bookmarkEnd w:id="82"/>
            <w:bookmarkEnd w:id="83"/>
            <w:bookmarkEnd w:id="84"/>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640" w:firstLineChars="200"/>
              <w:jc w:val="left"/>
              <w:textAlignment w:val="auto"/>
              <w:rPr>
                <w:rFonts w:hint="eastAsia" w:ascii="仿宋" w:hAnsi="仿宋" w:eastAsia="仿宋" w:cs="仿宋"/>
                <w:b w:val="0"/>
                <w:i w:val="0"/>
                <w:kern w:val="2"/>
                <w:sz w:val="32"/>
                <w:szCs w:val="32"/>
                <w:u w:val="none"/>
                <w:lang w:val="en-US" w:eastAsia="zh-CN" w:bidi="ar-SA"/>
              </w:rPr>
            </w:pPr>
            <w:r>
              <w:rPr>
                <w:rFonts w:hint="eastAsia" w:ascii="仿宋" w:hAnsi="仿宋" w:eastAsia="仿宋" w:cs="仿宋"/>
                <w:b w:val="0"/>
                <w:i w:val="0"/>
                <w:kern w:val="2"/>
                <w:sz w:val="32"/>
                <w:szCs w:val="32"/>
                <w:u w:val="none"/>
                <w:lang w:val="en-US" w:eastAsia="zh-CN" w:bidi="ar-SA"/>
              </w:rPr>
              <w:t>各个项目支出按投入、过程、产出、效果四个维度拟定绩效自评指标体系。评价指标体系设置了各级指标的权重，制定了相应的评分标准。评价满分为100，≥90分为优、80≤得分＜90为良，60≤得分＜80为中，得分＜60为差。</w:t>
            </w:r>
          </w:p>
          <w:p>
            <w:pPr>
              <w:widowControl/>
              <w:ind w:firstLine="640" w:firstLineChars="200"/>
              <w:rPr>
                <w:rFonts w:hint="eastAsia" w:ascii="仿宋_GB2312" w:hAnsi="仿宋_GB2312" w:eastAsia="仿宋_GB2312" w:cs="仿宋_GB2312"/>
                <w:color w:val="auto"/>
                <w:sz w:val="32"/>
                <w:szCs w:val="40"/>
                <w:lang w:val="en-US" w:eastAsia="zh-CN"/>
              </w:rPr>
            </w:pPr>
            <w:r>
              <w:rPr>
                <w:rFonts w:hint="eastAsia" w:ascii="仿宋" w:hAnsi="仿宋" w:eastAsia="仿宋" w:cs="仿宋"/>
                <w:b w:val="0"/>
                <w:i w:val="0"/>
                <w:kern w:val="2"/>
                <w:sz w:val="32"/>
                <w:szCs w:val="32"/>
                <w:u w:val="none"/>
                <w:lang w:val="en-US" w:eastAsia="zh-CN" w:bidi="ar-SA"/>
              </w:rPr>
              <w:t>数量指标：科普活动开展场次≥2场；2.质量指标：科普活动参与率≥95%；3.成本指标：专项工作活动经费≥</w:t>
            </w:r>
            <w:r>
              <w:rPr>
                <w:rFonts w:hint="eastAsia" w:ascii="仿宋" w:hAnsi="仿宋" w:eastAsia="仿宋" w:cs="仿宋"/>
                <w:b w:val="0"/>
                <w:i w:val="0"/>
                <w:kern w:val="2"/>
                <w:sz w:val="32"/>
                <w:szCs w:val="32"/>
                <w:highlight w:val="none"/>
                <w:u w:val="none"/>
                <w:lang w:val="en-US" w:eastAsia="zh-CN" w:bidi="ar-SA"/>
              </w:rPr>
              <w:t>87万元</w:t>
            </w:r>
            <w:r>
              <w:rPr>
                <w:rFonts w:hint="eastAsia" w:ascii="仿宋" w:hAnsi="仿宋" w:eastAsia="仿宋" w:cs="仿宋"/>
                <w:b w:val="0"/>
                <w:i w:val="0"/>
                <w:kern w:val="2"/>
                <w:sz w:val="32"/>
                <w:szCs w:val="32"/>
                <w:u w:val="none"/>
                <w:lang w:val="en-US" w:eastAsia="zh-CN" w:bidi="ar-SA"/>
              </w:rPr>
              <w:t>；4.时效指标：工作完成及时率≥95%；5.社会效益指标：</w:t>
            </w:r>
            <w:r>
              <w:rPr>
                <w:rFonts w:hint="eastAsia" w:ascii="仿宋" w:hAnsi="仿宋" w:eastAsia="仿宋" w:cs="仿宋"/>
                <w:b w:val="0"/>
                <w:i w:val="0"/>
                <w:kern w:val="2"/>
                <w:sz w:val="32"/>
                <w:szCs w:val="32"/>
                <w:highlight w:val="none"/>
                <w:u w:val="none"/>
                <w:lang w:val="en-US" w:eastAsia="zh-CN" w:bidi="ar-SA"/>
              </w:rPr>
              <w:t>科普知识知晓率</w:t>
            </w:r>
            <w:r>
              <w:rPr>
                <w:rFonts w:hint="eastAsia" w:ascii="仿宋" w:hAnsi="仿宋" w:eastAsia="仿宋" w:cs="仿宋"/>
                <w:b w:val="0"/>
                <w:i w:val="0"/>
                <w:kern w:val="2"/>
                <w:sz w:val="32"/>
                <w:szCs w:val="32"/>
                <w:u w:val="none"/>
                <w:lang w:val="en-US" w:eastAsia="zh-CN" w:bidi="ar-SA"/>
              </w:rPr>
              <w:t>≥95</w:t>
            </w:r>
            <w:r>
              <w:rPr>
                <w:rFonts w:hint="eastAsia" w:ascii="仿宋" w:hAnsi="仿宋" w:eastAsia="仿宋" w:cs="仿宋"/>
                <w:b w:val="0"/>
                <w:i w:val="0"/>
                <w:kern w:val="2"/>
                <w:sz w:val="32"/>
                <w:szCs w:val="32"/>
                <w:highlight w:val="none"/>
                <w:u w:val="none"/>
                <w:lang w:val="en-US" w:eastAsia="zh-CN" w:bidi="ar-SA"/>
              </w:rPr>
              <w:t>%；可持续影响指标：科普长期影响率</w:t>
            </w:r>
            <w:r>
              <w:rPr>
                <w:rFonts w:hint="eastAsia" w:ascii="仿宋" w:hAnsi="仿宋" w:eastAsia="仿宋" w:cs="仿宋"/>
                <w:b w:val="0"/>
                <w:i w:val="0"/>
                <w:kern w:val="2"/>
                <w:sz w:val="32"/>
                <w:szCs w:val="32"/>
                <w:u w:val="none"/>
                <w:lang w:val="en-US" w:eastAsia="zh-CN" w:bidi="ar-SA"/>
              </w:rPr>
              <w:t>≥95%。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lang w:val="en-US" w:eastAsia="zh-CN"/>
              </w:rPr>
            </w:pPr>
            <w:bookmarkStart w:id="85" w:name="_Toc28621"/>
            <w:bookmarkStart w:id="86" w:name="_Toc20748"/>
            <w:bookmarkStart w:id="87" w:name="_Toc22222"/>
            <w:bookmarkStart w:id="88" w:name="_Toc21014"/>
            <w:bookmarkStart w:id="89" w:name="_Toc6105"/>
            <w:bookmarkStart w:id="90" w:name="_Toc10113"/>
            <w:bookmarkStart w:id="91" w:name="_Toc5623"/>
            <w:bookmarkStart w:id="92" w:name="_Toc18842"/>
            <w:bookmarkStart w:id="93" w:name="_Toc30508"/>
            <w:bookmarkStart w:id="94" w:name="_Toc17025"/>
            <w:r>
              <w:rPr>
                <w:rFonts w:hint="eastAsia" w:ascii="仿宋_GB2312" w:hAnsi="仿宋_GB2312" w:eastAsia="仿宋_GB2312" w:cs="仿宋_GB2312"/>
                <w:b/>
                <w:bCs/>
                <w:color w:val="auto"/>
                <w:sz w:val="32"/>
                <w:szCs w:val="40"/>
                <w:lang w:val="en-US" w:eastAsia="zh-CN"/>
              </w:rPr>
              <w:t>四、绩效评价指标体系及得分情况</w:t>
            </w:r>
            <w:bookmarkEnd w:id="85"/>
            <w:bookmarkEnd w:id="86"/>
            <w:bookmarkEnd w:id="87"/>
            <w:bookmarkEnd w:id="88"/>
            <w:bookmarkEnd w:id="89"/>
            <w:bookmarkEnd w:id="90"/>
            <w:bookmarkEnd w:id="91"/>
            <w:bookmarkEnd w:id="92"/>
            <w:bookmarkEnd w:id="93"/>
            <w:bookmarkEnd w:id="94"/>
          </w:p>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科协项目重点绩效自评指标表</w:t>
            </w:r>
          </w:p>
        </w:tc>
      </w:tr>
      <w:tr>
        <w:tblPrEx>
          <w:tblCellMar>
            <w:top w:w="0" w:type="dxa"/>
            <w:left w:w="0" w:type="dxa"/>
            <w:bottom w:w="0" w:type="dxa"/>
            <w:right w:w="0" w:type="dxa"/>
          </w:tblCellMar>
        </w:tblPrEx>
        <w:trPr>
          <w:trHeight w:val="585" w:hRule="atLeast"/>
        </w:trPr>
        <w:tc>
          <w:tcPr>
            <w:tcW w:w="958"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一级指标  </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二级指标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 三级指标</w:t>
            </w:r>
          </w:p>
        </w:tc>
        <w:tc>
          <w:tcPr>
            <w:tcW w:w="54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分值</w:t>
            </w:r>
          </w:p>
        </w:tc>
        <w:tc>
          <w:tcPr>
            <w:tcW w:w="35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指标说明</w:t>
            </w:r>
          </w:p>
        </w:tc>
        <w:tc>
          <w:tcPr>
            <w:tcW w:w="5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得分</w:t>
            </w:r>
          </w:p>
        </w:tc>
      </w:tr>
      <w:tr>
        <w:tblPrEx>
          <w:tblCellMar>
            <w:top w:w="0" w:type="dxa"/>
            <w:left w:w="0" w:type="dxa"/>
            <w:bottom w:w="0" w:type="dxa"/>
            <w:right w:w="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名称</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名称</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名称</w:t>
            </w:r>
          </w:p>
        </w:tc>
        <w:tc>
          <w:tcPr>
            <w:tcW w:w="5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rPr>
            </w:pPr>
          </w:p>
        </w:tc>
        <w:tc>
          <w:tcPr>
            <w:tcW w:w="35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rPr>
            </w:pPr>
          </w:p>
        </w:tc>
      </w:tr>
      <w:tr>
        <w:tblPrEx>
          <w:tblCellMar>
            <w:top w:w="0" w:type="dxa"/>
            <w:left w:w="0" w:type="dxa"/>
            <w:bottom w:w="0" w:type="dxa"/>
            <w:right w:w="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“工作活动”设置（30分）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项目立项情况</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有市政府相关政策、规划、任务等文件得5分；无不得分。</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0 </w:t>
            </w:r>
          </w:p>
        </w:tc>
      </w:tr>
      <w:tr>
        <w:tblPrEx>
          <w:tblCellMar>
            <w:top w:w="0" w:type="dxa"/>
            <w:left w:w="0" w:type="dxa"/>
            <w:bottom w:w="0" w:type="dxa"/>
            <w:right w:w="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项目活动与职责相关性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工作活动与部门职责、工作规划和重点工作相关，工作活动项下确定的预算项目合理，与工作活动密切相关，工作活动和项目预算安排合理，得10分；否则不得分。</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10 </w:t>
            </w:r>
          </w:p>
        </w:tc>
      </w:tr>
      <w:tr>
        <w:tblPrEx>
          <w:tblCellMar>
            <w:top w:w="0" w:type="dxa"/>
            <w:left w:w="0" w:type="dxa"/>
            <w:bottom w:w="0" w:type="dxa"/>
            <w:right w:w="0" w:type="dxa"/>
          </w:tblCellMar>
        </w:tblPrEx>
        <w:trPr>
          <w:trHeight w:val="564"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绩效自评情况</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项目设立绩效目标合理性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8</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①是否将项目绩效目标细化分解为具体的绩效指标；</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②是否通过清晰、可衡量的指标值予以体现；</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③是否与项目年度任务数或计划数相对应；</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④是否与预算确定的项目投资额或资金量相匹配。</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缺少一项扣2分,扣完为止。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自评报告情况</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7</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是否有绩效评价报告，报告是否依据充分、内容真实完整；数据准确、分析透彻。每存在一项问题扣1分，扣完为止。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 xml:space="preserve"> 7</w:t>
            </w:r>
          </w:p>
        </w:tc>
      </w:tr>
      <w:tr>
        <w:tblPrEx>
          <w:tblCellMar>
            <w:top w:w="0" w:type="dxa"/>
            <w:left w:w="0" w:type="dxa"/>
            <w:bottom w:w="0" w:type="dxa"/>
            <w:right w:w="0" w:type="dxa"/>
          </w:tblCellMar>
        </w:tblPrEx>
        <w:trPr>
          <w:trHeight w:val="1020" w:hRule="atLeast"/>
        </w:trPr>
        <w:tc>
          <w:tcPr>
            <w:tcW w:w="9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“工作活动”管理（30分）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资金管理</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预算调整率</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预算调整率=（预算调整数/预算数）×100%。预算调整率每大于1%扣1分，扣完为止。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4</w:t>
            </w:r>
          </w:p>
        </w:tc>
      </w:tr>
      <w:tr>
        <w:tblPrEx>
          <w:tblCellMar>
            <w:top w:w="0" w:type="dxa"/>
            <w:left w:w="0" w:type="dxa"/>
            <w:bottom w:w="0" w:type="dxa"/>
            <w:right w:w="0" w:type="dxa"/>
          </w:tblCellMar>
        </w:tblPrEx>
        <w:trPr>
          <w:trHeight w:val="1020" w:hRule="atLeast"/>
        </w:trPr>
        <w:tc>
          <w:tcPr>
            <w:tcW w:w="958" w:type="dxa"/>
            <w:vMerge w:val="continue"/>
            <w:tcBorders>
              <w:top w:val="single" w:color="000000" w:sz="4" w:space="0"/>
              <w:left w:val="single" w:color="000000" w:sz="4" w:space="0"/>
              <w:bottom w:val="nil"/>
              <w:right w:val="single" w:color="000000" w:sz="4" w:space="0"/>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项目资金使用是否符合国家财经法规及相关的财务管理制度规定，资金支出程序是否规范,报账手续是否齐全。每存在一项不合规问题扣1分，扣完为止。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r>
      <w:tr>
        <w:tblPrEx>
          <w:tblCellMar>
            <w:top w:w="0" w:type="dxa"/>
            <w:left w:w="0" w:type="dxa"/>
            <w:bottom w:w="0" w:type="dxa"/>
            <w:right w:w="0" w:type="dxa"/>
          </w:tblCellMar>
        </w:tblPrEx>
        <w:trPr>
          <w:trHeight w:val="1220"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会计核算规范性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会计核算是否符合《会计法》、《政府会计制度》、《会计基础工作规范》等法律法规和相关制度规定。每存在一项不合规问题扣1分，扣完为止。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1740"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项目管理</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项目责任机制是否健全</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是否建立责任机制，项目管理和责任落实到有关人。每存在一项问题扣1分，扣完为止。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756"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管理制度健全性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制定管理制度和措施（包括财务制度）是否明确、清晰、具有可操作性，能否保障工作活动顺利实施。每缺少一项制度扣1分，扣完为止。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90" w:hRule="atLeast"/>
        </w:trPr>
        <w:tc>
          <w:tcPr>
            <w:tcW w:w="958"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“工作活动”产出（30分）</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科普活动次数2次。</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568"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科普活动参与率达到90%以上。</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568"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任务完成及时率达到90%以上。</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42" w:hRule="atLeast"/>
        </w:trPr>
        <w:tc>
          <w:tcPr>
            <w:tcW w:w="95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“工作活动”效果（10分）</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群众满意度达到95%以上。</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05" w:hRule="atLeast"/>
        </w:trPr>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220" w:firstLineChars="100"/>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合计</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b w:val="0"/>
          <w:bCs w:val="0"/>
          <w:color w:val="000000"/>
          <w:sz w:val="32"/>
          <w:szCs w:val="32"/>
          <w:lang w:val="en-US" w:eastAsia="zh-CN"/>
        </w:rPr>
      </w:pPr>
      <w:bookmarkStart w:id="95" w:name="_Toc2634_WPSOffice_Level1"/>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五、评价分析</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sz w:val="32"/>
          <w:szCs w:val="40"/>
          <w:lang w:val="en-US" w:eastAsia="zh-CN"/>
        </w:rPr>
      </w:pPr>
      <w:bookmarkStart w:id="96" w:name="_Toc18513_WPSOffice_Level2"/>
      <w:r>
        <w:rPr>
          <w:rFonts w:hint="eastAsia" w:ascii="仿宋_GB2312" w:hAnsi="仿宋_GB2312" w:eastAsia="仿宋_GB2312" w:cs="仿宋_GB2312"/>
          <w:color w:val="000000"/>
          <w:sz w:val="32"/>
          <w:szCs w:val="40"/>
          <w:lang w:val="en-US" w:eastAsia="zh-CN"/>
        </w:rPr>
        <w:t>（一）主要扣分事项及原因分析</w:t>
      </w:r>
      <w:bookmarkEnd w:id="96"/>
    </w:p>
    <w:p>
      <w:pPr>
        <w:pStyle w:val="5"/>
        <w:rPr>
          <w:rFonts w:hint="default"/>
          <w:lang w:val="en-US" w:eastAsia="zh-CN"/>
        </w:rPr>
      </w:pPr>
      <w:bookmarkStart w:id="97" w:name="_Toc11279_WPSOffice_Level1"/>
      <w:r>
        <w:rPr>
          <w:rFonts w:hint="eastAsia" w:ascii="仿宋_GB2312" w:hAnsi="仿宋_GB2312" w:eastAsia="仿宋_GB2312" w:cs="仿宋_GB2312"/>
          <w:color w:val="auto"/>
          <w:kern w:val="2"/>
          <w:sz w:val="32"/>
          <w:szCs w:val="40"/>
          <w:lang w:val="en-US" w:eastAsia="zh-CN" w:bidi="ar-SA"/>
        </w:rPr>
        <w:t>决算数较年初预算数有所调整，由于我单位支出进度监管不严格，导致一部分资金未能及时支出。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六、意见及建议</w:t>
      </w:r>
      <w:bookmarkEnd w:id="97"/>
    </w:p>
    <w:p>
      <w:pPr>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对于支出进度缓慢的项目具体问题具体分析，采取相应的整改措施，确保项目支出能够及时、合理的进行。</w:t>
      </w:r>
    </w:p>
    <w:p>
      <w:pPr>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60" w:lineRule="exact"/>
        <w:ind w:firstLine="5760" w:firstLineChars="1800"/>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60" w:lineRule="exact"/>
        <w:ind w:firstLine="5760" w:firstLineChars="1800"/>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lang w:val="en-US" w:eastAsia="zh-CN"/>
        </w:rPr>
        <w:t>2024年5月10日</w:t>
      </w:r>
    </w:p>
    <w:p>
      <w:pPr>
        <w:rPr>
          <w:rFonts w:hint="eastAsia" w:ascii="仿宋_GB2312" w:hAnsi="仿宋_GB2312" w:eastAsia="仿宋_GB2312" w:cs="仿宋_GB2312"/>
        </w:rPr>
      </w:pPr>
    </w:p>
    <w:sectPr>
      <w:footerReference r:id="rId3" w:type="default"/>
      <w:pgSz w:w="11906" w:h="16838"/>
      <w:pgMar w:top="2154" w:right="1474" w:bottom="1984"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75BD8"/>
    <w:multiLevelType w:val="singleLevel"/>
    <w:tmpl w:val="4BE75BD8"/>
    <w:lvl w:ilvl="0" w:tentative="0">
      <w:start w:val="1"/>
      <w:numFmt w:val="chineseCounting"/>
      <w:suff w:val="nothing"/>
      <w:lvlText w:val="（%1）"/>
      <w:lvlJc w:val="left"/>
      <w:rPr>
        <w:rFonts w:hint="eastAsia"/>
      </w:rPr>
    </w:lvl>
  </w:abstractNum>
  <w:abstractNum w:abstractNumId="1">
    <w:nsid w:val="66E52B63"/>
    <w:multiLevelType w:val="singleLevel"/>
    <w:tmpl w:val="66E52B6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jdiN2RiOWYyMjhjODM4YzhkM2FkMjBlNGNjY2IifQ=="/>
  </w:docVars>
  <w:rsids>
    <w:rsidRoot w:val="07CC499B"/>
    <w:rsid w:val="00B60E03"/>
    <w:rsid w:val="01B67D1F"/>
    <w:rsid w:val="01CA2AF2"/>
    <w:rsid w:val="03274687"/>
    <w:rsid w:val="04064A0C"/>
    <w:rsid w:val="04321BCD"/>
    <w:rsid w:val="04FF4482"/>
    <w:rsid w:val="057A0A50"/>
    <w:rsid w:val="064C4C17"/>
    <w:rsid w:val="076C3175"/>
    <w:rsid w:val="07CC499B"/>
    <w:rsid w:val="0815567D"/>
    <w:rsid w:val="0909607F"/>
    <w:rsid w:val="09A64785"/>
    <w:rsid w:val="0A3B4E4B"/>
    <w:rsid w:val="0B601B06"/>
    <w:rsid w:val="0BEB58BF"/>
    <w:rsid w:val="0C15027B"/>
    <w:rsid w:val="0C3B2A49"/>
    <w:rsid w:val="0DAA4EE9"/>
    <w:rsid w:val="0E3117D9"/>
    <w:rsid w:val="102B0836"/>
    <w:rsid w:val="1064155D"/>
    <w:rsid w:val="1156122B"/>
    <w:rsid w:val="11F11891"/>
    <w:rsid w:val="12C35BB4"/>
    <w:rsid w:val="140849FA"/>
    <w:rsid w:val="14583EA3"/>
    <w:rsid w:val="151D09B5"/>
    <w:rsid w:val="1689469A"/>
    <w:rsid w:val="16DB1E7D"/>
    <w:rsid w:val="178C6C5A"/>
    <w:rsid w:val="17CD646A"/>
    <w:rsid w:val="184F3049"/>
    <w:rsid w:val="1B3F225B"/>
    <w:rsid w:val="1B4269FF"/>
    <w:rsid w:val="1C672059"/>
    <w:rsid w:val="1D4B3C83"/>
    <w:rsid w:val="1DBD7AB3"/>
    <w:rsid w:val="1E0B387E"/>
    <w:rsid w:val="1F435DC8"/>
    <w:rsid w:val="21460607"/>
    <w:rsid w:val="21FF1E9B"/>
    <w:rsid w:val="22D45411"/>
    <w:rsid w:val="23C1122C"/>
    <w:rsid w:val="243D751D"/>
    <w:rsid w:val="24522B03"/>
    <w:rsid w:val="25ED2FD4"/>
    <w:rsid w:val="264A346A"/>
    <w:rsid w:val="270A41B9"/>
    <w:rsid w:val="274B3C4E"/>
    <w:rsid w:val="285356FD"/>
    <w:rsid w:val="288E37E0"/>
    <w:rsid w:val="290243B4"/>
    <w:rsid w:val="2A5C748F"/>
    <w:rsid w:val="2B10000E"/>
    <w:rsid w:val="2B2D56DA"/>
    <w:rsid w:val="2D391E20"/>
    <w:rsid w:val="2EC54DB9"/>
    <w:rsid w:val="30785FD3"/>
    <w:rsid w:val="31702E0D"/>
    <w:rsid w:val="33C32B3C"/>
    <w:rsid w:val="34E52524"/>
    <w:rsid w:val="35CA4ECD"/>
    <w:rsid w:val="35CE5164"/>
    <w:rsid w:val="35F07825"/>
    <w:rsid w:val="360C2FBA"/>
    <w:rsid w:val="363913FE"/>
    <w:rsid w:val="36D6548C"/>
    <w:rsid w:val="37160F7E"/>
    <w:rsid w:val="376918C7"/>
    <w:rsid w:val="37832AC7"/>
    <w:rsid w:val="38195BED"/>
    <w:rsid w:val="39B23A02"/>
    <w:rsid w:val="3A4766ED"/>
    <w:rsid w:val="3A713A3B"/>
    <w:rsid w:val="3AAB2217"/>
    <w:rsid w:val="3CAE49E3"/>
    <w:rsid w:val="3DAE40CB"/>
    <w:rsid w:val="3E7103A9"/>
    <w:rsid w:val="3E7E746E"/>
    <w:rsid w:val="3EBE2184"/>
    <w:rsid w:val="3F5912F8"/>
    <w:rsid w:val="3F9B4FC0"/>
    <w:rsid w:val="40161AFD"/>
    <w:rsid w:val="41B74B09"/>
    <w:rsid w:val="43DC781A"/>
    <w:rsid w:val="441C7555"/>
    <w:rsid w:val="450A0AA4"/>
    <w:rsid w:val="45236574"/>
    <w:rsid w:val="46434BE2"/>
    <w:rsid w:val="46AA6AA7"/>
    <w:rsid w:val="478E0E32"/>
    <w:rsid w:val="48A2447B"/>
    <w:rsid w:val="49430BD9"/>
    <w:rsid w:val="494625CA"/>
    <w:rsid w:val="4A2B1596"/>
    <w:rsid w:val="4BD23ED8"/>
    <w:rsid w:val="4C2846CD"/>
    <w:rsid w:val="4C7A4C55"/>
    <w:rsid w:val="4F6A54EE"/>
    <w:rsid w:val="4FDF6ED1"/>
    <w:rsid w:val="514C0EC5"/>
    <w:rsid w:val="51F50157"/>
    <w:rsid w:val="52866F20"/>
    <w:rsid w:val="52EE7A8B"/>
    <w:rsid w:val="535B290E"/>
    <w:rsid w:val="53F1208F"/>
    <w:rsid w:val="54DE5250"/>
    <w:rsid w:val="55495194"/>
    <w:rsid w:val="56115CEE"/>
    <w:rsid w:val="56D42516"/>
    <w:rsid w:val="56FE5044"/>
    <w:rsid w:val="57E03285"/>
    <w:rsid w:val="5AE71036"/>
    <w:rsid w:val="5B5F30DA"/>
    <w:rsid w:val="5BAF6F84"/>
    <w:rsid w:val="5BE03A0F"/>
    <w:rsid w:val="5D5C7CBD"/>
    <w:rsid w:val="5DF86B3F"/>
    <w:rsid w:val="5F1C1ADB"/>
    <w:rsid w:val="60134031"/>
    <w:rsid w:val="60C120AA"/>
    <w:rsid w:val="6304094B"/>
    <w:rsid w:val="64165E4C"/>
    <w:rsid w:val="6536013A"/>
    <w:rsid w:val="68DA698B"/>
    <w:rsid w:val="6A3E1F45"/>
    <w:rsid w:val="6CCC6D4C"/>
    <w:rsid w:val="6D5F4EC3"/>
    <w:rsid w:val="6E3F5A2C"/>
    <w:rsid w:val="7008088F"/>
    <w:rsid w:val="712634CC"/>
    <w:rsid w:val="71A3781D"/>
    <w:rsid w:val="724E698E"/>
    <w:rsid w:val="72E96A79"/>
    <w:rsid w:val="756501CF"/>
    <w:rsid w:val="778F438E"/>
    <w:rsid w:val="78931961"/>
    <w:rsid w:val="78EF46BD"/>
    <w:rsid w:val="7A055146"/>
    <w:rsid w:val="7A757A3F"/>
    <w:rsid w:val="7C647BFE"/>
    <w:rsid w:val="7D9B64C3"/>
    <w:rsid w:val="7FA8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qFormat/>
    <w:uiPriority w:val="0"/>
    <w:pPr>
      <w:ind w:firstLine="420"/>
    </w:p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2021-07-20T09:00:00Z</dcterms:created>
  <dc:creator>user</dc:creator>
  <cp:lastModifiedBy>柠檬 </cp:lastModifiedBy>
  <dcterms:modified xsi:type="dcterms:W3CDTF">2024-05-10T04:29:43Z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41260B391483414CBAB659E47BBFBA50</vt:lpwstr>
  </property>
</Properties>
</file>