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sz w:val="44"/>
          <w:szCs w:val="44"/>
        </w:rPr>
      </w:pP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bookmarkStart w:id="0" w:name="_GoBack"/>
            <w:r>
              <w:rPr>
                <w:rFonts w:hint="eastAsia" w:ascii="仿宋_GB2312" w:hAnsi="仿宋_GB2312" w:eastAsia="仿宋_GB2312" w:cs="仿宋_GB2312"/>
                <w:color w:val="000000"/>
                <w:kern w:val="0"/>
                <w:sz w:val="21"/>
                <w:szCs w:val="21"/>
                <w:lang w:eastAsia="zh-CN" w:bidi="ar"/>
              </w:rPr>
              <w:t>“三公”经费</w:t>
            </w:r>
            <w:bookmarkEnd w:id="0"/>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93</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NTEyNzg0M2RjMzNjN2JhMTVlNTM0ZTliNDJiZjE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8B63427"/>
    <w:rsid w:val="0C8F0285"/>
    <w:rsid w:val="0F8F6BFC"/>
    <w:rsid w:val="107166F3"/>
    <w:rsid w:val="144D4E5A"/>
    <w:rsid w:val="1C841DE7"/>
    <w:rsid w:val="21EC1391"/>
    <w:rsid w:val="3791647A"/>
    <w:rsid w:val="455969D8"/>
    <w:rsid w:val="48725571"/>
    <w:rsid w:val="4BDB04ED"/>
    <w:rsid w:val="526A3656"/>
    <w:rsid w:val="53CD5365"/>
    <w:rsid w:val="5D643D56"/>
    <w:rsid w:val="64283056"/>
    <w:rsid w:val="69BD0A47"/>
    <w:rsid w:val="71A911C9"/>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4684</Words>
  <Characters>4999</Characters>
  <Lines>37</Lines>
  <Paragraphs>10</Paragraphs>
  <TotalTime>277</TotalTime>
  <ScaleCrop>false</ScaleCrop>
  <LinksUpToDate>false</LinksUpToDate>
  <CharactersWithSpaces>5033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Administrator</cp:lastModifiedBy>
  <cp:lastPrinted>2018-11-29T03:23:00Z</cp:lastPrinted>
  <dcterms:modified xsi:type="dcterms:W3CDTF">2025-04-10T08:53:33Z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2E42884A3B43499F884154B09C0518B9</vt:lpwstr>
  </property>
</Properties>
</file>