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9DC24">
      <w:pPr>
        <w:spacing w:line="480" w:lineRule="exact"/>
        <w:jc w:val="center"/>
        <w:rPr>
          <w:rFonts w:ascii="宋体" w:hAnsi="宋体"/>
          <w:b/>
          <w:sz w:val="44"/>
          <w:szCs w:val="44"/>
        </w:rPr>
      </w:pPr>
      <w:bookmarkStart w:id="0" w:name="_GoBack"/>
      <w:bookmarkEnd w:id="0"/>
      <w:r>
        <w:rPr>
          <w:rFonts w:hint="eastAsia" w:ascii="宋体" w:hAnsi="宋体"/>
          <w:b/>
          <w:sz w:val="44"/>
          <w:szCs w:val="44"/>
          <w:lang w:eastAsia="zh-CN"/>
        </w:rPr>
        <w:t>巨鹿</w:t>
      </w:r>
      <w:r>
        <w:rPr>
          <w:rFonts w:hint="eastAsia" w:ascii="宋体" w:hAnsi="宋体"/>
          <w:b/>
          <w:sz w:val="44"/>
          <w:szCs w:val="44"/>
        </w:rPr>
        <w:t>县</w:t>
      </w:r>
      <w:r>
        <w:rPr>
          <w:rFonts w:hint="eastAsia" w:ascii="宋体" w:hAnsi="宋体"/>
          <w:b/>
          <w:sz w:val="44"/>
          <w:szCs w:val="44"/>
          <w:lang w:val="en-US" w:eastAsia="zh-CN"/>
        </w:rPr>
        <w:t>巨鹿镇人民政府</w:t>
      </w:r>
      <w:r>
        <w:rPr>
          <w:rFonts w:hint="eastAsia" w:ascii="宋体" w:hAnsi="宋体"/>
          <w:b/>
          <w:sz w:val="44"/>
          <w:szCs w:val="44"/>
        </w:rPr>
        <w:t>2021年</w:t>
      </w:r>
    </w:p>
    <w:p w14:paraId="69014902">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p w14:paraId="73444A4E">
      <w:pPr>
        <w:spacing w:line="480" w:lineRule="exact"/>
        <w:jc w:val="left"/>
        <w:rPr>
          <w:rFonts w:ascii="仿宋" w:hAnsi="仿宋" w:eastAsia="仿宋" w:cs="仿宋"/>
          <w:sz w:val="24"/>
          <w:szCs w:val="24"/>
        </w:rPr>
      </w:pPr>
      <w:r>
        <w:rPr>
          <w:rFonts w:hint="eastAsia" w:ascii="仿宋" w:hAnsi="仿宋" w:eastAsia="仿宋" w:cs="仿宋"/>
          <w:sz w:val="24"/>
          <w:szCs w:val="24"/>
        </w:rPr>
        <w:t xml:space="preserve">单位名称:巨鹿镇人民政府 (公章)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单位负责人:          </w:t>
      </w:r>
    </w:p>
    <w:tbl>
      <w:tblPr>
        <w:tblStyle w:val="6"/>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989"/>
        <w:gridCol w:w="1056"/>
        <w:gridCol w:w="3569"/>
        <w:gridCol w:w="2462"/>
        <w:gridCol w:w="482"/>
      </w:tblGrid>
      <w:tr w14:paraId="5CE9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vAlign w:val="center"/>
          </w:tcPr>
          <w:p w14:paraId="1C3C88FC">
            <w:pPr>
              <w:widowControl/>
              <w:spacing w:line="240" w:lineRule="exact"/>
              <w:jc w:val="center"/>
              <w:rPr>
                <w:b/>
              </w:rPr>
            </w:pPr>
            <w:r>
              <w:rPr>
                <w:rFonts w:ascii="仿宋_GB2312" w:hAnsi="新宋体" w:eastAsia="仿宋_GB2312" w:cs="仿宋_GB2312"/>
                <w:b/>
                <w:kern w:val="0"/>
                <w:sz w:val="24"/>
                <w:szCs w:val="24"/>
              </w:rPr>
              <w:t>一级指标</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14:paraId="6B90F510">
            <w:pPr>
              <w:widowControl/>
              <w:spacing w:line="240" w:lineRule="exact"/>
              <w:jc w:val="center"/>
              <w:rPr>
                <w:b/>
              </w:rPr>
            </w:pPr>
            <w:r>
              <w:rPr>
                <w:rFonts w:ascii="仿宋_GB2312" w:hAnsi="新宋体" w:eastAsia="仿宋_GB2312" w:cs="仿宋_GB2312"/>
                <w:b/>
                <w:kern w:val="0"/>
                <w:sz w:val="24"/>
                <w:szCs w:val="24"/>
              </w:rPr>
              <w:t>二级指标</w:t>
            </w:r>
          </w:p>
        </w:tc>
        <w:tc>
          <w:tcPr>
            <w:tcW w:w="4625" w:type="dxa"/>
            <w:gridSpan w:val="2"/>
            <w:tcBorders>
              <w:top w:val="single" w:color="000000" w:sz="4" w:space="0"/>
              <w:left w:val="single" w:color="000000" w:sz="4" w:space="0"/>
              <w:bottom w:val="single" w:color="000000" w:sz="4" w:space="0"/>
              <w:right w:val="single" w:color="auto" w:sz="4" w:space="0"/>
            </w:tcBorders>
            <w:vAlign w:val="center"/>
          </w:tcPr>
          <w:p w14:paraId="4259C5A0">
            <w:pPr>
              <w:widowControl/>
              <w:spacing w:line="240" w:lineRule="exact"/>
              <w:jc w:val="center"/>
              <w:rPr>
                <w:b/>
              </w:rPr>
            </w:pPr>
            <w:r>
              <w:rPr>
                <w:rFonts w:ascii="仿宋_GB2312" w:hAnsi="新宋体" w:eastAsia="仿宋_GB2312" w:cs="仿宋_GB2312"/>
                <w:b/>
                <w:kern w:val="0"/>
                <w:sz w:val="24"/>
                <w:szCs w:val="24"/>
              </w:rPr>
              <w:t>三级指标</w:t>
            </w:r>
          </w:p>
        </w:tc>
        <w:tc>
          <w:tcPr>
            <w:tcW w:w="2462" w:type="dxa"/>
            <w:vMerge w:val="restart"/>
            <w:tcBorders>
              <w:top w:val="single" w:color="000000" w:sz="4" w:space="0"/>
              <w:left w:val="single" w:color="auto" w:sz="4" w:space="0"/>
              <w:bottom w:val="single" w:color="000000" w:sz="4" w:space="0"/>
              <w:right w:val="single" w:color="auto" w:sz="4" w:space="0"/>
            </w:tcBorders>
            <w:vAlign w:val="center"/>
          </w:tcPr>
          <w:p w14:paraId="541946E9">
            <w:pPr>
              <w:widowControl/>
              <w:spacing w:line="240" w:lineRule="exact"/>
              <w:jc w:val="center"/>
              <w:rPr>
                <w:b/>
              </w:rPr>
            </w:pPr>
            <w:r>
              <w:rPr>
                <w:rFonts w:ascii="仿宋_GB2312" w:hAnsi="新宋体" w:eastAsia="仿宋_GB2312" w:cs="仿宋_GB2312"/>
                <w:b/>
                <w:kern w:val="0"/>
                <w:sz w:val="24"/>
                <w:szCs w:val="24"/>
              </w:rPr>
              <w:t>评分标准</w:t>
            </w:r>
          </w:p>
        </w:tc>
        <w:tc>
          <w:tcPr>
            <w:tcW w:w="482" w:type="dxa"/>
            <w:vMerge w:val="restart"/>
            <w:tcBorders>
              <w:top w:val="single" w:color="000000" w:sz="4" w:space="0"/>
              <w:left w:val="single" w:color="auto" w:sz="4" w:space="0"/>
              <w:bottom w:val="single" w:color="000000" w:sz="4" w:space="0"/>
              <w:right w:val="single" w:color="auto" w:sz="4" w:space="0"/>
            </w:tcBorders>
            <w:vAlign w:val="center"/>
          </w:tcPr>
          <w:p w14:paraId="7DD86B32">
            <w:pPr>
              <w:widowControl/>
              <w:spacing w:line="240" w:lineRule="exact"/>
              <w:jc w:val="left"/>
              <w:rPr>
                <w:b/>
              </w:rPr>
            </w:pPr>
            <w:r>
              <w:rPr>
                <w:rFonts w:ascii="仿宋_GB2312" w:hAnsi="新宋体" w:eastAsia="仿宋_GB2312" w:cs="仿宋_GB2312"/>
                <w:b/>
                <w:kern w:val="0"/>
                <w:sz w:val="24"/>
                <w:szCs w:val="24"/>
              </w:rPr>
              <w:t>得分</w:t>
            </w:r>
          </w:p>
        </w:tc>
      </w:tr>
      <w:tr w14:paraId="0441C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7956B51B">
            <w:pPr>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191AA236">
            <w:pPr>
              <w:rPr>
                <w:rFonts w:ascii="宋体"/>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53D1B72F">
            <w:pPr>
              <w:widowControl/>
              <w:spacing w:line="240" w:lineRule="exact"/>
              <w:jc w:val="center"/>
              <w:rPr>
                <w:b/>
              </w:rPr>
            </w:pPr>
            <w:r>
              <w:rPr>
                <w:rFonts w:ascii="仿宋_GB2312" w:hAnsi="新宋体" w:eastAsia="仿宋_GB2312" w:cs="仿宋_GB2312"/>
                <w:b/>
                <w:kern w:val="0"/>
                <w:sz w:val="24"/>
                <w:szCs w:val="24"/>
              </w:rPr>
              <w:t>指标名称</w:t>
            </w:r>
          </w:p>
        </w:tc>
        <w:tc>
          <w:tcPr>
            <w:tcW w:w="3569" w:type="dxa"/>
            <w:tcBorders>
              <w:top w:val="single" w:color="000000" w:sz="4" w:space="0"/>
              <w:left w:val="single" w:color="auto" w:sz="4" w:space="0"/>
              <w:bottom w:val="single" w:color="000000" w:sz="4" w:space="0"/>
              <w:right w:val="single" w:color="auto" w:sz="4" w:space="0"/>
            </w:tcBorders>
            <w:vAlign w:val="center"/>
          </w:tcPr>
          <w:p w14:paraId="28C720F7">
            <w:pPr>
              <w:widowControl/>
              <w:spacing w:line="240" w:lineRule="exact"/>
              <w:jc w:val="center"/>
              <w:rPr>
                <w:b/>
              </w:rPr>
            </w:pPr>
            <w:r>
              <w:rPr>
                <w:rFonts w:ascii="仿宋_GB2312" w:hAnsi="新宋体" w:eastAsia="仿宋_GB2312" w:cs="仿宋_GB2312"/>
                <w:b/>
                <w:kern w:val="0"/>
                <w:sz w:val="24"/>
                <w:szCs w:val="24"/>
              </w:rPr>
              <w:t>指标解释说明</w:t>
            </w:r>
          </w:p>
        </w:tc>
        <w:tc>
          <w:tcPr>
            <w:tcW w:w="2462" w:type="dxa"/>
            <w:vMerge w:val="continue"/>
            <w:tcBorders>
              <w:top w:val="single" w:color="000000" w:sz="4" w:space="0"/>
              <w:left w:val="single" w:color="auto" w:sz="4" w:space="0"/>
              <w:bottom w:val="single" w:color="000000" w:sz="4" w:space="0"/>
              <w:right w:val="single" w:color="auto" w:sz="4" w:space="0"/>
            </w:tcBorders>
            <w:vAlign w:val="center"/>
          </w:tcPr>
          <w:p w14:paraId="4750EAF0">
            <w:pPr>
              <w:rPr>
                <w:rFonts w:ascii="宋体"/>
                <w:szCs w:val="21"/>
              </w:rPr>
            </w:pPr>
          </w:p>
        </w:tc>
        <w:tc>
          <w:tcPr>
            <w:tcW w:w="482" w:type="dxa"/>
            <w:vMerge w:val="continue"/>
            <w:tcBorders>
              <w:top w:val="single" w:color="000000" w:sz="4" w:space="0"/>
              <w:left w:val="single" w:color="auto" w:sz="4" w:space="0"/>
              <w:bottom w:val="single" w:color="000000" w:sz="4" w:space="0"/>
              <w:right w:val="single" w:color="auto" w:sz="4" w:space="0"/>
            </w:tcBorders>
            <w:vAlign w:val="center"/>
          </w:tcPr>
          <w:p w14:paraId="4C867D80">
            <w:pPr>
              <w:rPr>
                <w:rFonts w:ascii="宋体"/>
                <w:szCs w:val="21"/>
              </w:rPr>
            </w:pPr>
          </w:p>
        </w:tc>
      </w:tr>
      <w:tr w14:paraId="1744E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804" w:type="dxa"/>
            <w:gridSpan w:val="5"/>
            <w:tcBorders>
              <w:top w:val="single" w:color="000000" w:sz="4" w:space="0"/>
              <w:left w:val="single" w:color="000000" w:sz="4" w:space="0"/>
              <w:bottom w:val="single" w:color="000000" w:sz="4" w:space="0"/>
              <w:right w:val="single" w:color="auto" w:sz="4" w:space="0"/>
            </w:tcBorders>
            <w:vAlign w:val="center"/>
          </w:tcPr>
          <w:p w14:paraId="1C683D98">
            <w:pPr>
              <w:widowControl/>
              <w:spacing w:line="240" w:lineRule="exact"/>
              <w:jc w:val="center"/>
              <w:rPr>
                <w:rFonts w:ascii="仿宋_GB2312" w:hAnsi="新宋体" w:eastAsia="仿宋_GB2312" w:cs="仿宋_GB2312"/>
                <w:b/>
                <w:kern w:val="0"/>
                <w:sz w:val="24"/>
                <w:szCs w:val="24"/>
              </w:rPr>
            </w:pPr>
            <w:r>
              <w:rPr>
                <w:rFonts w:hint="eastAsia" w:ascii="仿宋_GB2312" w:hAnsi="新宋体" w:eastAsia="仿宋_GB2312" w:cs="仿宋_GB2312"/>
                <w:b/>
                <w:kern w:val="0"/>
                <w:sz w:val="24"/>
                <w:szCs w:val="24"/>
              </w:rPr>
              <w:t>自评总分</w:t>
            </w:r>
          </w:p>
        </w:tc>
        <w:tc>
          <w:tcPr>
            <w:tcW w:w="482" w:type="dxa"/>
            <w:tcBorders>
              <w:top w:val="single" w:color="000000" w:sz="4" w:space="0"/>
              <w:left w:val="single" w:color="auto" w:sz="4" w:space="0"/>
              <w:bottom w:val="single" w:color="auto" w:sz="4" w:space="0"/>
              <w:right w:val="single" w:color="000000" w:sz="4" w:space="0"/>
            </w:tcBorders>
            <w:vAlign w:val="center"/>
          </w:tcPr>
          <w:p w14:paraId="6B625A4A">
            <w:pPr>
              <w:widowControl/>
              <w:spacing w:line="240" w:lineRule="exact"/>
              <w:jc w:val="left"/>
              <w:rPr>
                <w:rFonts w:hint="default" w:eastAsiaTheme="minorEastAsia"/>
                <w:szCs w:val="21"/>
                <w:lang w:val="en-US" w:eastAsia="zh-CN"/>
              </w:rPr>
            </w:pPr>
            <w:r>
              <w:rPr>
                <w:rFonts w:hint="eastAsia"/>
                <w:szCs w:val="21"/>
                <w:lang w:val="en-US" w:eastAsia="zh-CN"/>
              </w:rPr>
              <w:t>91</w:t>
            </w:r>
          </w:p>
        </w:tc>
      </w:tr>
      <w:tr w14:paraId="202FE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vAlign w:val="center"/>
          </w:tcPr>
          <w:p w14:paraId="2EC68E69">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0分</w:t>
            </w:r>
            <w:r>
              <w:rPr>
                <w:rFonts w:ascii="仿宋_GB2312" w:hAnsi="新宋体" w:eastAsia="仿宋_GB2312" w:cs="仿宋_GB2312"/>
                <w:kern w:val="0"/>
                <w:szCs w:val="21"/>
              </w:rPr>
              <w:t>）</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14:paraId="7E1B0BB1">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w:t>
            </w:r>
          </w:p>
          <w:p w14:paraId="6B1A2BF7">
            <w:pPr>
              <w:widowControl/>
              <w:spacing w:line="240" w:lineRule="exact"/>
              <w:jc w:val="left"/>
              <w:rPr>
                <w:sz w:val="18"/>
                <w:szCs w:val="18"/>
              </w:rPr>
            </w:pPr>
            <w:r>
              <w:rPr>
                <w:rFonts w:ascii="仿宋_GB2312" w:hAnsi="新宋体" w:eastAsia="仿宋_GB2312" w:cs="仿宋_GB2312"/>
                <w:kern w:val="0"/>
                <w:sz w:val="18"/>
                <w:szCs w:val="18"/>
              </w:rPr>
              <w:t>（</w:t>
            </w:r>
            <w:r>
              <w:rPr>
                <w:rFonts w:hint="eastAsia" w:ascii="仿宋_GB2312" w:hAnsi="新宋体" w:eastAsia="仿宋_GB2312" w:cs="仿宋_GB2312"/>
                <w:kern w:val="0"/>
                <w:sz w:val="18"/>
                <w:szCs w:val="18"/>
              </w:rPr>
              <w:t>5分</w:t>
            </w:r>
            <w:r>
              <w:rPr>
                <w:rFonts w:ascii="仿宋_GB2312" w:hAnsi="新宋体" w:eastAsia="仿宋_GB2312" w:cs="仿宋_GB2312"/>
                <w:kern w:val="0"/>
                <w:sz w:val="18"/>
                <w:szCs w:val="18"/>
              </w:rPr>
              <w:t>）</w:t>
            </w:r>
          </w:p>
        </w:tc>
        <w:tc>
          <w:tcPr>
            <w:tcW w:w="1056" w:type="dxa"/>
            <w:tcBorders>
              <w:top w:val="single" w:color="000000" w:sz="4" w:space="0"/>
              <w:left w:val="single" w:color="000000" w:sz="4" w:space="0"/>
              <w:bottom w:val="single" w:color="auto" w:sz="4" w:space="0"/>
              <w:right w:val="single" w:color="auto" w:sz="4" w:space="0"/>
            </w:tcBorders>
            <w:vAlign w:val="center"/>
          </w:tcPr>
          <w:p w14:paraId="2431B410">
            <w:pPr>
              <w:widowControl/>
              <w:spacing w:line="240" w:lineRule="exact"/>
              <w:jc w:val="left"/>
              <w:rPr>
                <w:rFonts w:ascii="仿宋_GB2312" w:hAnsi="新宋体" w:eastAsia="仿宋_GB2312" w:cs="仿宋_GB2312"/>
                <w:kern w:val="0"/>
                <w:szCs w:val="21"/>
              </w:rPr>
            </w:pPr>
          </w:p>
          <w:p w14:paraId="5892274C">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职责明确</w:t>
            </w:r>
          </w:p>
          <w:p w14:paraId="35A45AE9">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auto" w:sz="4" w:space="0"/>
              <w:right w:val="single" w:color="auto" w:sz="4" w:space="0"/>
            </w:tcBorders>
            <w:vAlign w:val="center"/>
          </w:tcPr>
          <w:p w14:paraId="71249D13">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462" w:type="dxa"/>
            <w:tcBorders>
              <w:top w:val="single" w:color="000000" w:sz="4" w:space="0"/>
              <w:left w:val="single" w:color="auto" w:sz="4" w:space="0"/>
              <w:bottom w:val="single" w:color="auto" w:sz="4" w:space="0"/>
              <w:right w:val="single" w:color="auto" w:sz="4" w:space="0"/>
            </w:tcBorders>
            <w:vAlign w:val="center"/>
          </w:tcPr>
          <w:p w14:paraId="516E9C2D">
            <w:pPr>
              <w:widowControl/>
              <w:spacing w:line="240" w:lineRule="exact"/>
              <w:jc w:val="left"/>
              <w:rPr>
                <w:szCs w:val="21"/>
              </w:rPr>
            </w:pPr>
            <w:r>
              <w:rPr>
                <w:rFonts w:ascii="仿宋_GB2312" w:hAnsi="新宋体" w:eastAsia="仿宋_GB2312" w:cs="仿宋_GB2312"/>
                <w:kern w:val="0"/>
                <w:szCs w:val="21"/>
              </w:rPr>
              <w:t>符合（1）；</w:t>
            </w:r>
          </w:p>
          <w:p w14:paraId="192BA3A4">
            <w:pPr>
              <w:widowControl/>
              <w:spacing w:line="240" w:lineRule="exact"/>
              <w:jc w:val="left"/>
              <w:rPr>
                <w:szCs w:val="21"/>
              </w:rPr>
            </w:pPr>
            <w:r>
              <w:rPr>
                <w:rFonts w:ascii="仿宋_GB2312" w:hAnsi="新宋体" w:eastAsia="仿宋_GB2312" w:cs="仿宋_GB2312"/>
                <w:kern w:val="0"/>
                <w:szCs w:val="21"/>
              </w:rPr>
              <w:t>不符合（0）。</w:t>
            </w:r>
          </w:p>
        </w:tc>
        <w:tc>
          <w:tcPr>
            <w:tcW w:w="482" w:type="dxa"/>
            <w:tcBorders>
              <w:top w:val="single" w:color="000000" w:sz="4" w:space="0"/>
              <w:left w:val="single" w:color="auto" w:sz="4" w:space="0"/>
              <w:bottom w:val="single" w:color="auto" w:sz="4" w:space="0"/>
              <w:right w:val="single" w:color="000000" w:sz="4" w:space="0"/>
            </w:tcBorders>
            <w:vAlign w:val="center"/>
          </w:tcPr>
          <w:p w14:paraId="3EAD15AA">
            <w:pPr>
              <w:widowControl/>
              <w:spacing w:line="240" w:lineRule="exact"/>
              <w:jc w:val="left"/>
              <w:rPr>
                <w:rFonts w:hint="eastAsia" w:eastAsiaTheme="minorEastAsia"/>
                <w:szCs w:val="21"/>
                <w:lang w:val="en-US" w:eastAsia="zh-CN"/>
              </w:rPr>
            </w:pPr>
            <w:r>
              <w:rPr>
                <w:rFonts w:hint="eastAsia"/>
                <w:szCs w:val="21"/>
                <w:lang w:val="en-US" w:eastAsia="zh-CN"/>
              </w:rPr>
              <w:t>1</w:t>
            </w:r>
          </w:p>
        </w:tc>
      </w:tr>
      <w:tr w14:paraId="0F46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4F595C4E">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6346EEE8">
            <w:pPr>
              <w:spacing w:line="240" w:lineRule="exact"/>
              <w:rPr>
                <w:rFonts w:ascii="宋体"/>
                <w:szCs w:val="21"/>
              </w:rPr>
            </w:pPr>
          </w:p>
        </w:tc>
        <w:tc>
          <w:tcPr>
            <w:tcW w:w="1056" w:type="dxa"/>
            <w:tcBorders>
              <w:top w:val="single" w:color="000000" w:sz="4" w:space="0"/>
              <w:left w:val="single" w:color="000000" w:sz="4" w:space="0"/>
              <w:bottom w:val="single" w:color="auto" w:sz="4" w:space="0"/>
              <w:right w:val="single" w:color="auto" w:sz="4" w:space="0"/>
            </w:tcBorders>
            <w:vAlign w:val="center"/>
          </w:tcPr>
          <w:p w14:paraId="4D40DDC0">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活动合规性</w:t>
            </w:r>
          </w:p>
          <w:p w14:paraId="79CFA8CE">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auto" w:sz="4" w:space="0"/>
              <w:right w:val="single" w:color="auto" w:sz="4" w:space="0"/>
            </w:tcBorders>
            <w:vAlign w:val="center"/>
          </w:tcPr>
          <w:p w14:paraId="617FC558">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4D9E1D6C">
            <w:pPr>
              <w:widowControl/>
              <w:spacing w:line="240" w:lineRule="exact"/>
              <w:jc w:val="left"/>
              <w:rPr>
                <w:szCs w:val="21"/>
              </w:rPr>
            </w:pPr>
            <w:r>
              <w:rPr>
                <w:rFonts w:ascii="仿宋_GB2312" w:hAnsi="新宋体" w:eastAsia="仿宋_GB2312" w:cs="仿宋_GB2312"/>
                <w:kern w:val="0"/>
                <w:szCs w:val="21"/>
              </w:rPr>
              <w:t>评价要点：</w:t>
            </w:r>
          </w:p>
          <w:p w14:paraId="4C0FE5E8">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682214D8">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462" w:type="dxa"/>
            <w:tcBorders>
              <w:top w:val="single" w:color="000000" w:sz="4" w:space="0"/>
              <w:left w:val="single" w:color="auto" w:sz="4" w:space="0"/>
              <w:bottom w:val="single" w:color="auto" w:sz="4" w:space="0"/>
              <w:right w:val="single" w:color="auto" w:sz="4" w:space="0"/>
            </w:tcBorders>
            <w:vAlign w:val="center"/>
          </w:tcPr>
          <w:p w14:paraId="32094F8B">
            <w:pPr>
              <w:widowControl/>
              <w:spacing w:line="240" w:lineRule="exact"/>
              <w:jc w:val="left"/>
              <w:rPr>
                <w:szCs w:val="21"/>
              </w:rPr>
            </w:pPr>
            <w:r>
              <w:rPr>
                <w:rFonts w:ascii="仿宋_GB2312" w:hAnsi="新宋体" w:eastAsia="仿宋_GB2312" w:cs="仿宋_GB2312"/>
                <w:kern w:val="0"/>
                <w:szCs w:val="21"/>
              </w:rPr>
              <w:t>全部符合（2）；</w:t>
            </w:r>
          </w:p>
          <w:p w14:paraId="7B942DE1">
            <w:pPr>
              <w:widowControl/>
              <w:spacing w:line="240" w:lineRule="exact"/>
              <w:jc w:val="left"/>
              <w:rPr>
                <w:szCs w:val="21"/>
              </w:rPr>
            </w:pPr>
            <w:r>
              <w:rPr>
                <w:rFonts w:ascii="仿宋_GB2312" w:hAnsi="新宋体" w:eastAsia="仿宋_GB2312" w:cs="仿宋_GB2312"/>
                <w:kern w:val="0"/>
                <w:szCs w:val="21"/>
              </w:rPr>
              <w:t>其中一项不符合（0）。</w:t>
            </w:r>
          </w:p>
        </w:tc>
        <w:tc>
          <w:tcPr>
            <w:tcW w:w="482" w:type="dxa"/>
            <w:tcBorders>
              <w:top w:val="single" w:color="000000" w:sz="4" w:space="0"/>
              <w:left w:val="single" w:color="auto" w:sz="4" w:space="0"/>
              <w:bottom w:val="single" w:color="auto" w:sz="4" w:space="0"/>
              <w:right w:val="single" w:color="000000" w:sz="4" w:space="0"/>
            </w:tcBorders>
            <w:vAlign w:val="center"/>
          </w:tcPr>
          <w:p w14:paraId="388D1574">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2799A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4"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70438B81">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5D368498">
            <w:pPr>
              <w:spacing w:line="240" w:lineRule="exact"/>
              <w:rPr>
                <w:rFonts w:ascii="宋体"/>
                <w:szCs w:val="21"/>
              </w:rPr>
            </w:pPr>
          </w:p>
        </w:tc>
        <w:tc>
          <w:tcPr>
            <w:tcW w:w="1056" w:type="dxa"/>
            <w:tcBorders>
              <w:top w:val="single" w:color="000000" w:sz="4" w:space="0"/>
              <w:left w:val="single" w:color="000000" w:sz="4" w:space="0"/>
              <w:bottom w:val="single" w:color="auto" w:sz="4" w:space="0"/>
              <w:right w:val="single" w:color="auto" w:sz="4" w:space="0"/>
            </w:tcBorders>
            <w:vAlign w:val="center"/>
          </w:tcPr>
          <w:p w14:paraId="6147FD07">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活动合理性</w:t>
            </w:r>
          </w:p>
          <w:p w14:paraId="6E138E4F">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auto" w:sz="4" w:space="0"/>
              <w:right w:val="single" w:color="auto" w:sz="4" w:space="0"/>
            </w:tcBorders>
            <w:vAlign w:val="center"/>
          </w:tcPr>
          <w:p w14:paraId="1FFA540C">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2CCA5856">
            <w:pPr>
              <w:widowControl/>
              <w:spacing w:line="240" w:lineRule="exact"/>
              <w:jc w:val="left"/>
              <w:rPr>
                <w:szCs w:val="21"/>
              </w:rPr>
            </w:pPr>
            <w:r>
              <w:rPr>
                <w:rFonts w:ascii="仿宋_GB2312" w:hAnsi="新宋体" w:eastAsia="仿宋_GB2312" w:cs="仿宋_GB2312"/>
                <w:kern w:val="0"/>
                <w:szCs w:val="21"/>
              </w:rPr>
              <w:t>评价要点：</w:t>
            </w:r>
          </w:p>
          <w:p w14:paraId="26E37F1C">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7B35A616">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462" w:type="dxa"/>
            <w:tcBorders>
              <w:top w:val="single" w:color="000000" w:sz="4" w:space="0"/>
              <w:left w:val="single" w:color="auto" w:sz="4" w:space="0"/>
              <w:bottom w:val="single" w:color="auto" w:sz="4" w:space="0"/>
              <w:right w:val="single" w:color="auto" w:sz="4" w:space="0"/>
            </w:tcBorders>
            <w:vAlign w:val="center"/>
          </w:tcPr>
          <w:p w14:paraId="75E18B3F">
            <w:pPr>
              <w:widowControl/>
              <w:spacing w:line="240" w:lineRule="exact"/>
              <w:jc w:val="left"/>
              <w:rPr>
                <w:szCs w:val="21"/>
              </w:rPr>
            </w:pPr>
            <w:r>
              <w:rPr>
                <w:rFonts w:ascii="仿宋_GB2312" w:hAnsi="新宋体" w:eastAsia="仿宋_GB2312" w:cs="仿宋_GB2312"/>
                <w:kern w:val="0"/>
                <w:szCs w:val="21"/>
              </w:rPr>
              <w:t>全部符合（2）；</w:t>
            </w:r>
          </w:p>
          <w:p w14:paraId="4B30D634">
            <w:pPr>
              <w:widowControl/>
              <w:spacing w:line="240" w:lineRule="exact"/>
              <w:jc w:val="left"/>
              <w:rPr>
                <w:szCs w:val="21"/>
              </w:rPr>
            </w:pPr>
            <w:r>
              <w:rPr>
                <w:rFonts w:ascii="仿宋_GB2312" w:hAnsi="新宋体" w:eastAsia="仿宋_GB2312" w:cs="仿宋_GB2312"/>
                <w:kern w:val="0"/>
                <w:szCs w:val="21"/>
              </w:rPr>
              <w:t>其中一项不符合（0）。</w:t>
            </w:r>
          </w:p>
        </w:tc>
        <w:tc>
          <w:tcPr>
            <w:tcW w:w="482" w:type="dxa"/>
            <w:tcBorders>
              <w:top w:val="single" w:color="000000" w:sz="4" w:space="0"/>
              <w:left w:val="single" w:color="auto" w:sz="4" w:space="0"/>
              <w:bottom w:val="single" w:color="auto" w:sz="4" w:space="0"/>
              <w:right w:val="single" w:color="000000" w:sz="4" w:space="0"/>
            </w:tcBorders>
            <w:vAlign w:val="center"/>
          </w:tcPr>
          <w:p w14:paraId="75CE6BFF">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16327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1"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4F0757B9">
            <w:pPr>
              <w:spacing w:line="240" w:lineRule="exact"/>
              <w:rPr>
                <w:rFonts w:ascii="宋体"/>
                <w:szCs w:val="21"/>
              </w:rPr>
            </w:pPr>
          </w:p>
        </w:tc>
        <w:tc>
          <w:tcPr>
            <w:tcW w:w="989" w:type="dxa"/>
            <w:vMerge w:val="restart"/>
            <w:tcBorders>
              <w:top w:val="single" w:color="000000" w:sz="4" w:space="0"/>
              <w:left w:val="single" w:color="000000" w:sz="4" w:space="0"/>
              <w:right w:val="single" w:color="000000" w:sz="4" w:space="0"/>
            </w:tcBorders>
            <w:vAlign w:val="center"/>
          </w:tcPr>
          <w:p w14:paraId="635A2216">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056" w:type="dxa"/>
            <w:tcBorders>
              <w:top w:val="single" w:color="auto" w:sz="4" w:space="0"/>
              <w:left w:val="single" w:color="000000" w:sz="4" w:space="0"/>
              <w:right w:val="single" w:color="auto" w:sz="4" w:space="0"/>
            </w:tcBorders>
            <w:vAlign w:val="center"/>
          </w:tcPr>
          <w:p w14:paraId="3AAEA42F">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569" w:type="dxa"/>
            <w:tcBorders>
              <w:top w:val="single" w:color="auto" w:sz="4" w:space="0"/>
              <w:left w:val="single" w:color="auto" w:sz="4" w:space="0"/>
              <w:right w:val="single" w:color="auto" w:sz="4" w:space="0"/>
            </w:tcBorders>
            <w:vAlign w:val="center"/>
          </w:tcPr>
          <w:p w14:paraId="2BD285A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6D83CC2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115F6AD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30E0D79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462" w:type="dxa"/>
            <w:tcBorders>
              <w:top w:val="single" w:color="auto" w:sz="4" w:space="0"/>
              <w:left w:val="single" w:color="auto" w:sz="4" w:space="0"/>
              <w:right w:val="single" w:color="auto" w:sz="4" w:space="0"/>
            </w:tcBorders>
            <w:vAlign w:val="center"/>
          </w:tcPr>
          <w:p w14:paraId="43D1B81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0ED0E02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4DB50D7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5E82A5B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482" w:type="dxa"/>
            <w:tcBorders>
              <w:top w:val="single" w:color="auto" w:sz="4" w:space="0"/>
              <w:left w:val="single" w:color="auto" w:sz="4" w:space="0"/>
              <w:bottom w:val="single" w:color="000000" w:sz="4" w:space="0"/>
              <w:right w:val="single" w:color="000000" w:sz="4" w:space="0"/>
            </w:tcBorders>
            <w:vAlign w:val="center"/>
          </w:tcPr>
          <w:p w14:paraId="457EF52F">
            <w:pPr>
              <w:widowControl/>
              <w:spacing w:line="240" w:lineRule="exact"/>
              <w:jc w:val="left"/>
              <w:rPr>
                <w:rFonts w:hint="eastAsia" w:eastAsiaTheme="minorEastAsia"/>
                <w:szCs w:val="21"/>
                <w:lang w:val="en-US" w:eastAsia="zh-CN"/>
              </w:rPr>
            </w:pPr>
            <w:r>
              <w:rPr>
                <w:rFonts w:hint="eastAsia"/>
                <w:szCs w:val="21"/>
                <w:lang w:val="en-US" w:eastAsia="zh-CN"/>
              </w:rPr>
              <w:t>1</w:t>
            </w:r>
          </w:p>
        </w:tc>
      </w:tr>
      <w:tr w14:paraId="2AF55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8" w:type="dxa"/>
            <w:vMerge w:val="restart"/>
            <w:tcBorders>
              <w:top w:val="single" w:color="000000" w:sz="4" w:space="0"/>
              <w:left w:val="single" w:color="000000" w:sz="4" w:space="0"/>
              <w:right w:val="single" w:color="000000" w:sz="4" w:space="0"/>
            </w:tcBorders>
            <w:vAlign w:val="center"/>
          </w:tcPr>
          <w:p w14:paraId="5E2C4E86">
            <w:pPr>
              <w:spacing w:line="240" w:lineRule="exact"/>
              <w:rPr>
                <w:rFonts w:ascii="宋体"/>
                <w:szCs w:val="21"/>
              </w:rPr>
            </w:pPr>
          </w:p>
        </w:tc>
        <w:tc>
          <w:tcPr>
            <w:tcW w:w="989" w:type="dxa"/>
            <w:vMerge w:val="continue"/>
            <w:tcBorders>
              <w:left w:val="single" w:color="000000" w:sz="4" w:space="0"/>
              <w:right w:val="single" w:color="000000" w:sz="4" w:space="0"/>
            </w:tcBorders>
            <w:vAlign w:val="center"/>
          </w:tcPr>
          <w:p w14:paraId="7690C59E">
            <w:pPr>
              <w:widowControl/>
              <w:spacing w:line="240" w:lineRule="exact"/>
              <w:jc w:val="left"/>
              <w:rPr>
                <w:rFonts w:ascii="仿宋_GB2312" w:hAnsi="新宋体" w:eastAsia="仿宋_GB2312" w:cs="仿宋_GB2312"/>
                <w:kern w:val="0"/>
                <w:szCs w:val="21"/>
              </w:rPr>
            </w:pPr>
          </w:p>
        </w:tc>
        <w:tc>
          <w:tcPr>
            <w:tcW w:w="1056" w:type="dxa"/>
            <w:tcBorders>
              <w:top w:val="single" w:color="auto" w:sz="4" w:space="0"/>
              <w:left w:val="single" w:color="000000" w:sz="4" w:space="0"/>
              <w:right w:val="single" w:color="auto" w:sz="4" w:space="0"/>
            </w:tcBorders>
            <w:vAlign w:val="center"/>
          </w:tcPr>
          <w:p w14:paraId="02E240C5">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569" w:type="dxa"/>
            <w:tcBorders>
              <w:top w:val="single" w:color="auto" w:sz="4" w:space="0"/>
              <w:left w:val="single" w:color="auto" w:sz="4" w:space="0"/>
              <w:right w:val="single" w:color="auto" w:sz="4" w:space="0"/>
            </w:tcBorders>
            <w:vAlign w:val="center"/>
          </w:tcPr>
          <w:p w14:paraId="6289F56C">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462" w:type="dxa"/>
            <w:tcBorders>
              <w:top w:val="single" w:color="auto" w:sz="4" w:space="0"/>
              <w:left w:val="single" w:color="auto" w:sz="4" w:space="0"/>
              <w:right w:val="single" w:color="auto" w:sz="4" w:space="0"/>
            </w:tcBorders>
            <w:vAlign w:val="center"/>
          </w:tcPr>
          <w:p w14:paraId="0876BF0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1407AF7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340A0D76">
            <w:pPr>
              <w:widowControl/>
              <w:pBdr>
                <w:top w:val="none" w:color="000000" w:sz="0" w:space="0"/>
                <w:left w:val="none" w:color="000000" w:sz="0" w:space="0"/>
                <w:bottom w:val="none" w:color="000000" w:sz="0" w:space="0"/>
                <w:right w:val="none" w:color="000000" w:sz="0" w:space="0"/>
              </w:pBdr>
              <w:spacing w:line="240" w:lineRule="exact"/>
              <w:jc w:val="left"/>
              <w:rPr>
                <w:rFonts w:hint="eastAsia" w:eastAsia="仿宋_GB2312"/>
                <w:szCs w:val="21"/>
                <w:lang w:val="en-US" w:eastAsia="zh-CN"/>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1C66BB43">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482" w:type="dxa"/>
            <w:tcBorders>
              <w:top w:val="single" w:color="auto" w:sz="4" w:space="0"/>
              <w:left w:val="single" w:color="auto" w:sz="4" w:space="0"/>
              <w:bottom w:val="single" w:color="000000" w:sz="4" w:space="0"/>
              <w:right w:val="single" w:color="000000" w:sz="4" w:space="0"/>
            </w:tcBorders>
            <w:vAlign w:val="center"/>
          </w:tcPr>
          <w:p w14:paraId="3237F86E">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60F0D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8" w:type="dxa"/>
            <w:vMerge w:val="continue"/>
            <w:tcBorders>
              <w:left w:val="single" w:color="000000" w:sz="4" w:space="0"/>
              <w:bottom w:val="single" w:color="000000" w:sz="4" w:space="0"/>
              <w:right w:val="single" w:color="000000" w:sz="4" w:space="0"/>
            </w:tcBorders>
            <w:vAlign w:val="center"/>
          </w:tcPr>
          <w:p w14:paraId="75645502">
            <w:pPr>
              <w:spacing w:line="240" w:lineRule="exact"/>
              <w:rPr>
                <w:rFonts w:ascii="宋体"/>
                <w:szCs w:val="21"/>
              </w:rPr>
            </w:pPr>
          </w:p>
        </w:tc>
        <w:tc>
          <w:tcPr>
            <w:tcW w:w="989" w:type="dxa"/>
            <w:vMerge w:val="continue"/>
            <w:tcBorders>
              <w:left w:val="single" w:color="000000" w:sz="4" w:space="0"/>
              <w:bottom w:val="single" w:color="000000" w:sz="4" w:space="0"/>
              <w:right w:val="single" w:color="000000" w:sz="4" w:space="0"/>
            </w:tcBorders>
            <w:vAlign w:val="center"/>
          </w:tcPr>
          <w:p w14:paraId="26351E4B">
            <w:pPr>
              <w:widowControl/>
              <w:spacing w:line="240" w:lineRule="exact"/>
              <w:jc w:val="left"/>
              <w:rPr>
                <w:rFonts w:ascii="仿宋_GB2312" w:hAnsi="新宋体" w:eastAsia="仿宋_GB2312" w:cs="仿宋_GB2312"/>
                <w:kern w:val="0"/>
                <w:szCs w:val="21"/>
              </w:rPr>
            </w:pPr>
          </w:p>
        </w:tc>
        <w:tc>
          <w:tcPr>
            <w:tcW w:w="1056" w:type="dxa"/>
            <w:tcBorders>
              <w:top w:val="single" w:color="auto" w:sz="4" w:space="0"/>
              <w:left w:val="single" w:color="000000" w:sz="4" w:space="0"/>
              <w:right w:val="single" w:color="auto" w:sz="4" w:space="0"/>
            </w:tcBorders>
            <w:vAlign w:val="center"/>
          </w:tcPr>
          <w:p w14:paraId="5BBBDF51">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569" w:type="dxa"/>
            <w:tcBorders>
              <w:top w:val="single" w:color="auto" w:sz="4" w:space="0"/>
              <w:left w:val="single" w:color="auto" w:sz="4" w:space="0"/>
              <w:right w:val="single" w:color="auto" w:sz="4" w:space="0"/>
            </w:tcBorders>
            <w:vAlign w:val="center"/>
          </w:tcPr>
          <w:p w14:paraId="07A63397">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462" w:type="dxa"/>
            <w:tcBorders>
              <w:top w:val="single" w:color="auto" w:sz="4" w:space="0"/>
              <w:left w:val="single" w:color="auto" w:sz="4" w:space="0"/>
              <w:right w:val="single" w:color="auto" w:sz="4" w:space="0"/>
            </w:tcBorders>
            <w:vAlign w:val="center"/>
          </w:tcPr>
          <w:p w14:paraId="300875F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5665496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1DB2A9B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1FA44C34">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482" w:type="dxa"/>
            <w:tcBorders>
              <w:top w:val="single" w:color="auto" w:sz="4" w:space="0"/>
              <w:left w:val="single" w:color="auto" w:sz="4" w:space="0"/>
              <w:bottom w:val="single" w:color="000000" w:sz="4" w:space="0"/>
              <w:right w:val="single" w:color="000000" w:sz="4" w:space="0"/>
            </w:tcBorders>
            <w:vAlign w:val="center"/>
          </w:tcPr>
          <w:p w14:paraId="78A2D7A8">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249A3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vAlign w:val="center"/>
          </w:tcPr>
          <w:p w14:paraId="7457E1C4">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14:paraId="25F37483">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056" w:type="dxa"/>
            <w:tcBorders>
              <w:top w:val="single" w:color="000000" w:sz="4" w:space="0"/>
              <w:left w:val="single" w:color="000000" w:sz="4" w:space="0"/>
              <w:bottom w:val="single" w:color="000000" w:sz="4" w:space="0"/>
              <w:right w:val="single" w:color="auto" w:sz="4" w:space="0"/>
            </w:tcBorders>
            <w:vAlign w:val="center"/>
          </w:tcPr>
          <w:p w14:paraId="7AF844EC">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预算完成率</w:t>
            </w:r>
          </w:p>
          <w:p w14:paraId="561B46BF">
            <w:pPr>
              <w:widowControl/>
              <w:spacing w:line="240" w:lineRule="exact"/>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772C825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5737DD7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462" w:type="dxa"/>
            <w:tcBorders>
              <w:top w:val="single" w:color="000000" w:sz="4" w:space="0"/>
              <w:left w:val="single" w:color="auto" w:sz="4" w:space="0"/>
              <w:bottom w:val="single" w:color="000000" w:sz="4" w:space="0"/>
              <w:right w:val="single" w:color="auto" w:sz="4" w:space="0"/>
            </w:tcBorders>
            <w:vAlign w:val="center"/>
          </w:tcPr>
          <w:p w14:paraId="328BF55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470FD5D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4DBEC29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6421B18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482" w:type="dxa"/>
            <w:tcBorders>
              <w:top w:val="single" w:color="000000" w:sz="4" w:space="0"/>
              <w:left w:val="single" w:color="auto" w:sz="4" w:space="0"/>
              <w:bottom w:val="single" w:color="000000" w:sz="4" w:space="0"/>
              <w:right w:val="single" w:color="000000" w:sz="4" w:space="0"/>
            </w:tcBorders>
            <w:vAlign w:val="center"/>
          </w:tcPr>
          <w:p w14:paraId="5C965F01">
            <w:pPr>
              <w:widowControl/>
              <w:spacing w:line="240" w:lineRule="exact"/>
              <w:jc w:val="left"/>
              <w:rPr>
                <w:rFonts w:hint="default" w:eastAsiaTheme="minorEastAsia"/>
                <w:szCs w:val="21"/>
                <w:lang w:val="en-US" w:eastAsia="zh-CN"/>
              </w:rPr>
            </w:pPr>
            <w:r>
              <w:rPr>
                <w:rFonts w:hint="eastAsia"/>
                <w:szCs w:val="21"/>
                <w:lang w:val="en-US" w:eastAsia="zh-CN"/>
              </w:rPr>
              <w:t>3</w:t>
            </w:r>
          </w:p>
        </w:tc>
      </w:tr>
      <w:tr w14:paraId="38B74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52966E14">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0B10AF68">
            <w:pPr>
              <w:spacing w:line="240" w:lineRule="exact"/>
              <w:rPr>
                <w:rFonts w:ascii="宋体"/>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3F9BF984">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预算调整率</w:t>
            </w:r>
          </w:p>
          <w:p w14:paraId="2B0DB535">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4CA27C56">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170B341F">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462" w:type="dxa"/>
            <w:tcBorders>
              <w:top w:val="single" w:color="000000" w:sz="4" w:space="0"/>
              <w:left w:val="single" w:color="auto" w:sz="4" w:space="0"/>
              <w:bottom w:val="single" w:color="000000" w:sz="4" w:space="0"/>
              <w:right w:val="single" w:color="auto" w:sz="4" w:space="0"/>
            </w:tcBorders>
            <w:vAlign w:val="center"/>
          </w:tcPr>
          <w:p w14:paraId="27134422">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3216B8BF">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1094D6C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70025DB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482" w:type="dxa"/>
            <w:tcBorders>
              <w:top w:val="single" w:color="000000" w:sz="4" w:space="0"/>
              <w:left w:val="single" w:color="auto" w:sz="4" w:space="0"/>
              <w:bottom w:val="single" w:color="000000" w:sz="4" w:space="0"/>
              <w:right w:val="single" w:color="000000" w:sz="4" w:space="0"/>
            </w:tcBorders>
            <w:vAlign w:val="center"/>
          </w:tcPr>
          <w:p w14:paraId="31CC6A4F">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3BC94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1E48ED16">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212AC95E">
            <w:pPr>
              <w:spacing w:line="240" w:lineRule="exact"/>
              <w:rPr>
                <w:rFonts w:ascii="宋体"/>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59E2688E">
            <w:pPr>
              <w:widowControl/>
              <w:spacing w:line="240" w:lineRule="exact"/>
              <w:jc w:val="left"/>
              <w:rPr>
                <w:rFonts w:ascii="仿宋_GB2312" w:hAnsi="新宋体" w:eastAsia="仿宋_GB2312" w:cs="仿宋_GB2312"/>
                <w:color w:val="000000"/>
                <w:kern w:val="0"/>
                <w:szCs w:val="21"/>
              </w:rPr>
            </w:pPr>
            <w:r>
              <w:rPr>
                <w:rFonts w:ascii="仿宋_GB2312" w:hAnsi="新宋体" w:eastAsia="仿宋_GB2312" w:cs="仿宋_GB2312"/>
                <w:color w:val="000000"/>
                <w:kern w:val="0"/>
                <w:szCs w:val="21"/>
              </w:rPr>
              <w:t>支付进度率</w:t>
            </w:r>
          </w:p>
          <w:p w14:paraId="0D820F8D">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72A932A8">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1DB0058B">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462" w:type="dxa"/>
            <w:tcBorders>
              <w:top w:val="single" w:color="000000" w:sz="4" w:space="0"/>
              <w:left w:val="single" w:color="auto" w:sz="4" w:space="0"/>
              <w:bottom w:val="single" w:color="000000" w:sz="4" w:space="0"/>
              <w:right w:val="single" w:color="auto" w:sz="4" w:space="0"/>
            </w:tcBorders>
            <w:vAlign w:val="center"/>
          </w:tcPr>
          <w:p w14:paraId="318EADE0">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57E1F0D8">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482" w:type="dxa"/>
            <w:tcBorders>
              <w:top w:val="single" w:color="000000" w:sz="4" w:space="0"/>
              <w:left w:val="single" w:color="auto" w:sz="4" w:space="0"/>
              <w:bottom w:val="single" w:color="000000" w:sz="4" w:space="0"/>
              <w:right w:val="single" w:color="000000" w:sz="4" w:space="0"/>
            </w:tcBorders>
            <w:vAlign w:val="center"/>
          </w:tcPr>
          <w:p w14:paraId="1430A16C">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5826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0F7B27AB">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2FDD1179">
            <w:pPr>
              <w:spacing w:line="240" w:lineRule="exact"/>
              <w:rPr>
                <w:rFonts w:ascii="宋体"/>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1B2578E4">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结转</w:t>
            </w:r>
          </w:p>
          <w:p w14:paraId="1D9FF0B5">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结余率</w:t>
            </w:r>
          </w:p>
          <w:p w14:paraId="7E70E483">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259AEBA6">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7490FB6F">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462" w:type="dxa"/>
            <w:tcBorders>
              <w:top w:val="single" w:color="000000" w:sz="4" w:space="0"/>
              <w:left w:val="single" w:color="auto" w:sz="4" w:space="0"/>
              <w:bottom w:val="single" w:color="000000" w:sz="4" w:space="0"/>
              <w:right w:val="single" w:color="auto" w:sz="4" w:space="0"/>
            </w:tcBorders>
            <w:vAlign w:val="center"/>
          </w:tcPr>
          <w:p w14:paraId="1F5546F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24B703B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08E39E4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4A525F3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482" w:type="dxa"/>
            <w:tcBorders>
              <w:top w:val="single" w:color="000000" w:sz="4" w:space="0"/>
              <w:left w:val="single" w:color="auto" w:sz="4" w:space="0"/>
              <w:bottom w:val="single" w:color="000000" w:sz="4" w:space="0"/>
              <w:right w:val="single" w:color="000000" w:sz="4" w:space="0"/>
            </w:tcBorders>
            <w:vAlign w:val="center"/>
          </w:tcPr>
          <w:p w14:paraId="13901546">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028B7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196BB1B2">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282C944B">
            <w:pPr>
              <w:spacing w:line="240" w:lineRule="exact"/>
              <w:rPr>
                <w:rFonts w:ascii="宋体"/>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442CFEB2">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公用经费</w:t>
            </w:r>
          </w:p>
          <w:p w14:paraId="1BB7C915">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控制率</w:t>
            </w:r>
          </w:p>
          <w:p w14:paraId="2AC53849">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2129BCE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4C778E1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462" w:type="dxa"/>
            <w:tcBorders>
              <w:top w:val="single" w:color="000000" w:sz="4" w:space="0"/>
              <w:left w:val="single" w:color="auto" w:sz="4" w:space="0"/>
              <w:bottom w:val="single" w:color="000000" w:sz="4" w:space="0"/>
              <w:right w:val="single" w:color="auto" w:sz="4" w:space="0"/>
            </w:tcBorders>
            <w:vAlign w:val="center"/>
          </w:tcPr>
          <w:p w14:paraId="26CD241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6816026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16AAD3C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4C702AD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482" w:type="dxa"/>
            <w:tcBorders>
              <w:top w:val="single" w:color="000000" w:sz="4" w:space="0"/>
              <w:left w:val="single" w:color="auto" w:sz="4" w:space="0"/>
              <w:bottom w:val="single" w:color="000000" w:sz="4" w:space="0"/>
              <w:right w:val="single" w:color="000000" w:sz="4" w:space="0"/>
            </w:tcBorders>
            <w:vAlign w:val="center"/>
          </w:tcPr>
          <w:p w14:paraId="06BB06A2">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756E8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086F1FEF">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33271D07">
            <w:pPr>
              <w:spacing w:line="240" w:lineRule="exact"/>
              <w:rPr>
                <w:rFonts w:ascii="宋体"/>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0434EFEC">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政府采购</w:t>
            </w:r>
          </w:p>
          <w:p w14:paraId="0F1640D4">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执行率</w:t>
            </w:r>
          </w:p>
          <w:p w14:paraId="1C4B911C">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2C50438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27ED4A4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634C684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462" w:type="dxa"/>
            <w:tcBorders>
              <w:top w:val="single" w:color="000000" w:sz="4" w:space="0"/>
              <w:left w:val="single" w:color="auto" w:sz="4" w:space="0"/>
              <w:bottom w:val="single" w:color="000000" w:sz="4" w:space="0"/>
              <w:right w:val="single" w:color="auto" w:sz="4" w:space="0"/>
            </w:tcBorders>
            <w:vAlign w:val="center"/>
          </w:tcPr>
          <w:p w14:paraId="3E6CBC4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069F67A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24466FE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6F217F4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482" w:type="dxa"/>
            <w:tcBorders>
              <w:top w:val="single" w:color="000000" w:sz="4" w:space="0"/>
              <w:left w:val="single" w:color="auto" w:sz="4" w:space="0"/>
              <w:bottom w:val="single" w:color="000000" w:sz="4" w:space="0"/>
              <w:right w:val="single" w:color="000000" w:sz="4" w:space="0"/>
            </w:tcBorders>
            <w:vAlign w:val="center"/>
          </w:tcPr>
          <w:p w14:paraId="110B4DE3">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74065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44888F98">
            <w:pPr>
              <w:spacing w:line="240" w:lineRule="exact"/>
              <w:rPr>
                <w:rFonts w:ascii="宋体"/>
                <w:szCs w:val="21"/>
              </w:rPr>
            </w:pP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14:paraId="4F05CD36">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36C0AE6B">
            <w:pPr>
              <w:widowControl/>
              <w:spacing w:line="240" w:lineRule="exact"/>
              <w:jc w:val="left"/>
              <w:rPr>
                <w:szCs w:val="21"/>
              </w:rPr>
            </w:pPr>
            <w:r>
              <w:rPr>
                <w:rFonts w:ascii="仿宋_GB2312" w:hAnsi="新宋体" w:eastAsia="仿宋_GB2312" w:cs="仿宋_GB2312"/>
                <w:kern w:val="0"/>
                <w:szCs w:val="21"/>
              </w:rPr>
              <w:t>（15）</w:t>
            </w:r>
          </w:p>
        </w:tc>
        <w:tc>
          <w:tcPr>
            <w:tcW w:w="1056" w:type="dxa"/>
            <w:tcBorders>
              <w:top w:val="single" w:color="000000" w:sz="4" w:space="0"/>
              <w:left w:val="single" w:color="000000" w:sz="4" w:space="0"/>
              <w:bottom w:val="single" w:color="000000" w:sz="4" w:space="0"/>
              <w:right w:val="single" w:color="auto" w:sz="4" w:space="0"/>
            </w:tcBorders>
            <w:vAlign w:val="center"/>
          </w:tcPr>
          <w:p w14:paraId="1B7D68D2">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资金使用</w:t>
            </w:r>
          </w:p>
          <w:p w14:paraId="6A8F5358">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合规性</w:t>
            </w:r>
          </w:p>
          <w:p w14:paraId="3D099812">
            <w:pPr>
              <w:widowControl/>
              <w:spacing w:line="240" w:lineRule="exact"/>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6A887AF4">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42674358">
            <w:pPr>
              <w:widowControl/>
              <w:spacing w:line="240" w:lineRule="exact"/>
              <w:jc w:val="left"/>
              <w:rPr>
                <w:szCs w:val="21"/>
              </w:rPr>
            </w:pPr>
            <w:r>
              <w:rPr>
                <w:rFonts w:ascii="仿宋_GB2312" w:hAnsi="新宋体" w:eastAsia="仿宋_GB2312" w:cs="仿宋_GB2312"/>
                <w:kern w:val="0"/>
                <w:szCs w:val="21"/>
              </w:rPr>
              <w:t>评价要点：</w:t>
            </w:r>
          </w:p>
          <w:p w14:paraId="0378816D">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2395B491">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33F17723">
            <w:pPr>
              <w:widowControl/>
              <w:spacing w:line="240" w:lineRule="exact"/>
              <w:jc w:val="left"/>
              <w:rPr>
                <w:szCs w:val="21"/>
              </w:rPr>
            </w:pPr>
            <w:r>
              <w:rPr>
                <w:rFonts w:ascii="仿宋_GB2312" w:hAnsi="新宋体" w:eastAsia="仿宋_GB2312" w:cs="仿宋_GB2312"/>
                <w:kern w:val="0"/>
                <w:szCs w:val="21"/>
              </w:rPr>
              <w:t>3.项目的重大开支经过评估论证；</w:t>
            </w:r>
          </w:p>
          <w:p w14:paraId="2AA192EE">
            <w:pPr>
              <w:widowControl/>
              <w:spacing w:line="240" w:lineRule="exact"/>
              <w:jc w:val="left"/>
              <w:rPr>
                <w:szCs w:val="21"/>
              </w:rPr>
            </w:pPr>
            <w:r>
              <w:rPr>
                <w:rFonts w:ascii="仿宋_GB2312" w:hAnsi="新宋体" w:eastAsia="仿宋_GB2312" w:cs="仿宋_GB2312"/>
                <w:kern w:val="0"/>
                <w:szCs w:val="21"/>
              </w:rPr>
              <w:t>4.符合部门预算批复的用途；</w:t>
            </w:r>
          </w:p>
          <w:p w14:paraId="23ACF4E7">
            <w:pPr>
              <w:widowControl/>
              <w:spacing w:line="240" w:lineRule="exact"/>
              <w:jc w:val="left"/>
              <w:rPr>
                <w:szCs w:val="21"/>
              </w:rPr>
            </w:pPr>
            <w:r>
              <w:rPr>
                <w:rFonts w:ascii="仿宋_GB2312" w:hAnsi="新宋体" w:eastAsia="仿宋_GB2312" w:cs="仿宋_GB2312"/>
                <w:kern w:val="0"/>
                <w:szCs w:val="21"/>
              </w:rPr>
              <w:t>5.不存在截留情况；</w:t>
            </w:r>
          </w:p>
          <w:p w14:paraId="50241024">
            <w:pPr>
              <w:widowControl/>
              <w:spacing w:line="240" w:lineRule="exact"/>
              <w:jc w:val="left"/>
              <w:rPr>
                <w:szCs w:val="21"/>
              </w:rPr>
            </w:pPr>
            <w:r>
              <w:rPr>
                <w:rFonts w:ascii="仿宋_GB2312" w:hAnsi="新宋体" w:eastAsia="仿宋_GB2312" w:cs="仿宋_GB2312"/>
                <w:kern w:val="0"/>
                <w:szCs w:val="21"/>
              </w:rPr>
              <w:t>6.不存在挤占情况；</w:t>
            </w:r>
          </w:p>
          <w:p w14:paraId="6BFBF507">
            <w:pPr>
              <w:widowControl/>
              <w:spacing w:line="240" w:lineRule="exact"/>
              <w:jc w:val="left"/>
              <w:rPr>
                <w:szCs w:val="21"/>
              </w:rPr>
            </w:pPr>
            <w:r>
              <w:rPr>
                <w:rFonts w:ascii="仿宋_GB2312" w:hAnsi="新宋体" w:eastAsia="仿宋_GB2312" w:cs="仿宋_GB2312"/>
                <w:kern w:val="0"/>
                <w:szCs w:val="21"/>
              </w:rPr>
              <w:t>7.不存在挪用情况；</w:t>
            </w:r>
          </w:p>
          <w:p w14:paraId="58A55CA4">
            <w:pPr>
              <w:widowControl/>
              <w:spacing w:line="240" w:lineRule="exact"/>
              <w:jc w:val="left"/>
              <w:rPr>
                <w:szCs w:val="21"/>
              </w:rPr>
            </w:pPr>
            <w:r>
              <w:rPr>
                <w:rFonts w:ascii="仿宋_GB2312" w:hAnsi="新宋体" w:eastAsia="仿宋_GB2312" w:cs="仿宋_GB2312"/>
                <w:kern w:val="0"/>
                <w:szCs w:val="21"/>
              </w:rPr>
              <w:t>8.不存在虚列支出情况。</w:t>
            </w:r>
          </w:p>
        </w:tc>
        <w:tc>
          <w:tcPr>
            <w:tcW w:w="2462" w:type="dxa"/>
            <w:tcBorders>
              <w:top w:val="single" w:color="000000" w:sz="4" w:space="0"/>
              <w:left w:val="single" w:color="auto" w:sz="4" w:space="0"/>
              <w:bottom w:val="single" w:color="000000" w:sz="4" w:space="0"/>
              <w:right w:val="single" w:color="auto" w:sz="4" w:space="0"/>
            </w:tcBorders>
            <w:vAlign w:val="center"/>
          </w:tcPr>
          <w:p w14:paraId="6C144C3F">
            <w:pPr>
              <w:widowControl/>
              <w:spacing w:line="240" w:lineRule="exact"/>
              <w:jc w:val="left"/>
              <w:rPr>
                <w:szCs w:val="21"/>
              </w:rPr>
            </w:pPr>
            <w:r>
              <w:rPr>
                <w:rFonts w:ascii="仿宋_GB2312" w:hAnsi="新宋体" w:eastAsia="仿宋_GB2312" w:cs="仿宋_GB2312"/>
                <w:kern w:val="0"/>
                <w:szCs w:val="21"/>
              </w:rPr>
              <w:t>全部符合（8）；</w:t>
            </w:r>
          </w:p>
          <w:p w14:paraId="7D160D50">
            <w:pPr>
              <w:widowControl/>
              <w:spacing w:line="240" w:lineRule="exact"/>
              <w:jc w:val="left"/>
              <w:rPr>
                <w:szCs w:val="21"/>
              </w:rPr>
            </w:pPr>
            <w:r>
              <w:rPr>
                <w:rFonts w:ascii="仿宋_GB2312" w:hAnsi="新宋体" w:eastAsia="仿宋_GB2312" w:cs="仿宋_GB2312"/>
                <w:kern w:val="0"/>
                <w:szCs w:val="21"/>
              </w:rPr>
              <w:t>符合其中七项（6）；</w:t>
            </w:r>
          </w:p>
          <w:p w14:paraId="45CBFB0E">
            <w:pPr>
              <w:widowControl/>
              <w:spacing w:line="240" w:lineRule="exact"/>
              <w:jc w:val="left"/>
              <w:rPr>
                <w:szCs w:val="21"/>
              </w:rPr>
            </w:pPr>
            <w:r>
              <w:rPr>
                <w:rFonts w:ascii="仿宋_GB2312" w:hAnsi="新宋体" w:eastAsia="仿宋_GB2312" w:cs="仿宋_GB2312"/>
                <w:kern w:val="0"/>
                <w:szCs w:val="21"/>
              </w:rPr>
              <w:t>符合其中六项（4）；</w:t>
            </w:r>
          </w:p>
          <w:p w14:paraId="62D21A88">
            <w:pPr>
              <w:widowControl/>
              <w:spacing w:line="240" w:lineRule="exact"/>
              <w:jc w:val="left"/>
              <w:rPr>
                <w:szCs w:val="21"/>
              </w:rPr>
            </w:pPr>
            <w:r>
              <w:rPr>
                <w:rFonts w:ascii="仿宋_GB2312" w:hAnsi="新宋体" w:eastAsia="仿宋_GB2312" w:cs="仿宋_GB2312"/>
                <w:kern w:val="0"/>
                <w:szCs w:val="21"/>
              </w:rPr>
              <w:t>符合其中五项（2）；</w:t>
            </w:r>
          </w:p>
          <w:p w14:paraId="32C55183">
            <w:pPr>
              <w:widowControl/>
              <w:spacing w:line="240" w:lineRule="exact"/>
              <w:jc w:val="left"/>
              <w:rPr>
                <w:szCs w:val="21"/>
              </w:rPr>
            </w:pPr>
            <w:r>
              <w:rPr>
                <w:rFonts w:ascii="仿宋_GB2312" w:hAnsi="新宋体" w:eastAsia="仿宋_GB2312" w:cs="仿宋_GB2312"/>
                <w:kern w:val="0"/>
                <w:szCs w:val="21"/>
              </w:rPr>
              <w:t>符合其中四项及以下（0）。</w:t>
            </w:r>
          </w:p>
        </w:tc>
        <w:tc>
          <w:tcPr>
            <w:tcW w:w="482" w:type="dxa"/>
            <w:tcBorders>
              <w:top w:val="single" w:color="000000" w:sz="4" w:space="0"/>
              <w:left w:val="single" w:color="auto" w:sz="4" w:space="0"/>
              <w:bottom w:val="single" w:color="000000" w:sz="4" w:space="0"/>
              <w:right w:val="single" w:color="000000" w:sz="4" w:space="0"/>
            </w:tcBorders>
            <w:vAlign w:val="center"/>
          </w:tcPr>
          <w:p w14:paraId="026C6D6B">
            <w:pPr>
              <w:widowControl/>
              <w:spacing w:line="240" w:lineRule="exact"/>
              <w:jc w:val="left"/>
              <w:rPr>
                <w:rFonts w:hint="eastAsia" w:eastAsiaTheme="minorEastAsia"/>
                <w:szCs w:val="21"/>
                <w:lang w:val="en-US" w:eastAsia="zh-CN"/>
              </w:rPr>
            </w:pPr>
            <w:r>
              <w:rPr>
                <w:rFonts w:hint="eastAsia"/>
                <w:szCs w:val="21"/>
                <w:lang w:val="en-US" w:eastAsia="zh-CN"/>
              </w:rPr>
              <w:t>8</w:t>
            </w:r>
          </w:p>
        </w:tc>
      </w:tr>
      <w:tr w14:paraId="783CF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1550A517">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2BE8FAFF">
            <w:pPr>
              <w:spacing w:line="240" w:lineRule="exact"/>
              <w:rPr>
                <w:rFonts w:ascii="宋体"/>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65E56376">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预决算信息</w:t>
            </w:r>
          </w:p>
          <w:p w14:paraId="78A37CCF">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公开性</w:t>
            </w:r>
          </w:p>
          <w:p w14:paraId="3CAA2D5E">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47A4B950">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018DF9F5">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135C50F2">
            <w:pPr>
              <w:widowControl/>
              <w:spacing w:line="240" w:lineRule="exact"/>
              <w:jc w:val="left"/>
              <w:rPr>
                <w:szCs w:val="21"/>
              </w:rPr>
            </w:pPr>
            <w:r>
              <w:rPr>
                <w:rFonts w:ascii="仿宋_GB2312" w:hAnsi="新宋体" w:eastAsia="仿宋_GB2312" w:cs="仿宋_GB2312"/>
                <w:kern w:val="0"/>
                <w:szCs w:val="21"/>
              </w:rPr>
              <w:t>评价要点：</w:t>
            </w:r>
          </w:p>
          <w:p w14:paraId="2C31D29F">
            <w:pPr>
              <w:widowControl/>
              <w:spacing w:line="240" w:lineRule="exact"/>
              <w:jc w:val="left"/>
              <w:rPr>
                <w:szCs w:val="21"/>
              </w:rPr>
            </w:pPr>
            <w:r>
              <w:rPr>
                <w:rFonts w:ascii="仿宋_GB2312" w:hAnsi="新宋体" w:eastAsia="仿宋_GB2312" w:cs="仿宋_GB2312"/>
                <w:kern w:val="0"/>
                <w:szCs w:val="21"/>
              </w:rPr>
              <w:t>1.公开预决算信息；</w:t>
            </w:r>
          </w:p>
          <w:p w14:paraId="107E4AB5">
            <w:pPr>
              <w:widowControl/>
              <w:spacing w:line="240" w:lineRule="exact"/>
              <w:jc w:val="left"/>
              <w:rPr>
                <w:szCs w:val="21"/>
              </w:rPr>
            </w:pPr>
            <w:r>
              <w:rPr>
                <w:rFonts w:ascii="仿宋_GB2312" w:hAnsi="新宋体" w:eastAsia="仿宋_GB2312" w:cs="仿宋_GB2312"/>
                <w:kern w:val="0"/>
                <w:szCs w:val="21"/>
              </w:rPr>
              <w:t>2.按规定内容公开预决算信息；</w:t>
            </w:r>
          </w:p>
          <w:p w14:paraId="3A23AA34">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462" w:type="dxa"/>
            <w:tcBorders>
              <w:top w:val="single" w:color="000000" w:sz="4" w:space="0"/>
              <w:left w:val="single" w:color="auto" w:sz="4" w:space="0"/>
              <w:bottom w:val="single" w:color="000000" w:sz="4" w:space="0"/>
              <w:right w:val="single" w:color="auto" w:sz="4" w:space="0"/>
            </w:tcBorders>
            <w:vAlign w:val="center"/>
          </w:tcPr>
          <w:p w14:paraId="600EBEE2">
            <w:pPr>
              <w:widowControl/>
              <w:spacing w:line="240" w:lineRule="exact"/>
              <w:jc w:val="left"/>
              <w:rPr>
                <w:szCs w:val="21"/>
              </w:rPr>
            </w:pPr>
            <w:r>
              <w:rPr>
                <w:rFonts w:ascii="仿宋_GB2312" w:hAnsi="新宋体" w:eastAsia="仿宋_GB2312" w:cs="仿宋_GB2312"/>
                <w:kern w:val="0"/>
                <w:szCs w:val="21"/>
              </w:rPr>
              <w:t>全部符合（3）；</w:t>
            </w:r>
          </w:p>
          <w:p w14:paraId="3931D0C7">
            <w:pPr>
              <w:widowControl/>
              <w:spacing w:line="240" w:lineRule="exact"/>
              <w:jc w:val="left"/>
              <w:rPr>
                <w:szCs w:val="21"/>
              </w:rPr>
            </w:pPr>
            <w:r>
              <w:rPr>
                <w:rFonts w:ascii="仿宋_GB2312" w:hAnsi="新宋体" w:eastAsia="仿宋_GB2312" w:cs="仿宋_GB2312"/>
                <w:kern w:val="0"/>
                <w:szCs w:val="21"/>
              </w:rPr>
              <w:t>符合其中两项（2）</w:t>
            </w:r>
          </w:p>
          <w:p w14:paraId="7085F452">
            <w:pPr>
              <w:widowControl/>
              <w:spacing w:line="240" w:lineRule="exact"/>
              <w:jc w:val="left"/>
              <w:rPr>
                <w:szCs w:val="21"/>
              </w:rPr>
            </w:pPr>
            <w:r>
              <w:rPr>
                <w:rFonts w:ascii="仿宋_GB2312" w:hAnsi="新宋体" w:eastAsia="仿宋_GB2312" w:cs="仿宋_GB2312"/>
                <w:kern w:val="0"/>
                <w:szCs w:val="21"/>
              </w:rPr>
              <w:t>符合其中一项及以下（0）。</w:t>
            </w:r>
          </w:p>
        </w:tc>
        <w:tc>
          <w:tcPr>
            <w:tcW w:w="482" w:type="dxa"/>
            <w:tcBorders>
              <w:top w:val="single" w:color="000000" w:sz="4" w:space="0"/>
              <w:left w:val="single" w:color="auto" w:sz="4" w:space="0"/>
              <w:bottom w:val="single" w:color="000000" w:sz="4" w:space="0"/>
              <w:right w:val="single" w:color="000000" w:sz="4" w:space="0"/>
            </w:tcBorders>
            <w:vAlign w:val="center"/>
          </w:tcPr>
          <w:p w14:paraId="4C20DB45">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1C7AB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1455C3E0">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276B090E">
            <w:pPr>
              <w:spacing w:line="240" w:lineRule="exact"/>
              <w:rPr>
                <w:rFonts w:ascii="宋体"/>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2B9FA69A">
            <w:pPr>
              <w:widowControl/>
              <w:spacing w:line="240" w:lineRule="exact"/>
              <w:jc w:val="left"/>
              <w:rPr>
                <w:rFonts w:ascii="仿宋_GB2312" w:hAnsi="新宋体" w:eastAsia="仿宋_GB2312" w:cs="仿宋_GB2312"/>
                <w:color w:val="000000"/>
                <w:kern w:val="0"/>
                <w:szCs w:val="21"/>
              </w:rPr>
            </w:pPr>
            <w:r>
              <w:rPr>
                <w:rFonts w:ascii="仿宋_GB2312" w:hAnsi="新宋体" w:eastAsia="仿宋_GB2312" w:cs="仿宋_GB2312"/>
                <w:color w:val="000000"/>
                <w:kern w:val="0"/>
                <w:szCs w:val="21"/>
              </w:rPr>
              <w:t>基础信息</w:t>
            </w:r>
          </w:p>
          <w:p w14:paraId="754499DE">
            <w:pPr>
              <w:widowControl/>
              <w:spacing w:line="240" w:lineRule="exact"/>
              <w:jc w:val="left"/>
              <w:rPr>
                <w:rFonts w:ascii="仿宋_GB2312" w:hAnsi="新宋体" w:eastAsia="仿宋_GB2312" w:cs="仿宋_GB2312"/>
                <w:color w:val="000000"/>
                <w:kern w:val="0"/>
                <w:szCs w:val="21"/>
              </w:rPr>
            </w:pPr>
            <w:r>
              <w:rPr>
                <w:rFonts w:ascii="仿宋_GB2312" w:hAnsi="新宋体" w:eastAsia="仿宋_GB2312" w:cs="仿宋_GB2312"/>
                <w:color w:val="000000"/>
                <w:kern w:val="0"/>
                <w:szCs w:val="21"/>
              </w:rPr>
              <w:t>完善性</w:t>
            </w:r>
          </w:p>
          <w:p w14:paraId="470E20A1">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76F9699B">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04F80389">
            <w:pPr>
              <w:widowControl/>
              <w:spacing w:line="240" w:lineRule="exact"/>
              <w:jc w:val="left"/>
              <w:rPr>
                <w:szCs w:val="21"/>
              </w:rPr>
            </w:pPr>
            <w:r>
              <w:rPr>
                <w:rFonts w:ascii="仿宋_GB2312" w:hAnsi="新宋体" w:eastAsia="仿宋_GB2312" w:cs="仿宋_GB2312"/>
                <w:kern w:val="0"/>
                <w:szCs w:val="21"/>
              </w:rPr>
              <w:t>评价要点：</w:t>
            </w:r>
          </w:p>
          <w:p w14:paraId="228AFFF4">
            <w:pPr>
              <w:widowControl/>
              <w:spacing w:line="240" w:lineRule="exact"/>
              <w:jc w:val="left"/>
              <w:rPr>
                <w:szCs w:val="21"/>
              </w:rPr>
            </w:pPr>
            <w:r>
              <w:rPr>
                <w:rFonts w:ascii="仿宋_GB2312" w:hAnsi="新宋体" w:eastAsia="仿宋_GB2312" w:cs="仿宋_GB2312"/>
                <w:kern w:val="0"/>
                <w:szCs w:val="21"/>
              </w:rPr>
              <w:t>1.基本财务管理制度健全；</w:t>
            </w:r>
          </w:p>
          <w:p w14:paraId="018D4150">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6B5082CF">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681D5FD7">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462" w:type="dxa"/>
            <w:tcBorders>
              <w:top w:val="single" w:color="000000" w:sz="4" w:space="0"/>
              <w:left w:val="single" w:color="auto" w:sz="4" w:space="0"/>
              <w:bottom w:val="single" w:color="000000" w:sz="4" w:space="0"/>
              <w:right w:val="single" w:color="auto" w:sz="4" w:space="0"/>
            </w:tcBorders>
            <w:vAlign w:val="center"/>
          </w:tcPr>
          <w:p w14:paraId="341311BF">
            <w:pPr>
              <w:widowControl/>
              <w:spacing w:line="240" w:lineRule="exact"/>
              <w:jc w:val="left"/>
              <w:rPr>
                <w:szCs w:val="21"/>
              </w:rPr>
            </w:pPr>
            <w:r>
              <w:rPr>
                <w:rFonts w:ascii="仿宋_GB2312" w:hAnsi="新宋体" w:eastAsia="仿宋_GB2312" w:cs="仿宋_GB2312"/>
                <w:kern w:val="0"/>
                <w:szCs w:val="21"/>
              </w:rPr>
              <w:t>符合全部四项（4）；</w:t>
            </w:r>
          </w:p>
          <w:p w14:paraId="2754911B">
            <w:pPr>
              <w:widowControl/>
              <w:spacing w:line="240" w:lineRule="exact"/>
              <w:jc w:val="left"/>
              <w:rPr>
                <w:szCs w:val="21"/>
              </w:rPr>
            </w:pPr>
            <w:r>
              <w:rPr>
                <w:rFonts w:ascii="仿宋_GB2312" w:hAnsi="新宋体" w:eastAsia="仿宋_GB2312" w:cs="仿宋_GB2312"/>
                <w:kern w:val="0"/>
                <w:szCs w:val="21"/>
              </w:rPr>
              <w:t>符合其中三项（2）；</w:t>
            </w:r>
          </w:p>
          <w:p w14:paraId="75C4162C">
            <w:pPr>
              <w:widowControl/>
              <w:spacing w:line="240" w:lineRule="exact"/>
              <w:jc w:val="left"/>
              <w:rPr>
                <w:szCs w:val="21"/>
              </w:rPr>
            </w:pPr>
            <w:r>
              <w:rPr>
                <w:rFonts w:ascii="仿宋_GB2312" w:hAnsi="新宋体" w:eastAsia="仿宋_GB2312" w:cs="仿宋_GB2312"/>
                <w:kern w:val="0"/>
                <w:szCs w:val="21"/>
              </w:rPr>
              <w:t>符合其中两项（1）；</w:t>
            </w:r>
          </w:p>
          <w:p w14:paraId="755BA70E">
            <w:pPr>
              <w:widowControl/>
              <w:spacing w:line="240" w:lineRule="exact"/>
              <w:jc w:val="left"/>
              <w:rPr>
                <w:szCs w:val="21"/>
              </w:rPr>
            </w:pPr>
            <w:r>
              <w:rPr>
                <w:rFonts w:ascii="仿宋_GB2312" w:hAnsi="新宋体" w:eastAsia="仿宋_GB2312" w:cs="仿宋_GB2312"/>
                <w:kern w:val="0"/>
                <w:szCs w:val="21"/>
              </w:rPr>
              <w:t>符合其中一项及以下（0）。</w:t>
            </w:r>
          </w:p>
        </w:tc>
        <w:tc>
          <w:tcPr>
            <w:tcW w:w="482" w:type="dxa"/>
            <w:tcBorders>
              <w:top w:val="single" w:color="000000" w:sz="4" w:space="0"/>
              <w:left w:val="single" w:color="auto" w:sz="4" w:space="0"/>
              <w:bottom w:val="single" w:color="000000" w:sz="4" w:space="0"/>
              <w:right w:val="single" w:color="000000" w:sz="4" w:space="0"/>
            </w:tcBorders>
            <w:vAlign w:val="center"/>
          </w:tcPr>
          <w:p w14:paraId="62FE48F4">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72272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40C750E2">
            <w:pPr>
              <w:spacing w:line="240" w:lineRule="exact"/>
              <w:rPr>
                <w:rFonts w:ascii="宋体"/>
                <w:szCs w:val="21"/>
              </w:rPr>
            </w:pP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14:paraId="4CD1E210">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 w:val="18"/>
                <w:szCs w:val="18"/>
              </w:rPr>
              <w:t>（</w:t>
            </w:r>
            <w:r>
              <w:rPr>
                <w:rFonts w:hint="eastAsia" w:ascii="仿宋_GB2312" w:hAnsi="新宋体" w:eastAsia="仿宋_GB2312" w:cs="仿宋_GB2312"/>
                <w:kern w:val="0"/>
                <w:sz w:val="18"/>
                <w:szCs w:val="18"/>
              </w:rPr>
              <w:t>5分</w:t>
            </w:r>
            <w:r>
              <w:rPr>
                <w:rFonts w:ascii="仿宋_GB2312" w:hAnsi="新宋体" w:eastAsia="仿宋_GB2312" w:cs="仿宋_GB2312"/>
                <w:kern w:val="0"/>
                <w:sz w:val="18"/>
                <w:szCs w:val="18"/>
              </w:rPr>
              <w:t>）</w:t>
            </w:r>
          </w:p>
        </w:tc>
        <w:tc>
          <w:tcPr>
            <w:tcW w:w="1056" w:type="dxa"/>
            <w:tcBorders>
              <w:top w:val="single" w:color="auto" w:sz="4" w:space="0"/>
              <w:left w:val="single" w:color="000000" w:sz="4" w:space="0"/>
              <w:bottom w:val="single" w:color="000000" w:sz="4" w:space="0"/>
              <w:right w:val="single" w:color="auto" w:sz="4" w:space="0"/>
            </w:tcBorders>
            <w:vAlign w:val="center"/>
          </w:tcPr>
          <w:p w14:paraId="6F10CF1C">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资产管理</w:t>
            </w:r>
          </w:p>
          <w:p w14:paraId="5EA0B846">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完整性</w:t>
            </w:r>
          </w:p>
          <w:p w14:paraId="2CB6AE7C">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569" w:type="dxa"/>
            <w:tcBorders>
              <w:top w:val="single" w:color="auto" w:sz="4" w:space="0"/>
              <w:left w:val="single" w:color="auto" w:sz="4" w:space="0"/>
              <w:bottom w:val="single" w:color="000000" w:sz="4" w:space="0"/>
              <w:right w:val="single" w:color="auto" w:sz="4" w:space="0"/>
            </w:tcBorders>
            <w:vAlign w:val="center"/>
          </w:tcPr>
          <w:p w14:paraId="6A2F5671">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3B73B2B8">
            <w:pPr>
              <w:widowControl/>
              <w:spacing w:line="240" w:lineRule="exact"/>
              <w:jc w:val="left"/>
              <w:rPr>
                <w:szCs w:val="21"/>
              </w:rPr>
            </w:pPr>
            <w:r>
              <w:rPr>
                <w:rFonts w:ascii="仿宋_GB2312" w:hAnsi="新宋体" w:eastAsia="仿宋_GB2312" w:cs="仿宋_GB2312"/>
                <w:kern w:val="0"/>
                <w:szCs w:val="21"/>
              </w:rPr>
              <w:t>评价要点：</w:t>
            </w:r>
          </w:p>
          <w:p w14:paraId="2CEC384D">
            <w:pPr>
              <w:widowControl/>
              <w:spacing w:line="240" w:lineRule="exact"/>
              <w:jc w:val="left"/>
              <w:rPr>
                <w:szCs w:val="21"/>
              </w:rPr>
            </w:pPr>
            <w:r>
              <w:rPr>
                <w:rFonts w:ascii="仿宋_GB2312" w:hAnsi="新宋体" w:eastAsia="仿宋_GB2312" w:cs="仿宋_GB2312"/>
                <w:kern w:val="0"/>
                <w:szCs w:val="21"/>
              </w:rPr>
              <w:t>1.资产保存完整；</w:t>
            </w:r>
          </w:p>
          <w:p w14:paraId="2C6253A1">
            <w:pPr>
              <w:widowControl/>
              <w:spacing w:line="240" w:lineRule="exact"/>
              <w:jc w:val="left"/>
              <w:rPr>
                <w:szCs w:val="21"/>
              </w:rPr>
            </w:pPr>
            <w:r>
              <w:rPr>
                <w:rFonts w:ascii="仿宋_GB2312" w:hAnsi="新宋体" w:eastAsia="仿宋_GB2312" w:cs="仿宋_GB2312"/>
                <w:kern w:val="0"/>
                <w:szCs w:val="21"/>
              </w:rPr>
              <w:t>2.资产账务管理是否合规，</w:t>
            </w:r>
            <w:r>
              <w:rPr>
                <w:rFonts w:hint="eastAsia" w:ascii="仿宋_GB2312" w:hAnsi="新宋体" w:eastAsia="仿宋_GB2312" w:cs="仿宋_GB2312"/>
                <w:kern w:val="0"/>
                <w:szCs w:val="21"/>
                <w:lang w:eastAsia="zh-CN"/>
              </w:rPr>
              <w:t>账</w:t>
            </w:r>
            <w:r>
              <w:rPr>
                <w:rFonts w:ascii="仿宋_GB2312" w:hAnsi="新宋体" w:eastAsia="仿宋_GB2312" w:cs="仿宋_GB2312"/>
                <w:kern w:val="0"/>
                <w:szCs w:val="21"/>
              </w:rPr>
              <w:t>实相符；</w:t>
            </w:r>
          </w:p>
          <w:p w14:paraId="22FA0873">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462" w:type="dxa"/>
            <w:tcBorders>
              <w:top w:val="single" w:color="auto" w:sz="4" w:space="0"/>
              <w:left w:val="single" w:color="auto" w:sz="4" w:space="0"/>
              <w:bottom w:val="single" w:color="000000" w:sz="4" w:space="0"/>
              <w:right w:val="single" w:color="auto" w:sz="4" w:space="0"/>
            </w:tcBorders>
            <w:vAlign w:val="center"/>
          </w:tcPr>
          <w:p w14:paraId="396156AF">
            <w:pPr>
              <w:widowControl/>
              <w:spacing w:line="240" w:lineRule="exact"/>
              <w:jc w:val="left"/>
              <w:rPr>
                <w:szCs w:val="21"/>
              </w:rPr>
            </w:pPr>
            <w:r>
              <w:rPr>
                <w:rFonts w:ascii="仿宋_GB2312" w:hAnsi="新宋体" w:eastAsia="仿宋_GB2312" w:cs="仿宋_GB2312"/>
                <w:kern w:val="0"/>
                <w:szCs w:val="21"/>
              </w:rPr>
              <w:t>符合全部三项（3）；</w:t>
            </w:r>
          </w:p>
          <w:p w14:paraId="2BCBCAD8">
            <w:pPr>
              <w:widowControl/>
              <w:spacing w:line="240" w:lineRule="exact"/>
              <w:jc w:val="left"/>
              <w:rPr>
                <w:szCs w:val="21"/>
              </w:rPr>
            </w:pPr>
            <w:r>
              <w:rPr>
                <w:rFonts w:ascii="仿宋_GB2312" w:hAnsi="新宋体" w:eastAsia="仿宋_GB2312" w:cs="仿宋_GB2312"/>
                <w:kern w:val="0"/>
                <w:szCs w:val="21"/>
              </w:rPr>
              <w:t>符合其中两项（2）；</w:t>
            </w:r>
          </w:p>
          <w:p w14:paraId="52B8958E">
            <w:pPr>
              <w:widowControl/>
              <w:spacing w:line="240" w:lineRule="exact"/>
              <w:jc w:val="left"/>
              <w:rPr>
                <w:szCs w:val="21"/>
              </w:rPr>
            </w:pPr>
            <w:r>
              <w:rPr>
                <w:rFonts w:ascii="仿宋_GB2312" w:hAnsi="新宋体" w:eastAsia="仿宋_GB2312" w:cs="仿宋_GB2312"/>
                <w:kern w:val="0"/>
                <w:szCs w:val="21"/>
              </w:rPr>
              <w:t>符合其中一项（1）；</w:t>
            </w:r>
          </w:p>
          <w:p w14:paraId="1295D44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482" w:type="dxa"/>
            <w:tcBorders>
              <w:top w:val="single" w:color="auto" w:sz="4" w:space="0"/>
              <w:left w:val="single" w:color="auto" w:sz="4" w:space="0"/>
              <w:bottom w:val="single" w:color="000000" w:sz="4" w:space="0"/>
              <w:right w:val="single" w:color="000000" w:sz="4" w:space="0"/>
            </w:tcBorders>
            <w:vAlign w:val="center"/>
          </w:tcPr>
          <w:p w14:paraId="09B0D2FF">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1A53A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9"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593B18E3">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3365CFD9">
            <w:pPr>
              <w:spacing w:line="240" w:lineRule="exact"/>
              <w:rPr>
                <w:rFonts w:ascii="宋体"/>
                <w:szCs w:val="21"/>
              </w:rPr>
            </w:pPr>
          </w:p>
        </w:tc>
        <w:tc>
          <w:tcPr>
            <w:tcW w:w="1056" w:type="dxa"/>
            <w:tcBorders>
              <w:top w:val="single" w:color="auto" w:sz="4" w:space="0"/>
              <w:left w:val="single" w:color="000000" w:sz="4" w:space="0"/>
              <w:bottom w:val="single" w:color="000000" w:sz="4" w:space="0"/>
              <w:right w:val="single" w:color="auto" w:sz="4" w:space="0"/>
            </w:tcBorders>
            <w:vAlign w:val="center"/>
          </w:tcPr>
          <w:p w14:paraId="3E3BF5E1">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固定资产</w:t>
            </w:r>
          </w:p>
          <w:p w14:paraId="3FC2CEB6">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利用率</w:t>
            </w:r>
          </w:p>
          <w:p w14:paraId="4BD8D9C0">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569" w:type="dxa"/>
            <w:tcBorders>
              <w:top w:val="single" w:color="auto" w:sz="4" w:space="0"/>
              <w:left w:val="single" w:color="auto" w:sz="4" w:space="0"/>
              <w:bottom w:val="single" w:color="000000" w:sz="4" w:space="0"/>
              <w:right w:val="single" w:color="auto" w:sz="4" w:space="0"/>
            </w:tcBorders>
            <w:vAlign w:val="center"/>
          </w:tcPr>
          <w:p w14:paraId="4121382A">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1E777344">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462" w:type="dxa"/>
            <w:tcBorders>
              <w:top w:val="single" w:color="auto" w:sz="4" w:space="0"/>
              <w:left w:val="single" w:color="auto" w:sz="4" w:space="0"/>
              <w:bottom w:val="single" w:color="000000" w:sz="4" w:space="0"/>
              <w:right w:val="single" w:color="auto" w:sz="4" w:space="0"/>
            </w:tcBorders>
            <w:vAlign w:val="center"/>
          </w:tcPr>
          <w:p w14:paraId="1D6367C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72229C3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1BA02CA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15711D9D">
            <w:pPr>
              <w:widowControl/>
              <w:pBdr>
                <w:top w:val="none" w:color="000000" w:sz="0" w:space="0"/>
                <w:left w:val="none" w:color="000000" w:sz="0" w:space="0"/>
                <w:bottom w:val="none" w:color="000000" w:sz="0" w:space="0"/>
                <w:right w:val="none" w:color="000000" w:sz="0" w:space="0"/>
              </w:pBdr>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p w14:paraId="6866A41E">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482" w:type="dxa"/>
            <w:tcBorders>
              <w:top w:val="single" w:color="auto" w:sz="4" w:space="0"/>
              <w:left w:val="single" w:color="auto" w:sz="4" w:space="0"/>
              <w:bottom w:val="single" w:color="000000" w:sz="4" w:space="0"/>
              <w:right w:val="single" w:color="000000" w:sz="4" w:space="0"/>
            </w:tcBorders>
            <w:vAlign w:val="center"/>
          </w:tcPr>
          <w:p w14:paraId="6F51EA51">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5FE7F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vAlign w:val="center"/>
          </w:tcPr>
          <w:p w14:paraId="474AE66D">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14:paraId="209B8CD1">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 w:val="18"/>
                <w:szCs w:val="18"/>
              </w:rPr>
              <w:t>（2</w:t>
            </w:r>
            <w:r>
              <w:rPr>
                <w:rFonts w:hint="eastAsia" w:ascii="仿宋_GB2312" w:hAnsi="新宋体" w:eastAsia="仿宋_GB2312" w:cs="仿宋_GB2312"/>
                <w:kern w:val="0"/>
                <w:sz w:val="18"/>
                <w:szCs w:val="18"/>
              </w:rPr>
              <w:t>5分</w:t>
            </w:r>
            <w:r>
              <w:rPr>
                <w:rFonts w:ascii="仿宋_GB2312" w:hAnsi="新宋体" w:eastAsia="仿宋_GB2312" w:cs="仿宋_GB2312"/>
                <w:kern w:val="0"/>
                <w:sz w:val="18"/>
                <w:szCs w:val="18"/>
              </w:rPr>
              <w:t>）</w:t>
            </w:r>
          </w:p>
        </w:tc>
        <w:tc>
          <w:tcPr>
            <w:tcW w:w="1056" w:type="dxa"/>
            <w:tcBorders>
              <w:top w:val="single" w:color="000000" w:sz="4" w:space="0"/>
              <w:left w:val="single" w:color="000000" w:sz="4" w:space="0"/>
              <w:bottom w:val="single" w:color="auto" w:sz="4" w:space="0"/>
              <w:right w:val="single" w:color="auto" w:sz="4" w:space="0"/>
            </w:tcBorders>
            <w:vAlign w:val="center"/>
          </w:tcPr>
          <w:p w14:paraId="196A5196">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w:t>
            </w:r>
          </w:p>
          <w:p w14:paraId="66C68EEC">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完成</w:t>
            </w:r>
          </w:p>
          <w:p w14:paraId="61ADDA2F">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情况</w:t>
            </w:r>
          </w:p>
          <w:p w14:paraId="6C73EB85">
            <w:pPr>
              <w:widowControl/>
              <w:spacing w:line="240" w:lineRule="exact"/>
              <w:jc w:val="left"/>
              <w:rPr>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auto" w:sz="4" w:space="0"/>
              <w:right w:val="single" w:color="auto" w:sz="4" w:space="0"/>
            </w:tcBorders>
            <w:vAlign w:val="center"/>
          </w:tcPr>
          <w:p w14:paraId="0B4916F7">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462" w:type="dxa"/>
            <w:tcBorders>
              <w:top w:val="single" w:color="000000" w:sz="4" w:space="0"/>
              <w:left w:val="single" w:color="auto" w:sz="4" w:space="0"/>
              <w:bottom w:val="single" w:color="auto" w:sz="4" w:space="0"/>
              <w:right w:val="single" w:color="auto" w:sz="4" w:space="0"/>
            </w:tcBorders>
            <w:vAlign w:val="center"/>
          </w:tcPr>
          <w:p w14:paraId="55ABA183">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482" w:type="dxa"/>
            <w:tcBorders>
              <w:top w:val="single" w:color="000000" w:sz="4" w:space="0"/>
              <w:left w:val="single" w:color="auto" w:sz="4" w:space="0"/>
              <w:bottom w:val="single" w:color="auto" w:sz="4" w:space="0"/>
              <w:right w:val="single" w:color="000000" w:sz="4" w:space="0"/>
            </w:tcBorders>
            <w:vAlign w:val="center"/>
          </w:tcPr>
          <w:p w14:paraId="6F4CD7C9">
            <w:pPr>
              <w:widowControl/>
              <w:spacing w:line="240" w:lineRule="exact"/>
              <w:jc w:val="left"/>
              <w:rPr>
                <w:rFonts w:hint="default" w:eastAsiaTheme="minorEastAsia"/>
                <w:szCs w:val="21"/>
                <w:lang w:val="en-US" w:eastAsia="zh-CN"/>
              </w:rPr>
            </w:pPr>
            <w:r>
              <w:rPr>
                <w:rFonts w:hint="eastAsia"/>
                <w:szCs w:val="21"/>
                <w:lang w:val="en-US" w:eastAsia="zh-CN"/>
              </w:rPr>
              <w:t>9</w:t>
            </w:r>
          </w:p>
        </w:tc>
      </w:tr>
      <w:tr w14:paraId="71C0F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6CF8C401">
            <w:pPr>
              <w:spacing w:line="240" w:lineRule="exact"/>
              <w:rPr>
                <w:rFonts w:ascii="宋体"/>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58777ABE">
            <w:pPr>
              <w:spacing w:line="240" w:lineRule="exact"/>
              <w:rPr>
                <w:rFonts w:ascii="宋体"/>
                <w:szCs w:val="21"/>
              </w:rPr>
            </w:pPr>
          </w:p>
        </w:tc>
        <w:tc>
          <w:tcPr>
            <w:tcW w:w="1056" w:type="dxa"/>
            <w:tcBorders>
              <w:top w:val="single" w:color="000000" w:sz="4" w:space="0"/>
              <w:left w:val="single" w:color="000000" w:sz="4" w:space="0"/>
              <w:right w:val="single" w:color="auto" w:sz="4" w:space="0"/>
            </w:tcBorders>
            <w:vAlign w:val="center"/>
          </w:tcPr>
          <w:p w14:paraId="045A44E1">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p>
          <w:p w14:paraId="4F831788">
            <w:pPr>
              <w:widowControl/>
              <w:spacing w:line="240" w:lineRule="exact"/>
              <w:jc w:val="left"/>
              <w:rPr>
                <w:szCs w:val="21"/>
              </w:rPr>
            </w:pP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569" w:type="dxa"/>
            <w:tcBorders>
              <w:top w:val="single" w:color="000000" w:sz="4" w:space="0"/>
              <w:left w:val="single" w:color="auto" w:sz="4" w:space="0"/>
              <w:right w:val="single" w:color="auto" w:sz="4" w:space="0"/>
            </w:tcBorders>
            <w:vAlign w:val="center"/>
          </w:tcPr>
          <w:p w14:paraId="650B44F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6339BC3B">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3319571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462" w:type="dxa"/>
            <w:tcBorders>
              <w:top w:val="single" w:color="000000" w:sz="4" w:space="0"/>
              <w:left w:val="single" w:color="auto" w:sz="4" w:space="0"/>
              <w:right w:val="single" w:color="auto" w:sz="4" w:space="0"/>
            </w:tcBorders>
            <w:vAlign w:val="center"/>
          </w:tcPr>
          <w:p w14:paraId="2ACF341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4E0B820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74D4196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4DD62F7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482" w:type="dxa"/>
            <w:tcBorders>
              <w:top w:val="single" w:color="000000" w:sz="4" w:space="0"/>
              <w:left w:val="single" w:color="auto" w:sz="4" w:space="0"/>
              <w:bottom w:val="single" w:color="auto" w:sz="4" w:space="0"/>
              <w:right w:val="single" w:color="000000" w:sz="4" w:space="0"/>
            </w:tcBorders>
            <w:vAlign w:val="center"/>
          </w:tcPr>
          <w:p w14:paraId="587CB52F">
            <w:pPr>
              <w:widowControl/>
              <w:spacing w:line="240" w:lineRule="exact"/>
              <w:jc w:val="left"/>
              <w:rPr>
                <w:rFonts w:hint="default" w:eastAsiaTheme="minorEastAsia"/>
                <w:szCs w:val="21"/>
                <w:lang w:val="en-US" w:eastAsia="zh-CN"/>
              </w:rPr>
            </w:pPr>
            <w:r>
              <w:rPr>
                <w:rFonts w:hint="eastAsia"/>
                <w:szCs w:val="21"/>
                <w:lang w:val="en-US" w:eastAsia="zh-CN"/>
              </w:rPr>
              <w:t>14</w:t>
            </w:r>
          </w:p>
        </w:tc>
      </w:tr>
      <w:tr w14:paraId="66EC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vAlign w:val="center"/>
          </w:tcPr>
          <w:p w14:paraId="6A0E0BE7">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989" w:type="dxa"/>
            <w:vMerge w:val="restart"/>
            <w:tcBorders>
              <w:top w:val="single" w:color="auto" w:sz="4" w:space="0"/>
              <w:left w:val="single" w:color="000000" w:sz="4" w:space="0"/>
              <w:right w:val="single" w:color="000000" w:sz="4" w:space="0"/>
            </w:tcBorders>
            <w:vAlign w:val="center"/>
          </w:tcPr>
          <w:p w14:paraId="3BA83BEC">
            <w:pPr>
              <w:widowControl/>
              <w:spacing w:line="240" w:lineRule="exact"/>
              <w:jc w:val="left"/>
              <w:rPr>
                <w:rFonts w:ascii="仿宋_GB2312" w:hAnsi="新宋体" w:eastAsia="仿宋_GB2312" w:cs="仿宋_GB2312"/>
                <w:kern w:val="0"/>
                <w:szCs w:val="21"/>
              </w:rPr>
            </w:pPr>
          </w:p>
          <w:p w14:paraId="7E2AAEE0">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2A245631">
            <w:pPr>
              <w:widowControl/>
              <w:spacing w:line="240" w:lineRule="exact"/>
              <w:jc w:val="left"/>
              <w:rPr>
                <w:rFonts w:ascii="仿宋_GB2312" w:hAnsi="新宋体" w:eastAsia="仿宋_GB2312" w:cs="仿宋_GB2312"/>
                <w:kern w:val="0"/>
                <w:sz w:val="18"/>
                <w:szCs w:val="18"/>
              </w:rPr>
            </w:pPr>
            <w:r>
              <w:rPr>
                <w:rFonts w:ascii="仿宋_GB2312" w:hAnsi="新宋体" w:eastAsia="仿宋_GB2312" w:cs="仿宋_GB2312"/>
                <w:kern w:val="0"/>
                <w:sz w:val="18"/>
                <w:szCs w:val="18"/>
              </w:rPr>
              <w:t>（</w:t>
            </w:r>
            <w:r>
              <w:rPr>
                <w:rFonts w:hint="eastAsia" w:ascii="仿宋_GB2312" w:hAnsi="新宋体" w:eastAsia="仿宋_GB2312" w:cs="仿宋_GB2312"/>
                <w:kern w:val="0"/>
                <w:sz w:val="18"/>
                <w:szCs w:val="18"/>
              </w:rPr>
              <w:t>20分</w:t>
            </w:r>
            <w:r>
              <w:rPr>
                <w:rFonts w:ascii="仿宋_GB2312" w:hAnsi="新宋体" w:eastAsia="仿宋_GB2312" w:cs="仿宋_GB2312"/>
                <w:kern w:val="0"/>
                <w:sz w:val="18"/>
                <w:szCs w:val="18"/>
              </w:rPr>
              <w:t>）</w:t>
            </w:r>
          </w:p>
        </w:tc>
        <w:tc>
          <w:tcPr>
            <w:tcW w:w="1056" w:type="dxa"/>
            <w:tcBorders>
              <w:top w:val="single" w:color="000000" w:sz="4" w:space="0"/>
              <w:left w:val="single" w:color="000000" w:sz="4" w:space="0"/>
              <w:bottom w:val="single" w:color="000000" w:sz="4" w:space="0"/>
              <w:right w:val="single" w:color="auto" w:sz="4" w:space="0"/>
            </w:tcBorders>
            <w:vAlign w:val="center"/>
          </w:tcPr>
          <w:p w14:paraId="716E44FB">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经济效益</w:t>
            </w:r>
          </w:p>
          <w:p w14:paraId="2F025764">
            <w:pPr>
              <w:widowControl/>
              <w:spacing w:line="240" w:lineRule="exact"/>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569" w:type="dxa"/>
            <w:tcBorders>
              <w:top w:val="single" w:color="000000" w:sz="4" w:space="0"/>
              <w:left w:val="single" w:color="auto" w:sz="4" w:space="0"/>
              <w:bottom w:val="single" w:color="000000" w:sz="4" w:space="0"/>
              <w:right w:val="single" w:color="auto" w:sz="4" w:space="0"/>
            </w:tcBorders>
            <w:vAlign w:val="center"/>
          </w:tcPr>
          <w:p w14:paraId="76A5F63C">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3DD44B3E">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462" w:type="dxa"/>
            <w:tcBorders>
              <w:top w:val="single" w:color="000000" w:sz="4" w:space="0"/>
              <w:left w:val="single" w:color="auto" w:sz="4" w:space="0"/>
              <w:bottom w:val="single" w:color="000000" w:sz="4" w:space="0"/>
              <w:right w:val="single" w:color="auto" w:sz="4" w:space="0"/>
            </w:tcBorders>
            <w:vAlign w:val="center"/>
          </w:tcPr>
          <w:p w14:paraId="362802C9">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482" w:type="dxa"/>
            <w:tcBorders>
              <w:top w:val="single" w:color="000000" w:sz="4" w:space="0"/>
              <w:left w:val="single" w:color="auto" w:sz="4" w:space="0"/>
              <w:bottom w:val="single" w:color="000000" w:sz="4" w:space="0"/>
              <w:right w:val="single" w:color="000000" w:sz="4" w:space="0"/>
            </w:tcBorders>
            <w:vAlign w:val="center"/>
          </w:tcPr>
          <w:p w14:paraId="07B01DDD">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6372E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continue"/>
            <w:tcBorders>
              <w:left w:val="single" w:color="000000" w:sz="4" w:space="0"/>
              <w:right w:val="single" w:color="000000" w:sz="4" w:space="0"/>
            </w:tcBorders>
            <w:vAlign w:val="center"/>
          </w:tcPr>
          <w:p w14:paraId="57B48ACF">
            <w:pPr>
              <w:widowControl/>
              <w:spacing w:line="240" w:lineRule="exact"/>
              <w:jc w:val="left"/>
              <w:rPr>
                <w:rFonts w:ascii="仿宋_GB2312" w:hAnsi="新宋体" w:eastAsia="仿宋_GB2312" w:cs="仿宋_GB2312"/>
                <w:kern w:val="0"/>
                <w:szCs w:val="21"/>
              </w:rPr>
            </w:pPr>
          </w:p>
        </w:tc>
        <w:tc>
          <w:tcPr>
            <w:tcW w:w="989" w:type="dxa"/>
            <w:vMerge w:val="continue"/>
            <w:tcBorders>
              <w:left w:val="single" w:color="000000" w:sz="4" w:space="0"/>
              <w:right w:val="single" w:color="000000" w:sz="4" w:space="0"/>
            </w:tcBorders>
            <w:vAlign w:val="center"/>
          </w:tcPr>
          <w:p w14:paraId="7B8956A7">
            <w:pPr>
              <w:widowControl/>
              <w:spacing w:line="240" w:lineRule="exact"/>
              <w:jc w:val="left"/>
              <w:rPr>
                <w:rFonts w:ascii="仿宋_GB2312" w:hAnsi="新宋体" w:eastAsia="仿宋_GB2312" w:cs="仿宋_GB2312"/>
                <w:kern w:val="0"/>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571563ED">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p>
          <w:p w14:paraId="74245746">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（5分）</w:t>
            </w:r>
          </w:p>
        </w:tc>
        <w:tc>
          <w:tcPr>
            <w:tcW w:w="3569" w:type="dxa"/>
            <w:tcBorders>
              <w:top w:val="single" w:color="000000" w:sz="4" w:space="0"/>
              <w:left w:val="single" w:color="auto" w:sz="4" w:space="0"/>
              <w:bottom w:val="single" w:color="000000" w:sz="4" w:space="0"/>
              <w:right w:val="single" w:color="auto" w:sz="4" w:space="0"/>
            </w:tcBorders>
            <w:vAlign w:val="center"/>
          </w:tcPr>
          <w:p w14:paraId="7CC9FEA1">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6C2E15CD">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462" w:type="dxa"/>
            <w:tcBorders>
              <w:top w:val="single" w:color="000000" w:sz="4" w:space="0"/>
              <w:left w:val="single" w:color="auto" w:sz="4" w:space="0"/>
              <w:bottom w:val="single" w:color="000000" w:sz="4" w:space="0"/>
              <w:right w:val="single" w:color="auto" w:sz="4" w:space="0"/>
            </w:tcBorders>
            <w:vAlign w:val="center"/>
          </w:tcPr>
          <w:p w14:paraId="72084683">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482" w:type="dxa"/>
            <w:tcBorders>
              <w:top w:val="single" w:color="000000" w:sz="4" w:space="0"/>
              <w:left w:val="single" w:color="auto" w:sz="4" w:space="0"/>
              <w:bottom w:val="single" w:color="000000" w:sz="4" w:space="0"/>
              <w:right w:val="single" w:color="000000" w:sz="4" w:space="0"/>
            </w:tcBorders>
            <w:vAlign w:val="center"/>
          </w:tcPr>
          <w:p w14:paraId="05E05F4C">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52AFF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continue"/>
            <w:tcBorders>
              <w:left w:val="single" w:color="000000" w:sz="4" w:space="0"/>
              <w:right w:val="single" w:color="000000" w:sz="4" w:space="0"/>
            </w:tcBorders>
            <w:vAlign w:val="center"/>
          </w:tcPr>
          <w:p w14:paraId="410F059B">
            <w:pPr>
              <w:widowControl/>
              <w:spacing w:line="240" w:lineRule="exact"/>
              <w:jc w:val="left"/>
              <w:rPr>
                <w:rFonts w:ascii="仿宋_GB2312" w:hAnsi="新宋体" w:eastAsia="仿宋_GB2312" w:cs="仿宋_GB2312"/>
                <w:kern w:val="0"/>
                <w:szCs w:val="21"/>
              </w:rPr>
            </w:pPr>
          </w:p>
        </w:tc>
        <w:tc>
          <w:tcPr>
            <w:tcW w:w="989" w:type="dxa"/>
            <w:vMerge w:val="continue"/>
            <w:tcBorders>
              <w:left w:val="single" w:color="000000" w:sz="4" w:space="0"/>
              <w:right w:val="single" w:color="000000" w:sz="4" w:space="0"/>
            </w:tcBorders>
            <w:vAlign w:val="center"/>
          </w:tcPr>
          <w:p w14:paraId="0A3FC53D">
            <w:pPr>
              <w:widowControl/>
              <w:spacing w:line="240" w:lineRule="exact"/>
              <w:jc w:val="left"/>
              <w:rPr>
                <w:rFonts w:ascii="仿宋_GB2312" w:hAnsi="新宋体" w:eastAsia="仿宋_GB2312" w:cs="仿宋_GB2312"/>
                <w:kern w:val="0"/>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094EFDEB">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p>
          <w:p w14:paraId="211CE2D7">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（5分）</w:t>
            </w:r>
          </w:p>
        </w:tc>
        <w:tc>
          <w:tcPr>
            <w:tcW w:w="3569" w:type="dxa"/>
            <w:tcBorders>
              <w:top w:val="single" w:color="000000" w:sz="4" w:space="0"/>
              <w:left w:val="single" w:color="auto" w:sz="4" w:space="0"/>
              <w:bottom w:val="single" w:color="000000" w:sz="4" w:space="0"/>
              <w:right w:val="single" w:color="auto" w:sz="4" w:space="0"/>
            </w:tcBorders>
            <w:vAlign w:val="center"/>
          </w:tcPr>
          <w:p w14:paraId="436C1B84">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53BDB413">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462" w:type="dxa"/>
            <w:tcBorders>
              <w:top w:val="single" w:color="000000" w:sz="4" w:space="0"/>
              <w:left w:val="single" w:color="auto" w:sz="4" w:space="0"/>
              <w:bottom w:val="single" w:color="000000" w:sz="4" w:space="0"/>
              <w:right w:val="single" w:color="auto" w:sz="4" w:space="0"/>
            </w:tcBorders>
            <w:vAlign w:val="center"/>
          </w:tcPr>
          <w:p w14:paraId="4A2994B7">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482" w:type="dxa"/>
            <w:tcBorders>
              <w:top w:val="single" w:color="000000" w:sz="4" w:space="0"/>
              <w:left w:val="single" w:color="auto" w:sz="4" w:space="0"/>
              <w:bottom w:val="single" w:color="000000" w:sz="4" w:space="0"/>
              <w:right w:val="single" w:color="000000" w:sz="4" w:space="0"/>
            </w:tcBorders>
            <w:vAlign w:val="center"/>
          </w:tcPr>
          <w:p w14:paraId="257BCA4E">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206F4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14:paraId="4394650E">
            <w:pPr>
              <w:spacing w:line="240" w:lineRule="exact"/>
              <w:rPr>
                <w:rFonts w:ascii="宋体"/>
                <w:szCs w:val="21"/>
              </w:rPr>
            </w:pPr>
          </w:p>
        </w:tc>
        <w:tc>
          <w:tcPr>
            <w:tcW w:w="989" w:type="dxa"/>
            <w:vMerge w:val="continue"/>
            <w:tcBorders>
              <w:left w:val="single" w:color="000000" w:sz="4" w:space="0"/>
              <w:right w:val="single" w:color="000000" w:sz="4" w:space="0"/>
            </w:tcBorders>
            <w:vAlign w:val="center"/>
          </w:tcPr>
          <w:p w14:paraId="601956ED">
            <w:pPr>
              <w:widowControl/>
              <w:spacing w:line="240" w:lineRule="exact"/>
              <w:jc w:val="left"/>
              <w:rPr>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7F898D0D">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569" w:type="dxa"/>
            <w:tcBorders>
              <w:top w:val="single" w:color="000000" w:sz="4" w:space="0"/>
              <w:left w:val="single" w:color="auto" w:sz="4" w:space="0"/>
              <w:bottom w:val="single" w:color="000000" w:sz="4" w:space="0"/>
              <w:right w:val="single" w:color="auto" w:sz="4" w:space="0"/>
            </w:tcBorders>
            <w:vAlign w:val="center"/>
          </w:tcPr>
          <w:p w14:paraId="3A43B67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462" w:type="dxa"/>
            <w:tcBorders>
              <w:top w:val="single" w:color="000000" w:sz="4" w:space="0"/>
              <w:left w:val="single" w:color="auto" w:sz="4" w:space="0"/>
              <w:bottom w:val="single" w:color="000000" w:sz="4" w:space="0"/>
              <w:right w:val="single" w:color="auto" w:sz="4" w:space="0"/>
            </w:tcBorders>
            <w:vAlign w:val="center"/>
          </w:tcPr>
          <w:p w14:paraId="18719329">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647B0714">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482" w:type="dxa"/>
            <w:tcBorders>
              <w:top w:val="single" w:color="000000" w:sz="4" w:space="0"/>
              <w:left w:val="single" w:color="auto" w:sz="4" w:space="0"/>
              <w:bottom w:val="single" w:color="000000" w:sz="4" w:space="0"/>
              <w:right w:val="single" w:color="000000" w:sz="4" w:space="0"/>
            </w:tcBorders>
            <w:vAlign w:val="center"/>
          </w:tcPr>
          <w:p w14:paraId="1AE0CDAF">
            <w:pPr>
              <w:widowControl/>
              <w:spacing w:line="240" w:lineRule="exact"/>
              <w:jc w:val="left"/>
              <w:rPr>
                <w:rFonts w:hint="eastAsia" w:eastAsiaTheme="minorEastAsia"/>
                <w:szCs w:val="21"/>
                <w:lang w:val="en-US" w:eastAsia="zh-CN"/>
              </w:rPr>
            </w:pPr>
            <w:r>
              <w:rPr>
                <w:rFonts w:hint="eastAsia"/>
                <w:szCs w:val="21"/>
                <w:lang w:val="en-US" w:eastAsia="zh-CN"/>
              </w:rPr>
              <w:t>5</w:t>
            </w:r>
          </w:p>
        </w:tc>
      </w:tr>
    </w:tbl>
    <w:p w14:paraId="2A41192B">
      <w:pPr>
        <w:widowControl/>
        <w:spacing w:line="480" w:lineRule="exact"/>
        <w:jc w:val="left"/>
        <w:rPr>
          <w:rFonts w:ascii="仿宋" w:hAnsi="仿宋" w:eastAsia="仿宋" w:cs="仿宋"/>
          <w:kern w:val="0"/>
          <w:sz w:val="32"/>
          <w:szCs w:val="32"/>
          <w:shd w:val="clear" w:color="auto" w:fill="FFFFFF"/>
        </w:rPr>
      </w:pPr>
    </w:p>
    <w:p w14:paraId="08F2A235">
      <w:pPr>
        <w:rPr>
          <w:rFonts w:ascii="黑体" w:hAnsi="黑体" w:eastAsia="黑体" w:cs="黑体"/>
          <w:b/>
          <w:bCs/>
          <w:sz w:val="30"/>
          <w:szCs w:val="30"/>
        </w:rPr>
      </w:pPr>
      <w:r>
        <w:rPr>
          <w:rFonts w:hint="eastAsia" w:ascii="黑体" w:hAnsi="黑体" w:eastAsia="黑体" w:cs="黑体"/>
          <w:b/>
          <w:bCs/>
          <w:sz w:val="30"/>
          <w:szCs w:val="30"/>
        </w:rPr>
        <w:t>(后附部门整体自评报告)</w:t>
      </w:r>
    </w:p>
    <w:p w14:paraId="5A460235">
      <w:pPr>
        <w:rPr>
          <w:rFonts w:hint="eastAsia" w:cs="黑体" w:asciiTheme="minorEastAsia" w:hAnsiTheme="minorEastAsia"/>
          <w:b/>
          <w:bCs/>
          <w:sz w:val="44"/>
          <w:szCs w:val="44"/>
          <w:lang w:eastAsia="zh-CN"/>
        </w:rPr>
      </w:pPr>
    </w:p>
    <w:p w14:paraId="17E2E65D">
      <w:pPr>
        <w:rPr>
          <w:rFonts w:hint="eastAsia" w:cs="黑体" w:asciiTheme="minorEastAsia" w:hAnsiTheme="minorEastAsia"/>
          <w:b/>
          <w:bCs/>
          <w:sz w:val="44"/>
          <w:szCs w:val="44"/>
          <w:lang w:eastAsia="zh-CN"/>
        </w:rPr>
      </w:pPr>
      <w:r>
        <w:rPr>
          <w:rFonts w:hint="eastAsia" w:cs="黑体" w:asciiTheme="minorEastAsia" w:hAnsiTheme="minorEastAsia"/>
          <w:b/>
          <w:bCs/>
          <w:sz w:val="44"/>
          <w:szCs w:val="44"/>
          <w:lang w:eastAsia="zh-CN"/>
        </w:rPr>
        <w:br w:type="page"/>
      </w:r>
    </w:p>
    <w:p w14:paraId="6314E94F">
      <w:pPr>
        <w:jc w:val="center"/>
        <w:rPr>
          <w:rFonts w:hint="default" w:cs="黑体" w:asciiTheme="minorEastAsia" w:hAnsiTheme="minorEastAsia" w:eastAsiaTheme="minorEastAsia"/>
          <w:b/>
          <w:bCs/>
          <w:sz w:val="44"/>
          <w:szCs w:val="44"/>
          <w:lang w:val="en-US" w:eastAsia="zh-CN"/>
        </w:rPr>
      </w:pPr>
      <w:r>
        <w:rPr>
          <w:rFonts w:hint="eastAsia" w:cs="黑体" w:asciiTheme="minorEastAsia" w:hAnsiTheme="minorEastAsia"/>
          <w:b/>
          <w:bCs/>
          <w:sz w:val="44"/>
          <w:szCs w:val="44"/>
          <w:lang w:eastAsia="zh-CN"/>
        </w:rPr>
        <w:t>巨鹿</w:t>
      </w:r>
      <w:r>
        <w:rPr>
          <w:rFonts w:hint="eastAsia" w:cs="黑体" w:asciiTheme="minorEastAsia" w:hAnsiTheme="minorEastAsia"/>
          <w:b/>
          <w:bCs/>
          <w:sz w:val="44"/>
          <w:szCs w:val="44"/>
        </w:rPr>
        <w:t>县</w:t>
      </w:r>
      <w:r>
        <w:rPr>
          <w:rFonts w:hint="eastAsia" w:cs="黑体" w:asciiTheme="minorEastAsia" w:hAnsiTheme="minorEastAsia"/>
          <w:b/>
          <w:bCs/>
          <w:sz w:val="44"/>
          <w:szCs w:val="44"/>
          <w:lang w:val="en-US" w:eastAsia="zh-CN"/>
        </w:rPr>
        <w:t>巨鹿镇人民政府</w:t>
      </w:r>
    </w:p>
    <w:p w14:paraId="13544B35">
      <w:pPr>
        <w:jc w:val="center"/>
        <w:rPr>
          <w:rFonts w:cs="黑体" w:asciiTheme="minorEastAsia" w:hAnsiTheme="minorEastAsia"/>
          <w:b/>
          <w:bCs/>
          <w:sz w:val="44"/>
          <w:szCs w:val="44"/>
        </w:rPr>
      </w:pPr>
      <w:r>
        <w:rPr>
          <w:rFonts w:hint="eastAsia" w:cs="黑体" w:asciiTheme="minorEastAsia" w:hAnsiTheme="minorEastAsia"/>
          <w:b/>
          <w:bCs/>
          <w:sz w:val="44"/>
          <w:szCs w:val="44"/>
        </w:rPr>
        <w:t>2021年部门整体支出绩效评价报告</w:t>
      </w:r>
    </w:p>
    <w:p w14:paraId="2B54DF90">
      <w:pPr>
        <w:ind w:firstLine="640" w:firstLineChars="200"/>
        <w:rPr>
          <w:rFonts w:ascii="黑体" w:hAnsi="黑体" w:eastAsia="黑体" w:cs="仿宋"/>
          <w:sz w:val="32"/>
          <w:szCs w:val="32"/>
        </w:rPr>
      </w:pPr>
      <w:r>
        <w:rPr>
          <w:rFonts w:hint="eastAsia" w:ascii="黑体" w:hAnsi="黑体" w:eastAsia="黑体" w:cs="仿宋"/>
          <w:sz w:val="32"/>
          <w:szCs w:val="32"/>
        </w:rPr>
        <w:t>一、基本概况</w:t>
      </w:r>
    </w:p>
    <w:p w14:paraId="741A3841">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(一)部门主要职责职能</w:t>
      </w:r>
    </w:p>
    <w:p w14:paraId="1FE7D198">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巨鹿镇党委是党在农村的基层组织，是党在农村全部工作和战斗力的基础，全面领导本乡镇的工作和基层社会治理，支持和保证行政组织、经济组织和群众自治组织充分行使职权。巨鹿镇人大是基层地方国家权力机关，加强基层政权、推进基层民主法治建设和政治文明建设。巨鹿镇政府是本级人民代表大会的执行机关，是本级国家行政机关，依法行使行政职权。</w:t>
      </w:r>
    </w:p>
    <w:p w14:paraId="3DA7C8BB">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巨鹿镇主要围绕加强党的领导、夯实基层政权，促进经济发展、增加农民收入，优化公共服务、着力改善民生，强化社会治理、维护社会稳定，推进基层民主、促进农村和谐，改善生态环境、提升乡风文明等方面履行职能。巨鹿镇党委、人大、政府主要职责是：</w:t>
      </w:r>
    </w:p>
    <w:p w14:paraId="7DB1EB42">
      <w:pPr>
        <w:numPr>
          <w:ilvl w:val="0"/>
          <w:numId w:val="0"/>
        </w:num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宣传贯彻执行党的路线方针政策和党中央、上级党组织及本乡镇党员代表大会（党员大会）的决议。贯彻执行法律、法规、规章和上级人民代表大会及其常务委员会决议及上级政府的决定、命令，执行本级人民代表大会的决议。   </w:t>
      </w:r>
    </w:p>
    <w:p w14:paraId="7652E069">
      <w:pPr>
        <w:adjustRightInd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讨论和决定本乡镇经济建设、政治建设、文化建设、社会建设、生态文明建设和党的建设以及乡村振兴战略中的重大问题。</w:t>
      </w:r>
    </w:p>
    <w:p w14:paraId="17DE4C1B">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组织召开本级人民代表大会，充分行使重大事项决定权、监督权和任免权，做好人大代表工作，联系选民、反映群众意见和要求。    </w:t>
      </w:r>
    </w:p>
    <w:p w14:paraId="52C1636E">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执行本行政区域内的经济和社会发展计划、预算，管理本行政区域内的经济、教育、科学、文化、卫生健康、体育事业和财政、统计、民政、司法行政等行政工作。落实本行政区域内发展规划、专项规划、区域规划、国土空间规划。    </w:t>
      </w:r>
    </w:p>
    <w:p w14:paraId="1EAAC08D">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619A5130">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加强乡镇党委自身建设和村党组织建设，以及其他隶属乡镇党委的党组织建设，抓好发展党员工作，加强党员队伍建设；维护和执行党的纪律，监督党员干部和其他任何工作人员严格遵守国家法律法规。</w:t>
      </w:r>
    </w:p>
    <w:p w14:paraId="77FE8C71">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按照干部管理权限，负责对干部的教育、培训、选拔、考核和监督工作。协助管理上级有关部门驻乡镇单位的干部。做好人才服务工作。     </w:t>
      </w:r>
    </w:p>
    <w:p w14:paraId="0D5CC154">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     </w:t>
      </w:r>
    </w:p>
    <w:p w14:paraId="781C1070">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F518F38">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承办上级党委、人大、政府交办的其他事项。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14:paraId="0D3AA67B">
      <w:pPr>
        <w:numPr>
          <w:ilvl w:val="0"/>
          <w:numId w:val="1"/>
        </w:numPr>
        <w:adjustRightInd w:val="0"/>
        <w:ind w:left="480" w:leftChars="0" w:firstLine="0" w:firstLineChars="0"/>
        <w:rPr>
          <w:rFonts w:hint="eastAsia" w:ascii="仿宋" w:hAnsi="仿宋" w:eastAsia="仿宋" w:cs="仿宋"/>
          <w:sz w:val="32"/>
          <w:szCs w:val="32"/>
        </w:rPr>
      </w:pPr>
      <w:r>
        <w:rPr>
          <w:rFonts w:hint="eastAsia" w:ascii="仿宋" w:hAnsi="仿宋" w:eastAsia="仿宋" w:cs="仿宋"/>
          <w:sz w:val="32"/>
          <w:szCs w:val="32"/>
        </w:rPr>
        <w:t>人员及资产情况。</w:t>
      </w:r>
    </w:p>
    <w:p w14:paraId="5F5B1ECA">
      <w:pPr>
        <w:numPr>
          <w:ilvl w:val="0"/>
          <w:numId w:val="0"/>
        </w:numPr>
        <w:adjustRightInd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巨鹿镇</w:t>
      </w:r>
      <w:r>
        <w:rPr>
          <w:rFonts w:hint="eastAsia" w:ascii="仿宋" w:hAnsi="仿宋" w:eastAsia="仿宋" w:cs="仿宋"/>
          <w:sz w:val="32"/>
          <w:szCs w:val="32"/>
        </w:rPr>
        <w:t>人民政府部门2021年末人员编制</w:t>
      </w:r>
      <w:r>
        <w:rPr>
          <w:rFonts w:hint="eastAsia" w:ascii="仿宋" w:hAnsi="仿宋" w:eastAsia="仿宋" w:cs="仿宋"/>
          <w:sz w:val="32"/>
          <w:szCs w:val="32"/>
          <w:lang w:val="en-US" w:eastAsia="zh-CN"/>
        </w:rPr>
        <w:t>101</w:t>
      </w:r>
      <w:r>
        <w:rPr>
          <w:rFonts w:hint="eastAsia" w:ascii="仿宋" w:hAnsi="仿宋" w:eastAsia="仿宋" w:cs="仿宋"/>
          <w:sz w:val="32"/>
          <w:szCs w:val="32"/>
        </w:rPr>
        <w:t>人。其中：公务员实有人数</w:t>
      </w:r>
      <w:r>
        <w:rPr>
          <w:rFonts w:hint="eastAsia" w:ascii="仿宋" w:hAnsi="仿宋" w:eastAsia="仿宋" w:cs="仿宋"/>
          <w:sz w:val="32"/>
          <w:szCs w:val="32"/>
          <w:lang w:val="en-US" w:eastAsia="zh-CN"/>
        </w:rPr>
        <w:t>34</w:t>
      </w:r>
      <w:r>
        <w:rPr>
          <w:rFonts w:hint="eastAsia" w:ascii="仿宋" w:hAnsi="仿宋" w:eastAsia="仿宋" w:cs="仿宋"/>
          <w:sz w:val="32"/>
          <w:szCs w:val="32"/>
        </w:rPr>
        <w:t>人、工勤人员</w:t>
      </w:r>
      <w:r>
        <w:rPr>
          <w:rFonts w:hint="eastAsia" w:ascii="仿宋" w:hAnsi="仿宋" w:eastAsia="仿宋" w:cs="仿宋"/>
          <w:sz w:val="32"/>
          <w:szCs w:val="32"/>
          <w:lang w:val="en-US" w:eastAsia="zh-CN"/>
        </w:rPr>
        <w:t>1</w:t>
      </w:r>
      <w:r>
        <w:rPr>
          <w:rFonts w:hint="eastAsia" w:ascii="仿宋" w:hAnsi="仿宋" w:eastAsia="仿宋" w:cs="仿宋"/>
          <w:sz w:val="32"/>
          <w:szCs w:val="32"/>
        </w:rPr>
        <w:t>人、事业人员</w:t>
      </w:r>
      <w:r>
        <w:rPr>
          <w:rFonts w:hint="eastAsia" w:ascii="仿宋" w:hAnsi="仿宋" w:eastAsia="仿宋" w:cs="仿宋"/>
          <w:sz w:val="32"/>
          <w:szCs w:val="32"/>
          <w:lang w:val="en-US" w:eastAsia="zh-CN"/>
        </w:rPr>
        <w:t>66</w:t>
      </w:r>
      <w:r>
        <w:rPr>
          <w:rFonts w:hint="eastAsia" w:ascii="仿宋" w:hAnsi="仿宋" w:eastAsia="仿宋" w:cs="仿宋"/>
          <w:sz w:val="32"/>
          <w:szCs w:val="32"/>
        </w:rPr>
        <w:t>人。实有车辆编制3辆，在编实有车辆3辆。上年末固定资产金额为 110.764 万元</w:t>
      </w:r>
      <w:r>
        <w:rPr>
          <w:rFonts w:hint="eastAsia" w:ascii="仿宋" w:hAnsi="仿宋" w:eastAsia="仿宋" w:cs="仿宋"/>
          <w:sz w:val="32"/>
          <w:szCs w:val="32"/>
          <w:lang w:val="en-US" w:eastAsia="zh-CN"/>
        </w:rPr>
        <w:t>.</w:t>
      </w:r>
    </w:p>
    <w:p w14:paraId="41A791C2">
      <w:pPr>
        <w:numPr>
          <w:ilvl w:val="0"/>
          <w:numId w:val="1"/>
        </w:numPr>
        <w:adjustRightInd w:val="0"/>
        <w:ind w:left="480" w:leftChars="0" w:firstLine="0" w:firstLineChars="0"/>
        <w:rPr>
          <w:rFonts w:hint="eastAsia" w:ascii="仿宋" w:hAnsi="仿宋" w:eastAsia="仿宋" w:cs="仿宋"/>
          <w:sz w:val="32"/>
          <w:szCs w:val="32"/>
        </w:rPr>
      </w:pPr>
      <w:r>
        <w:rPr>
          <w:rFonts w:hint="eastAsia" w:ascii="仿宋" w:hAnsi="仿宋" w:eastAsia="仿宋" w:cs="仿宋"/>
          <w:sz w:val="32"/>
          <w:szCs w:val="32"/>
        </w:rPr>
        <w:t>部门履职总体目标。</w:t>
      </w:r>
    </w:p>
    <w:p w14:paraId="022F78D4">
      <w:pPr>
        <w:numPr>
          <w:ilvl w:val="0"/>
          <w:numId w:val="0"/>
        </w:num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深入落实上级决策部署，坚持稳中求进工作总基调，坚持高质量发展根本要求，紧紧围绕强化招商、服务项目、环境保护等核心工作，以基础设施建设、土地流转等重点工作为抓手,大力提升巨鹿镇综合承载能力和整体形象，切实做好各项重点工作。①编制辖区的总体规划和经济、社会发展规划，经批准后组织实施；②编制辖区区域性城市发展规划、国土利用规划，经批准后组织实施；③审批或审核辖区固定资产投资项目；负责辖区基础设施建设和公共设施的建设和管理；④负责辖区内财政预算、决算、国有资产管理和财政监督工作；⑤负责招商引资、进出口贸易和国内外经济技术合作工作；⑥负责辖区环境保护和安全生产监督管理工作；⑦负责辖区教育、文化、人口和计划生育等社会事物管理工作；⑧负责协调辖区内上级有关部门派驻机构的工作；⑨负责巨鹿县人民政府交办的其他事项。</w:t>
      </w:r>
    </w:p>
    <w:p w14:paraId="36D0B29E">
      <w:pPr>
        <w:numPr>
          <w:ilvl w:val="0"/>
          <w:numId w:val="1"/>
        </w:numPr>
        <w:adjustRightInd w:val="0"/>
        <w:ind w:left="480" w:leftChars="0" w:firstLine="0" w:firstLineChars="0"/>
        <w:rPr>
          <w:rFonts w:hint="eastAsia" w:ascii="仿宋" w:hAnsi="仿宋" w:eastAsia="仿宋" w:cs="仿宋"/>
          <w:sz w:val="32"/>
          <w:szCs w:val="32"/>
        </w:rPr>
      </w:pPr>
      <w:r>
        <w:rPr>
          <w:rFonts w:hint="eastAsia" w:ascii="仿宋" w:hAnsi="仿宋" w:eastAsia="仿宋" w:cs="仿宋"/>
          <w:sz w:val="32"/>
          <w:szCs w:val="32"/>
        </w:rPr>
        <w:t>年度整体绩效目标和工作任务。</w:t>
      </w:r>
    </w:p>
    <w:p w14:paraId="3200456C">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绩效目标：执行本级人大的决议和上级的决定和命令，发布决定和命令；执行本行政区域内的经济和社会发展计划、预算，管理本行政区域内的经济、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办理上级人民政府交办的其他事项。</w:t>
      </w:r>
    </w:p>
    <w:p w14:paraId="400D9DFA">
      <w:pPr>
        <w:numPr>
          <w:ilvl w:val="0"/>
          <w:numId w:val="1"/>
        </w:numPr>
        <w:adjustRightInd w:val="0"/>
        <w:ind w:left="48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预算资金安排及资金支出情况。</w:t>
      </w:r>
    </w:p>
    <w:p w14:paraId="07B6E8FA">
      <w:pPr>
        <w:numPr>
          <w:ilvl w:val="0"/>
          <w:numId w:val="0"/>
        </w:num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2021年预算收入2893.87万元，其中：一般公共预算收入1119.3万元，政府性基金收入1774.57万元。</w:t>
      </w:r>
    </w:p>
    <w:p w14:paraId="41FD2379">
      <w:pPr>
        <w:numPr>
          <w:ilvl w:val="0"/>
          <w:numId w:val="0"/>
        </w:num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2021年支出预算为2893.87万元，其中基本支出655.89万元，包括人员经费603.29万元和日常公用经费52.6万元；项目支出2237.98万元，全部为本级支出，主要是：一般公共服务支出 235.67 万元，社会保障和就业支出 81.74万元，卫生健康支出29万元，节能环保支出 10万元，城乡社区支出1774.57万元，农林水支出 82 万元，住房保障支出25万元。</w:t>
      </w:r>
    </w:p>
    <w:p w14:paraId="66E2D899">
      <w:pPr>
        <w:ind w:firstLine="640" w:firstLineChars="200"/>
        <w:rPr>
          <w:rFonts w:hint="eastAsia" w:ascii="黑体" w:hAnsi="黑体" w:eastAsia="黑体" w:cs="仿宋"/>
          <w:sz w:val="32"/>
          <w:szCs w:val="32"/>
        </w:rPr>
      </w:pPr>
      <w:r>
        <w:rPr>
          <w:rFonts w:hint="eastAsia" w:ascii="黑体" w:hAnsi="黑体" w:eastAsia="黑体" w:cs="仿宋"/>
          <w:sz w:val="32"/>
          <w:szCs w:val="32"/>
          <w:lang w:val="en-US" w:eastAsia="zh-CN"/>
        </w:rPr>
        <w:t>二、</w:t>
      </w:r>
      <w:r>
        <w:rPr>
          <w:rFonts w:hint="eastAsia" w:ascii="黑体" w:hAnsi="黑体" w:eastAsia="黑体" w:cs="仿宋"/>
          <w:sz w:val="32"/>
          <w:szCs w:val="32"/>
        </w:rPr>
        <w:t>预算绩效管理开展及整体绩效实现情况。</w:t>
      </w:r>
    </w:p>
    <w:p w14:paraId="096FD9ED">
      <w:pPr>
        <w:numPr>
          <w:ilvl w:val="0"/>
          <w:numId w:val="2"/>
        </w:numPr>
        <w:adjustRightInd w:val="0"/>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部门开展预算绩效管理情况。</w:t>
      </w:r>
    </w:p>
    <w:p w14:paraId="538C75BE">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1.财务管理情况：一是建立健全财务制度，实现政府财务管理的规范化和法制化；二是加强预算管理，确保职能的有效履行；三是加强收支管理，提高资金使用效率；四是加强资产管理，确保国有资产的保值和增值；五是加强财务分析和财务监督，保证政府财务活动的合理性和合法性。</w:t>
      </w:r>
    </w:p>
    <w:p w14:paraId="64BA7A24">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2.决算组织情况：严格按县财政局预算股、国库股部门决算部署会的安排要求，精心组织开展决算工作。</w:t>
      </w:r>
    </w:p>
    <w:p w14:paraId="31DBFCCD">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3.编报情况：决算编制的过程中注重对各部门预算单位预算执行的分析、资金绩效的评价。为继续实行部门预算科学化、标准化、精细化管理打下坚实的基础，同时提高预算执行过程中的前瞻性、连续性、约束性。</w:t>
      </w:r>
    </w:p>
    <w:p w14:paraId="22251037">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4.审核情况：预决算编制后，由各部门进行审核，审核无误，报经镇人民政府镇长、分管副镇长审核汇总上报县财政局。</w:t>
      </w:r>
    </w:p>
    <w:p w14:paraId="1FF38922">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（二）工作履行活动完成情况。</w:t>
      </w:r>
    </w:p>
    <w:p w14:paraId="5EE43385">
      <w:pPr>
        <w:pStyle w:val="2"/>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经过对部门整体支出的“目标设定”的合理性、明确性，“预算配置”的合理性、科学性，“预算执行、管理”的合法合规性、完整性，“资产管理”的合法合规性、规范性，“履职产出和效果”的真实性、相关性等方面进行全面详细分析计算，2021年度部门整体支出绩效自评综合得分91分。</w:t>
      </w:r>
    </w:p>
    <w:p w14:paraId="0BC96B0A">
      <w:pPr>
        <w:numPr>
          <w:ilvl w:val="0"/>
          <w:numId w:val="0"/>
        </w:num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实施履职活动产生的效果或服务对象满意程度。</w:t>
      </w:r>
    </w:p>
    <w:p w14:paraId="175BFC1A">
      <w:pPr>
        <w:pStyle w:val="2"/>
        <w:numPr>
          <w:ilvl w:val="0"/>
          <w:numId w:val="0"/>
        </w:numPr>
        <w:rPr>
          <w:rFonts w:hint="eastAsia"/>
        </w:rPr>
      </w:pPr>
      <w:r>
        <w:rPr>
          <w:rFonts w:hint="eastAsia" w:ascii="仿宋" w:hAnsi="仿宋" w:eastAsia="仿宋" w:cs="仿宋"/>
          <w:b w:val="0"/>
          <w:bCs/>
          <w:kern w:val="2"/>
          <w:sz w:val="32"/>
          <w:szCs w:val="32"/>
          <w:lang w:val="en-US" w:eastAsia="zh-CN" w:bidi="ar-SA"/>
        </w:rPr>
        <w:t>通过对部门的服务对象对部门履职效果的满意程度调查，反社会公众或服务对象对部门履职的满意度为优秀。</w:t>
      </w:r>
    </w:p>
    <w:p w14:paraId="35C9E7C8">
      <w:pPr>
        <w:pStyle w:val="11"/>
        <w:numPr>
          <w:ilvl w:val="0"/>
          <w:numId w:val="3"/>
        </w:numPr>
        <w:ind w:firstLine="640" w:firstLineChars="200"/>
        <w:rPr>
          <w:rFonts w:hint="eastAsia"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绩效评价的组织实施情况</w:t>
      </w:r>
    </w:p>
    <w:p w14:paraId="14ACFEC2">
      <w:pPr>
        <w:ind w:firstLine="640" w:firstLineChars="200"/>
        <w:rPr>
          <w:rFonts w:hint="eastAsia" w:ascii="仿宋" w:hAnsi="仿宋" w:eastAsia="仿宋" w:cs="仿宋"/>
          <w:sz w:val="32"/>
          <w:szCs w:val="32"/>
        </w:rPr>
      </w:pPr>
      <w:r>
        <w:rPr>
          <w:rFonts w:hint="eastAsia" w:ascii="仿宋" w:hAnsi="仿宋" w:eastAsia="仿宋" w:cs="仿宋"/>
          <w:sz w:val="32"/>
          <w:szCs w:val="32"/>
        </w:rPr>
        <w:t>（一）评价对象绩效目标</w:t>
      </w:r>
    </w:p>
    <w:p w14:paraId="63C3120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项目支出绩效自评和部门整体支出绩效自评工作，按照“谁使用、谁评价”的原则实施</w:t>
      </w:r>
      <w:r>
        <w:rPr>
          <w:rFonts w:hint="eastAsia" w:ascii="仿宋" w:hAnsi="仿宋" w:eastAsia="仿宋" w:cs="仿宋"/>
          <w:sz w:val="32"/>
          <w:szCs w:val="32"/>
          <w:lang w:eastAsia="zh-CN"/>
        </w:rPr>
        <w:t>。评价对象的绩效目标依据项目申报时填写的年度总体目标，参照目标的年度具体完成情况评价。</w:t>
      </w:r>
    </w:p>
    <w:p w14:paraId="7FE16D68">
      <w:pPr>
        <w:numPr>
          <w:ilvl w:val="0"/>
          <w:numId w:val="4"/>
        </w:numPr>
        <w:ind w:firstLine="640" w:firstLineChars="200"/>
        <w:rPr>
          <w:rFonts w:hint="eastAsia" w:ascii="仿宋" w:hAnsi="仿宋" w:eastAsia="仿宋" w:cs="仿宋"/>
          <w:sz w:val="32"/>
          <w:szCs w:val="32"/>
        </w:rPr>
      </w:pPr>
      <w:r>
        <w:rPr>
          <w:rFonts w:hint="eastAsia" w:ascii="仿宋" w:hAnsi="仿宋" w:eastAsia="仿宋" w:cs="仿宋"/>
          <w:sz w:val="32"/>
          <w:szCs w:val="32"/>
        </w:rPr>
        <w:t>绩效指标</w:t>
      </w:r>
    </w:p>
    <w:p w14:paraId="3AFBB007">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开展</w:t>
      </w:r>
      <w:r>
        <w:rPr>
          <w:rFonts w:hint="eastAsia" w:ascii="仿宋" w:hAnsi="仿宋" w:eastAsia="仿宋" w:cs="仿宋"/>
          <w:sz w:val="32"/>
          <w:szCs w:val="32"/>
        </w:rPr>
        <w:t>项目支出绩效自评</w:t>
      </w:r>
      <w:r>
        <w:rPr>
          <w:rFonts w:hint="eastAsia" w:ascii="仿宋" w:hAnsi="仿宋" w:eastAsia="仿宋" w:cs="仿宋"/>
          <w:sz w:val="32"/>
          <w:szCs w:val="32"/>
          <w:lang w:eastAsia="zh-CN"/>
        </w:rPr>
        <w:t>活动，</w:t>
      </w:r>
      <w:r>
        <w:rPr>
          <w:rFonts w:hint="eastAsia" w:ascii="仿宋" w:hAnsi="仿宋" w:eastAsia="仿宋" w:cs="仿宋"/>
          <w:sz w:val="32"/>
          <w:szCs w:val="32"/>
        </w:rPr>
        <w:t>主要是从工作项目</w:t>
      </w:r>
      <w:r>
        <w:rPr>
          <w:rFonts w:hint="eastAsia" w:ascii="仿宋" w:hAnsi="仿宋" w:eastAsia="仿宋" w:cs="仿宋"/>
          <w:sz w:val="32"/>
          <w:szCs w:val="32"/>
          <w:lang w:eastAsia="zh-CN"/>
        </w:rPr>
        <w:t>产出指标</w:t>
      </w:r>
      <w:r>
        <w:rPr>
          <w:rFonts w:hint="eastAsia" w:ascii="仿宋" w:hAnsi="仿宋" w:eastAsia="仿宋" w:cs="仿宋"/>
          <w:sz w:val="32"/>
          <w:szCs w:val="32"/>
        </w:rPr>
        <w:t>、工作项目</w:t>
      </w:r>
      <w:r>
        <w:rPr>
          <w:rFonts w:hint="eastAsia" w:ascii="仿宋" w:hAnsi="仿宋" w:eastAsia="仿宋" w:cs="仿宋"/>
          <w:sz w:val="32"/>
          <w:szCs w:val="32"/>
          <w:lang w:eastAsia="zh-CN"/>
        </w:rPr>
        <w:t>效益指标</w:t>
      </w:r>
      <w:r>
        <w:rPr>
          <w:rFonts w:hint="eastAsia" w:ascii="仿宋" w:hAnsi="仿宋" w:eastAsia="仿宋" w:cs="仿宋"/>
          <w:sz w:val="32"/>
          <w:szCs w:val="32"/>
        </w:rPr>
        <w:t>、工作项目</w:t>
      </w:r>
      <w:r>
        <w:rPr>
          <w:rFonts w:hint="eastAsia" w:ascii="仿宋" w:hAnsi="仿宋" w:eastAsia="仿宋" w:cs="仿宋"/>
          <w:sz w:val="32"/>
          <w:szCs w:val="32"/>
          <w:lang w:eastAsia="zh-CN"/>
        </w:rPr>
        <w:t>满意度指标</w:t>
      </w:r>
      <w:r>
        <w:rPr>
          <w:rFonts w:hint="eastAsia" w:ascii="仿宋" w:hAnsi="仿宋" w:eastAsia="仿宋" w:cs="仿宋"/>
          <w:sz w:val="32"/>
          <w:szCs w:val="32"/>
        </w:rPr>
        <w:t>和工作项目</w:t>
      </w:r>
      <w:r>
        <w:rPr>
          <w:rFonts w:hint="eastAsia" w:ascii="仿宋" w:hAnsi="仿宋" w:eastAsia="仿宋" w:cs="仿宋"/>
          <w:sz w:val="32"/>
          <w:szCs w:val="32"/>
          <w:lang w:eastAsia="zh-CN"/>
        </w:rPr>
        <w:t>预算执行率</w:t>
      </w:r>
      <w:r>
        <w:rPr>
          <w:rFonts w:hint="eastAsia" w:ascii="仿宋" w:hAnsi="仿宋" w:eastAsia="仿宋" w:cs="仿宋"/>
          <w:sz w:val="32"/>
          <w:szCs w:val="32"/>
        </w:rPr>
        <w:t>四个方面进行评价</w:t>
      </w:r>
      <w:r>
        <w:rPr>
          <w:rFonts w:hint="eastAsia" w:ascii="仿宋" w:hAnsi="仿宋" w:eastAsia="仿宋" w:cs="仿宋"/>
          <w:sz w:val="32"/>
          <w:szCs w:val="32"/>
          <w:lang w:eastAsia="zh-CN"/>
        </w:rPr>
        <w:t>，其中产出指标具体分为数量、质量、实效、成本四个维度，效益指标分为经济效益、社会效益、生态效益、可持续影响四个维度。</w:t>
      </w:r>
    </w:p>
    <w:p w14:paraId="6E670384">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评价标准和评价方法</w:t>
      </w:r>
    </w:p>
    <w:p w14:paraId="38608B30">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评价标准主要采取定性与定量相结合的评分标准，采用定量与定性相结合的评价方法，具体步骤如下：</w:t>
      </w:r>
    </w:p>
    <w:p w14:paraId="1AADA9B1">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1.收集绩效信息。全面收集、系统整理各项绩效指标实际完成值和实现程度。</w:t>
      </w:r>
    </w:p>
    <w:p w14:paraId="54DA394F">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2.计算自评得分。将每个项目各绩效指标实际完成值与年初设定的预期值比较，逐项评定每项指标得分，汇总形成项目自评最终得分。</w:t>
      </w:r>
    </w:p>
    <w:p w14:paraId="57A03EEC">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3.填写绩效自评表。按照绩效自评表要求，逐项填写各绩效指标得分、项目绩效自评最终得分，简要分析绩效存在问题及原因、提出改进措施。</w:t>
      </w:r>
    </w:p>
    <w:p w14:paraId="1C54705A">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4.自评情况总结。根据项目绩效自评结果，形成部门整体支出绩效评价体系评分表和评价报告。</w:t>
      </w:r>
    </w:p>
    <w:p w14:paraId="2BFDE69D">
      <w:pPr>
        <w:pStyle w:val="11"/>
        <w:numPr>
          <w:ilvl w:val="0"/>
          <w:numId w:val="0"/>
        </w:numPr>
        <w:ind w:firstLine="640" w:firstLineChars="200"/>
        <w:rPr>
          <w:rFonts w:hint="eastAsia" w:ascii="黑体" w:hAnsi="黑体" w:eastAsia="黑体" w:cs="仿宋"/>
          <w:sz w:val="32"/>
          <w:szCs w:val="32"/>
        </w:rPr>
      </w:pPr>
      <w:r>
        <w:rPr>
          <w:rFonts w:hint="eastAsia" w:ascii="黑体" w:hAnsi="黑体" w:eastAsia="黑体" w:cs="仿宋"/>
          <w:sz w:val="32"/>
          <w:szCs w:val="32"/>
        </w:rPr>
        <w:t>四、各项绩效目标的实现程度及差异性原因分析。</w:t>
      </w:r>
    </w:p>
    <w:p w14:paraId="315D7FEC">
      <w:pPr>
        <w:pStyle w:val="11"/>
        <w:numPr>
          <w:ilvl w:val="0"/>
          <w:numId w:val="0"/>
        </w:numPr>
        <w:ind w:firstLine="640" w:firstLineChars="200"/>
        <w:rPr>
          <w:rFonts w:hint="eastAsia" w:ascii="黑体" w:hAnsi="黑体" w:eastAsia="黑体" w:cs="仿宋"/>
          <w:sz w:val="32"/>
          <w:szCs w:val="32"/>
        </w:rPr>
      </w:pPr>
      <w:r>
        <w:rPr>
          <w:rFonts w:hint="eastAsia" w:ascii="仿宋" w:hAnsi="仿宋" w:eastAsia="仿宋" w:cs="仿宋"/>
          <w:sz w:val="32"/>
          <w:szCs w:val="32"/>
        </w:rPr>
        <w:t>各项绩效目标均已按照预算达到100%实现，各项绩效目标存在差异性的主要原因:一是根据本单位所担负的实际职责，导致各项目存在差异；二是临时性工作量大，导致各项绩效目标差异性存在。</w:t>
      </w:r>
    </w:p>
    <w:p w14:paraId="40AAF36B">
      <w:pPr>
        <w:pStyle w:val="11"/>
        <w:numPr>
          <w:ilvl w:val="0"/>
          <w:numId w:val="0"/>
        </w:numPr>
        <w:ind w:firstLine="640" w:firstLineChars="200"/>
        <w:rPr>
          <w:rFonts w:hint="eastAsia" w:ascii="黑体" w:hAnsi="黑体" w:eastAsia="黑体" w:cs="仿宋"/>
          <w:sz w:val="32"/>
          <w:szCs w:val="32"/>
        </w:rPr>
      </w:pPr>
      <w:r>
        <w:rPr>
          <w:rFonts w:hint="eastAsia" w:ascii="黑体" w:hAnsi="黑体" w:eastAsia="黑体" w:cs="仿宋"/>
          <w:sz w:val="32"/>
          <w:szCs w:val="32"/>
        </w:rPr>
        <w:t>五、存在问题、采取的纠偏措施及改进绩效管理建议</w:t>
      </w:r>
    </w:p>
    <w:p w14:paraId="515F542E">
      <w:pPr>
        <w:pStyle w:val="11"/>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在绩效管理制度的过程中，一方面要正视绩效管理的重大作用和意义，坚持推进绩效管理的目标不动摇；另一方面要正视绩效管理推行实践中困难，把解决实践中的困难作为今后推行绩效管理工作的中心任务和主要方向。</w:t>
      </w:r>
    </w:p>
    <w:p w14:paraId="6966988B">
      <w:pPr>
        <w:pStyle w:val="11"/>
        <w:numPr>
          <w:ilvl w:val="0"/>
          <w:numId w:val="0"/>
        </w:numPr>
        <w:ind w:left="709" w:leftChars="0"/>
        <w:rPr>
          <w:rFonts w:ascii="黑体" w:hAnsi="黑体" w:eastAsia="黑体" w:cs="仿宋"/>
          <w:sz w:val="32"/>
          <w:szCs w:val="32"/>
        </w:rPr>
      </w:pPr>
      <w:r>
        <w:rPr>
          <w:rFonts w:hint="eastAsia" w:ascii="黑体" w:hAnsi="黑体" w:eastAsia="黑体" w:cs="仿宋"/>
          <w:sz w:val="32"/>
          <w:szCs w:val="32"/>
          <w:lang w:val="en-US" w:eastAsia="zh-CN"/>
        </w:rPr>
        <w:t>六、</w:t>
      </w:r>
      <w:r>
        <w:rPr>
          <w:rFonts w:hint="eastAsia" w:ascii="黑体" w:hAnsi="黑体" w:eastAsia="黑体" w:cs="仿宋"/>
          <w:sz w:val="32"/>
          <w:szCs w:val="32"/>
        </w:rPr>
        <w:t>存在问题</w:t>
      </w:r>
    </w:p>
    <w:p w14:paraId="23771FD0">
      <w:pPr>
        <w:pStyle w:val="11"/>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根据本次绩效评价情况，存在预算绩效申报时，编制的绩效目标不具体，绩效目标未完全细化分解为具体工作任务，部分绩效指标不清晰、可衡量性差。</w:t>
      </w:r>
    </w:p>
    <w:p w14:paraId="0510A842">
      <w:pPr>
        <w:pStyle w:val="11"/>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针对上述问题，责成相关业务处室在今后的预算绩效申报时，在财务和相关部门的配合下，将全年工作任务细化分解为具体的工作目标，并尽量采取定量的方式制定清晰、可衡量的绩效指标。</w:t>
      </w:r>
    </w:p>
    <w:p w14:paraId="659F7179">
      <w:pPr>
        <w:pStyle w:val="11"/>
        <w:numPr>
          <w:ilvl w:val="0"/>
          <w:numId w:val="0"/>
        </w:numPr>
        <w:ind w:firstLine="640" w:firstLineChars="200"/>
        <w:rPr>
          <w:rFonts w:hint="eastAsia"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E16F">
    <w:pPr>
      <w:pStyle w:val="4"/>
      <w:framePr w:wrap="around" w:vAnchor="text" w:hAnchor="margin" w:xAlign="outside" w:y="1"/>
      <w:rPr>
        <w:rStyle w:val="8"/>
        <w:rFonts w:ascii="宋体" w:hAnsi="宋体" w:eastAsia="宋体"/>
        <w:sz w:val="28"/>
        <w:szCs w:val="28"/>
      </w:rPr>
    </w:pPr>
    <w:r>
      <w:rPr>
        <w:rStyle w:val="8"/>
        <w:rFonts w:hint="eastAsia" w:ascii="宋体" w:hAnsi="宋体" w:eastAsia="宋体"/>
        <w:sz w:val="28"/>
        <w:szCs w:val="28"/>
      </w:rPr>
      <w:t>-</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7</w:t>
    </w:r>
    <w:r>
      <w:rPr>
        <w:rStyle w:val="8"/>
        <w:rFonts w:ascii="宋体" w:hAnsi="宋体" w:eastAsia="宋体"/>
        <w:sz w:val="28"/>
        <w:szCs w:val="28"/>
      </w:rPr>
      <w:fldChar w:fldCharType="end"/>
    </w:r>
    <w:r>
      <w:rPr>
        <w:rStyle w:val="8"/>
        <w:rFonts w:hint="eastAsia" w:ascii="宋体" w:hAnsi="宋体" w:eastAsia="宋体"/>
        <w:sz w:val="28"/>
        <w:szCs w:val="28"/>
      </w:rPr>
      <w:t>-</w:t>
    </w:r>
  </w:p>
  <w:p w14:paraId="529C14D1">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1C22">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38C38FE1">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A341D"/>
    <w:multiLevelType w:val="singleLevel"/>
    <w:tmpl w:val="B8BA341D"/>
    <w:lvl w:ilvl="0" w:tentative="0">
      <w:start w:val="2"/>
      <w:numFmt w:val="chineseCounting"/>
      <w:suff w:val="nothing"/>
      <w:lvlText w:val="（%1）"/>
      <w:lvlJc w:val="left"/>
      <w:rPr>
        <w:rFonts w:hint="eastAsia"/>
      </w:rPr>
    </w:lvl>
  </w:abstractNum>
  <w:abstractNum w:abstractNumId="1">
    <w:nsid w:val="CDAD0B63"/>
    <w:multiLevelType w:val="singleLevel"/>
    <w:tmpl w:val="CDAD0B63"/>
    <w:lvl w:ilvl="0" w:tentative="0">
      <w:start w:val="3"/>
      <w:numFmt w:val="chineseCounting"/>
      <w:suff w:val="nothing"/>
      <w:lvlText w:val="%1、"/>
      <w:lvlJc w:val="left"/>
      <w:rPr>
        <w:rFonts w:hint="eastAsia"/>
      </w:rPr>
    </w:lvl>
  </w:abstractNum>
  <w:abstractNum w:abstractNumId="2">
    <w:nsid w:val="0533196D"/>
    <w:multiLevelType w:val="singleLevel"/>
    <w:tmpl w:val="0533196D"/>
    <w:lvl w:ilvl="0" w:tentative="0">
      <w:start w:val="1"/>
      <w:numFmt w:val="chineseCounting"/>
      <w:suff w:val="nothing"/>
      <w:lvlText w:val="（%1）"/>
      <w:lvlJc w:val="left"/>
      <w:pPr>
        <w:ind w:left="0" w:firstLine="420"/>
      </w:pPr>
      <w:rPr>
        <w:rFonts w:hint="eastAsia"/>
      </w:rPr>
    </w:lvl>
  </w:abstractNum>
  <w:abstractNum w:abstractNumId="3">
    <w:nsid w:val="78F19734"/>
    <w:multiLevelType w:val="singleLevel"/>
    <w:tmpl w:val="78F19734"/>
    <w:lvl w:ilvl="0" w:tentative="0">
      <w:start w:val="2"/>
      <w:numFmt w:val="chineseCounting"/>
      <w:suff w:val="nothing"/>
      <w:lvlText w:val="（%1）"/>
      <w:lvlJc w:val="left"/>
      <w:pPr>
        <w:ind w:left="480" w:leftChars="0" w:firstLine="0" w:firstLineChars="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47EA"/>
    <w:rsid w:val="000B6188"/>
    <w:rsid w:val="001D2EAA"/>
    <w:rsid w:val="002C71AF"/>
    <w:rsid w:val="0036746E"/>
    <w:rsid w:val="00476898"/>
    <w:rsid w:val="00584A12"/>
    <w:rsid w:val="00661BB7"/>
    <w:rsid w:val="006A012B"/>
    <w:rsid w:val="006C0284"/>
    <w:rsid w:val="00767F1C"/>
    <w:rsid w:val="007A1805"/>
    <w:rsid w:val="008E0144"/>
    <w:rsid w:val="00C047EA"/>
    <w:rsid w:val="00C569E2"/>
    <w:rsid w:val="00C91487"/>
    <w:rsid w:val="00CA444D"/>
    <w:rsid w:val="00FC3534"/>
    <w:rsid w:val="00FE09BC"/>
    <w:rsid w:val="031155FF"/>
    <w:rsid w:val="043B16C2"/>
    <w:rsid w:val="25D24599"/>
    <w:rsid w:val="2B43159C"/>
    <w:rsid w:val="306838CB"/>
    <w:rsid w:val="56D66ABA"/>
    <w:rsid w:val="5CFD38CE"/>
    <w:rsid w:val="66705F8F"/>
    <w:rsid w:val="6EDD9A5C"/>
    <w:rsid w:val="6F35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rPr>
  </w:style>
  <w:style w:type="paragraph" w:styleId="3">
    <w:name w:val="Body Text Indent"/>
    <w:basedOn w:val="1"/>
    <w:qFormat/>
    <w:uiPriority w:val="0"/>
    <w:pPr>
      <w:spacing w:line="480" w:lineRule="auto"/>
      <w:ind w:firstLine="643" w:firstLineChars="200"/>
    </w:pPr>
    <w:rPr>
      <w:rFonts w:ascii="宋体" w:hAnsi="宋体"/>
      <w:b/>
      <w:sz w:val="24"/>
      <w:szCs w:val="36"/>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8395</Words>
  <Characters>8813</Characters>
  <Lines>4</Lines>
  <Paragraphs>1</Paragraphs>
  <TotalTime>7</TotalTime>
  <ScaleCrop>false</ScaleCrop>
  <LinksUpToDate>false</LinksUpToDate>
  <CharactersWithSpaces>8898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2022-03-02T10:51:00Z</dcterms:created>
  <dc:creator>lenovo</dc:creator>
  <cp:lastModifiedBy>迈步千里看今朝</cp:lastModifiedBy>
  <cp:lastPrinted>2022-03-03T11:27:00Z</cp:lastPrinted>
  <dcterms:modified xsi:type="dcterms:W3CDTF">2025-04-10T08:36:34Z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AEB4DDFBDDEFE6B33987BC6559BB52AE</vt:lpwstr>
  </property>
  <property fmtid="{D5CDD505-2E9C-101B-9397-08002B2CF9AE}" pid="4" name="KSOTemplateDocerSaveRecord">
    <vt:lpwstr>eyJoZGlkIjoiN2MwNDU5NDFmNGRiNDE1OGVjYWE5NTFjNjJlNmNjZjAiLCJ1c2VySWQiOiIzMzExNzI2NjUifQ==</vt:lpwstr>
  </property>
</Properties>
</file>