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ascii="宋体" w:hAnsi="宋体"/>
          <w:b/>
          <w:sz w:val="44"/>
          <w:szCs w:val="44"/>
        </w:rPr>
      </w:pPr>
    </w:p>
    <w:p>
      <w:pPr>
        <w:spacing w:line="480" w:lineRule="exact"/>
        <w:jc w:val="center"/>
        <w:rPr>
          <w:rFonts w:ascii="仿宋" w:hAnsi="仿宋" w:eastAsia="仿宋" w:cs="仿宋"/>
          <w:sz w:val="32"/>
          <w:szCs w:val="32"/>
        </w:rPr>
      </w:pPr>
      <w:r>
        <w:rPr>
          <w:rFonts w:hint="eastAsia" w:ascii="宋体" w:hAnsi="宋体"/>
          <w:b/>
          <w:sz w:val="44"/>
          <w:szCs w:val="44"/>
        </w:rPr>
        <w:t>部门整体支出绩效评价</w:t>
      </w:r>
      <w:r>
        <w:rPr>
          <w:rFonts w:hint="eastAsia" w:ascii="宋体" w:hAnsi="宋体" w:eastAsia="宋体" w:cs="宋体"/>
          <w:b/>
          <w:color w:val="000000"/>
          <w:kern w:val="0"/>
          <w:sz w:val="44"/>
          <w:szCs w:val="44"/>
          <w:shd w:val="clear" w:color="auto" w:fill="FFFFFF"/>
        </w:rPr>
        <w:t>指标体系评分表</w:t>
      </w:r>
    </w:p>
    <w:tbl>
      <w:tblPr>
        <w:tblStyle w:val="8"/>
        <w:tblW w:w="937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9"/>
        <w:gridCol w:w="743"/>
        <w:gridCol w:w="1275"/>
        <w:gridCol w:w="3436"/>
        <w:gridCol w:w="2373"/>
        <w:gridCol w:w="7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9" w:hRule="atLeast"/>
        </w:trPr>
        <w:tc>
          <w:tcPr>
            <w:tcW w:w="77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b/>
              </w:rPr>
            </w:pPr>
            <w:r>
              <w:rPr>
                <w:rFonts w:ascii="仿宋_GB2312" w:hAnsi="新宋体" w:eastAsia="仿宋_GB2312" w:cs="仿宋_GB2312"/>
                <w:b/>
                <w:kern w:val="0"/>
                <w:sz w:val="24"/>
                <w:szCs w:val="24"/>
              </w:rPr>
              <w:t>一级指标</w:t>
            </w:r>
          </w:p>
        </w:tc>
        <w:tc>
          <w:tcPr>
            <w:tcW w:w="743"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b/>
              </w:rPr>
            </w:pPr>
            <w:r>
              <w:rPr>
                <w:rFonts w:ascii="仿宋_GB2312" w:hAnsi="新宋体" w:eastAsia="仿宋_GB2312" w:cs="仿宋_GB2312"/>
                <w:b/>
                <w:kern w:val="0"/>
                <w:sz w:val="24"/>
                <w:szCs w:val="24"/>
              </w:rPr>
              <w:t>二级指标</w:t>
            </w:r>
          </w:p>
        </w:tc>
        <w:tc>
          <w:tcPr>
            <w:tcW w:w="4711" w:type="dxa"/>
            <w:gridSpan w:val="2"/>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center"/>
              <w:rPr>
                <w:b/>
              </w:rPr>
            </w:pPr>
            <w:r>
              <w:rPr>
                <w:rFonts w:ascii="仿宋_GB2312" w:hAnsi="新宋体" w:eastAsia="仿宋_GB2312" w:cs="仿宋_GB2312"/>
                <w:b/>
                <w:kern w:val="0"/>
                <w:sz w:val="24"/>
                <w:szCs w:val="24"/>
              </w:rPr>
              <w:t>三级指标</w:t>
            </w:r>
          </w:p>
        </w:tc>
        <w:tc>
          <w:tcPr>
            <w:tcW w:w="2373" w:type="dxa"/>
            <w:vMerge w:val="restart"/>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center"/>
              <w:rPr>
                <w:b/>
              </w:rPr>
            </w:pPr>
            <w:r>
              <w:rPr>
                <w:rFonts w:ascii="仿宋_GB2312" w:hAnsi="新宋体" w:eastAsia="仿宋_GB2312" w:cs="仿宋_GB2312"/>
                <w:b/>
                <w:kern w:val="0"/>
                <w:sz w:val="24"/>
                <w:szCs w:val="24"/>
              </w:rPr>
              <w:t>评分标准</w:t>
            </w:r>
          </w:p>
        </w:tc>
        <w:tc>
          <w:tcPr>
            <w:tcW w:w="764" w:type="dxa"/>
            <w:vMerge w:val="restart"/>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b/>
              </w:rPr>
            </w:pPr>
            <w:r>
              <w:rPr>
                <w:rFonts w:ascii="仿宋_GB2312" w:hAnsi="新宋体" w:eastAsia="仿宋_GB2312" w:cs="仿宋_GB2312"/>
                <w:b/>
                <w:kern w:val="0"/>
                <w:sz w:val="24"/>
                <w:szCs w:val="24"/>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4"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center"/>
              <w:rPr>
                <w:b/>
              </w:rPr>
            </w:pPr>
            <w:r>
              <w:rPr>
                <w:rFonts w:ascii="仿宋_GB2312" w:hAnsi="新宋体" w:eastAsia="仿宋_GB2312" w:cs="仿宋_GB2312"/>
                <w:b/>
                <w:kern w:val="0"/>
                <w:sz w:val="24"/>
                <w:szCs w:val="24"/>
              </w:rPr>
              <w:t>指标名称</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center"/>
              <w:rPr>
                <w:b/>
              </w:rPr>
            </w:pPr>
            <w:r>
              <w:rPr>
                <w:rFonts w:ascii="仿宋_GB2312" w:hAnsi="新宋体" w:eastAsia="仿宋_GB2312" w:cs="仿宋_GB2312"/>
                <w:b/>
                <w:kern w:val="0"/>
                <w:sz w:val="24"/>
                <w:szCs w:val="24"/>
              </w:rPr>
              <w:t>指标解释说明</w:t>
            </w:r>
          </w:p>
        </w:tc>
        <w:tc>
          <w:tcPr>
            <w:tcW w:w="2373" w:type="dxa"/>
            <w:vMerge w:val="continue"/>
            <w:tcBorders>
              <w:top w:val="single" w:color="000000" w:sz="4" w:space="0"/>
              <w:left w:val="single" w:color="auto" w:sz="4" w:space="0"/>
              <w:bottom w:val="single" w:color="000000" w:sz="4" w:space="0"/>
              <w:right w:val="single" w:color="auto" w:sz="4" w:space="0"/>
            </w:tcBorders>
            <w:vAlign w:val="center"/>
          </w:tcPr>
          <w:p>
            <w:pPr>
              <w:rPr>
                <w:rFonts w:ascii="宋体"/>
                <w:szCs w:val="21"/>
              </w:rPr>
            </w:pPr>
          </w:p>
        </w:tc>
        <w:tc>
          <w:tcPr>
            <w:tcW w:w="764" w:type="dxa"/>
            <w:vMerge w:val="continue"/>
            <w:tcBorders>
              <w:top w:val="single" w:color="000000" w:sz="4" w:space="0"/>
              <w:left w:val="single" w:color="auto" w:sz="4" w:space="0"/>
              <w:bottom w:val="single" w:color="000000" w:sz="4" w:space="0"/>
              <w:right w:val="single" w:color="auto" w:sz="4" w:space="0"/>
            </w:tcBorders>
            <w:vAlign w:val="center"/>
          </w:tcPr>
          <w:p>
            <w:pPr>
              <w:rPr>
                <w:rFonts w:asci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8" w:hRule="atLeast"/>
        </w:trPr>
        <w:tc>
          <w:tcPr>
            <w:tcW w:w="77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投入（10）</w:t>
            </w:r>
          </w:p>
        </w:tc>
        <w:tc>
          <w:tcPr>
            <w:tcW w:w="743"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绩效目标设定情况</w:t>
            </w:r>
          </w:p>
          <w:p>
            <w:pPr>
              <w:widowControl/>
              <w:spacing w:line="240" w:lineRule="exact"/>
              <w:jc w:val="left"/>
              <w:rPr>
                <w:rFonts w:ascii="仿宋_GB2312" w:hAnsi="仿宋_GB2312" w:eastAsia="仿宋_GB2312" w:cs="仿宋_GB2312"/>
                <w:color w:val="FF0000"/>
                <w:szCs w:val="21"/>
              </w:rPr>
            </w:pPr>
            <w:r>
              <w:rPr>
                <w:rFonts w:hint="eastAsia" w:ascii="仿宋_GB2312" w:hAnsi="仿宋_GB2312" w:eastAsia="仿宋_GB2312" w:cs="仿宋_GB2312"/>
                <w:kern w:val="0"/>
                <w:szCs w:val="21"/>
              </w:rPr>
              <w:t>（5分）</w:t>
            </w:r>
          </w:p>
        </w:tc>
        <w:tc>
          <w:tcPr>
            <w:tcW w:w="1275" w:type="dxa"/>
            <w:tcBorders>
              <w:top w:val="single" w:color="000000" w:sz="4" w:space="0"/>
              <w:left w:val="single" w:color="000000" w:sz="4" w:space="0"/>
              <w:bottom w:val="single" w:color="auto" w:sz="4" w:space="0"/>
              <w:right w:val="single" w:color="auto"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职责明确 （1分）</w:t>
            </w:r>
          </w:p>
        </w:tc>
        <w:tc>
          <w:tcPr>
            <w:tcW w:w="3436"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部门的职责设定是否符合“三定”方案中所赋予的职责，用以反映和评价部门工作的目的性与计划性。</w:t>
            </w:r>
          </w:p>
        </w:tc>
        <w:tc>
          <w:tcPr>
            <w:tcW w:w="2373"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符合（1）；</w:t>
            </w:r>
          </w:p>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不符合（0）。</w:t>
            </w:r>
          </w:p>
        </w:tc>
        <w:tc>
          <w:tcPr>
            <w:tcW w:w="764" w:type="dxa"/>
            <w:tcBorders>
              <w:top w:val="single" w:color="000000" w:sz="4" w:space="0"/>
              <w:left w:val="single" w:color="auto" w:sz="4" w:space="0"/>
              <w:bottom w:val="single" w:color="auto" w:sz="4" w:space="0"/>
              <w:right w:val="single" w:color="000000"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34"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仿宋_GB2312" w:hAnsi="仿宋_GB2312" w:eastAsia="仿宋_GB2312" w:cs="仿宋_GB2312"/>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仿宋_GB2312" w:hAnsi="仿宋_GB2312" w:eastAsia="仿宋_GB2312" w:cs="仿宋_GB2312"/>
                <w:szCs w:val="21"/>
              </w:rPr>
            </w:pPr>
          </w:p>
        </w:tc>
        <w:tc>
          <w:tcPr>
            <w:tcW w:w="1275" w:type="dxa"/>
            <w:tcBorders>
              <w:top w:val="single" w:color="000000" w:sz="4" w:space="0"/>
              <w:left w:val="single" w:color="000000" w:sz="4" w:space="0"/>
              <w:bottom w:val="single" w:color="auto" w:sz="4" w:space="0"/>
              <w:right w:val="single" w:color="auto"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活动合规性（2分）</w:t>
            </w:r>
          </w:p>
        </w:tc>
        <w:tc>
          <w:tcPr>
            <w:tcW w:w="3436"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部门的活动是否在职责范围之内并符合部门中长期规划，用以反映和评价部门活动目标与部门履职、年度工作任务的相符性情况。</w:t>
            </w:r>
          </w:p>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评价要点：</w:t>
            </w:r>
          </w:p>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1.部门活动的设定在部门所确定的职责范围之内；</w:t>
            </w:r>
          </w:p>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2.部门活动符合市委、市政府的发展规划及本部门的年度工作安排与发展规划。</w:t>
            </w:r>
          </w:p>
        </w:tc>
        <w:tc>
          <w:tcPr>
            <w:tcW w:w="2373"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全部符合（2）；</w:t>
            </w:r>
          </w:p>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其中一项不符合（0）。</w:t>
            </w:r>
          </w:p>
        </w:tc>
        <w:tc>
          <w:tcPr>
            <w:tcW w:w="764" w:type="dxa"/>
            <w:tcBorders>
              <w:top w:val="single" w:color="000000" w:sz="4" w:space="0"/>
              <w:left w:val="single" w:color="auto" w:sz="4" w:space="0"/>
              <w:bottom w:val="single" w:color="auto" w:sz="4" w:space="0"/>
              <w:right w:val="single" w:color="000000"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仿宋_GB2312" w:hAnsi="仿宋_GB2312" w:eastAsia="仿宋_GB2312" w:cs="仿宋_GB2312"/>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仿宋_GB2312" w:hAnsi="仿宋_GB2312" w:eastAsia="仿宋_GB2312" w:cs="仿宋_GB2312"/>
                <w:szCs w:val="21"/>
              </w:rPr>
            </w:pPr>
          </w:p>
        </w:tc>
        <w:tc>
          <w:tcPr>
            <w:tcW w:w="1275" w:type="dxa"/>
            <w:tcBorders>
              <w:top w:val="single" w:color="000000" w:sz="4" w:space="0"/>
              <w:left w:val="single" w:color="000000" w:sz="4" w:space="0"/>
              <w:bottom w:val="single" w:color="auto" w:sz="4" w:space="0"/>
              <w:right w:val="single" w:color="auto"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活动合理性（2分）</w:t>
            </w:r>
          </w:p>
        </w:tc>
        <w:tc>
          <w:tcPr>
            <w:tcW w:w="3436"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部门所设立的活动是否明确合理、活动的关键性指标设置是否可衡量，用以反映和评价部门活动目标设定的合理性。</w:t>
            </w:r>
          </w:p>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评价要点：</w:t>
            </w:r>
          </w:p>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1.活动目标的设定是可量化的，可通过清晰、可衡量的关键指标值予以体现；</w:t>
            </w:r>
          </w:p>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2.在活动目标设定时，将关键指标明细分解为具体的达成目标与工作任务。</w:t>
            </w:r>
          </w:p>
        </w:tc>
        <w:tc>
          <w:tcPr>
            <w:tcW w:w="2373"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全部符合（2）；</w:t>
            </w:r>
          </w:p>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其中一项不符合（0）。</w:t>
            </w:r>
          </w:p>
        </w:tc>
        <w:tc>
          <w:tcPr>
            <w:tcW w:w="764" w:type="dxa"/>
            <w:tcBorders>
              <w:top w:val="single" w:color="000000" w:sz="4" w:space="0"/>
              <w:left w:val="single" w:color="auto" w:sz="4" w:space="0"/>
              <w:bottom w:val="single" w:color="auto" w:sz="4" w:space="0"/>
              <w:right w:val="single" w:color="000000"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仿宋_GB2312" w:hAnsi="仿宋_GB2312" w:eastAsia="仿宋_GB2312" w:cs="仿宋_GB2312"/>
                <w:szCs w:val="21"/>
              </w:rPr>
            </w:pPr>
          </w:p>
        </w:tc>
        <w:tc>
          <w:tcPr>
            <w:tcW w:w="743" w:type="dxa"/>
            <w:vMerge w:val="restart"/>
            <w:tcBorders>
              <w:top w:val="single" w:color="000000" w:sz="4" w:space="0"/>
              <w:left w:val="single" w:color="000000" w:sz="4" w:space="0"/>
              <w:right w:val="single" w:color="000000"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预算配置情况(5分)</w:t>
            </w:r>
          </w:p>
        </w:tc>
        <w:tc>
          <w:tcPr>
            <w:tcW w:w="1275" w:type="dxa"/>
            <w:tcBorders>
              <w:top w:val="single" w:color="auto" w:sz="4" w:space="0"/>
              <w:left w:val="single" w:color="000000" w:sz="4" w:space="0"/>
              <w:right w:val="single" w:color="auto"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在职人员控制率（1分）</w:t>
            </w:r>
          </w:p>
        </w:tc>
        <w:tc>
          <w:tcPr>
            <w:tcW w:w="3436" w:type="dxa"/>
            <w:tcBorders>
              <w:top w:val="single" w:color="auto" w:sz="4" w:space="0"/>
              <w:left w:val="single" w:color="auto"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部门本年度实际在职人员数与编制数的比率，用以反映和评价部门对人员成本的控制程度。</w:t>
            </w:r>
          </w:p>
          <w:p>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在职人员控制率=（在职人员数/编制数）×100%。</w:t>
            </w:r>
          </w:p>
          <w:p>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在职人员数：部门实际在职人数，以财政部确定的部门决算编制口径为准，由编制部门和人劳部门批复同意的临聘人员除外。</w:t>
            </w:r>
          </w:p>
          <w:p>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编制数：机构编制部门核定批复的部门人员编制数。</w:t>
            </w:r>
          </w:p>
        </w:tc>
        <w:tc>
          <w:tcPr>
            <w:tcW w:w="2373" w:type="dxa"/>
            <w:tcBorders>
              <w:top w:val="single" w:color="auto" w:sz="4" w:space="0"/>
              <w:left w:val="single" w:color="auto"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1.在职人员控制率小于或等于100%的，得满分；</w:t>
            </w:r>
          </w:p>
          <w:p>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2.在职人员控制率大于或等于115%的，得0分；</w:t>
            </w:r>
          </w:p>
          <w:p>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3.在职人员控制率在100%-115%之间的，在0分和满分之间计算确定：</w:t>
            </w:r>
          </w:p>
          <w:p>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得分=[max（在职人员控制率）－某部门在职人员控制率]/[max（在职人员控制率）－min（在职人员控制率）]×该指标分值。</w:t>
            </w:r>
          </w:p>
        </w:tc>
        <w:tc>
          <w:tcPr>
            <w:tcW w:w="764" w:type="dxa"/>
            <w:tcBorders>
              <w:top w:val="single" w:color="auto" w:sz="4" w:space="0"/>
              <w:left w:val="single" w:color="auto" w:sz="4" w:space="0"/>
              <w:bottom w:val="single" w:color="000000" w:sz="4" w:space="0"/>
              <w:right w:val="single" w:color="000000"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9" w:type="dxa"/>
            <w:vMerge w:val="restart"/>
            <w:tcBorders>
              <w:top w:val="single" w:color="000000" w:sz="4" w:space="0"/>
              <w:left w:val="single" w:color="000000" w:sz="4" w:space="0"/>
              <w:right w:val="single" w:color="000000" w:sz="4" w:space="0"/>
            </w:tcBorders>
            <w:vAlign w:val="center"/>
          </w:tcPr>
          <w:p>
            <w:pPr>
              <w:spacing w:line="240" w:lineRule="exact"/>
              <w:rPr>
                <w:rFonts w:ascii="仿宋_GB2312" w:hAnsi="仿宋_GB2312" w:eastAsia="仿宋_GB2312" w:cs="仿宋_GB2312"/>
                <w:szCs w:val="21"/>
              </w:rPr>
            </w:pPr>
          </w:p>
        </w:tc>
        <w:tc>
          <w:tcPr>
            <w:tcW w:w="743" w:type="dxa"/>
            <w:vMerge w:val="continue"/>
            <w:tcBorders>
              <w:left w:val="single" w:color="000000" w:sz="4" w:space="0"/>
              <w:right w:val="single" w:color="000000" w:sz="4" w:space="0"/>
            </w:tcBorders>
            <w:vAlign w:val="center"/>
          </w:tcPr>
          <w:p>
            <w:pPr>
              <w:widowControl/>
              <w:spacing w:line="240" w:lineRule="exact"/>
              <w:jc w:val="left"/>
              <w:rPr>
                <w:rFonts w:ascii="仿宋_GB2312" w:hAnsi="仿宋_GB2312" w:eastAsia="仿宋_GB2312" w:cs="仿宋_GB2312"/>
                <w:kern w:val="0"/>
                <w:szCs w:val="21"/>
              </w:rPr>
            </w:pPr>
          </w:p>
        </w:tc>
        <w:tc>
          <w:tcPr>
            <w:tcW w:w="1275" w:type="dxa"/>
            <w:tcBorders>
              <w:top w:val="single" w:color="auto" w:sz="4" w:space="0"/>
              <w:left w:val="single" w:color="000000" w:sz="4" w:space="0"/>
              <w:right w:val="single" w:color="auto" w:sz="4" w:space="0"/>
            </w:tcBorders>
            <w:vAlign w:val="center"/>
          </w:tcPr>
          <w:p>
            <w:pPr>
              <w:widowControl/>
              <w:spacing w:line="240" w:lineRule="exact"/>
              <w:jc w:val="left"/>
              <w:textAlignment w:val="center"/>
              <w:rPr>
                <w:rFonts w:ascii="仿宋_GB2312" w:hAnsi="仿宋_GB2312" w:eastAsia="仿宋_GB2312" w:cs="仿宋_GB2312"/>
                <w:kern w:val="0"/>
                <w:szCs w:val="21"/>
              </w:rPr>
            </w:pPr>
            <w:r>
              <w:rPr>
                <w:rFonts w:hint="eastAsia" w:ascii="仿宋_GB2312" w:hAnsi="仿宋_GB2312" w:eastAsia="仿宋_GB2312" w:cs="仿宋_GB2312"/>
                <w:color w:val="000000"/>
                <w:kern w:val="0"/>
                <w:szCs w:val="21"/>
              </w:rPr>
              <w:t>“三公经费”变动率（2分）</w:t>
            </w:r>
          </w:p>
        </w:tc>
        <w:tc>
          <w:tcPr>
            <w:tcW w:w="3436" w:type="dxa"/>
            <w:tcBorders>
              <w:top w:val="single" w:color="auto" w:sz="4" w:space="0"/>
              <w:left w:val="single" w:color="auto" w:sz="4" w:space="0"/>
              <w:right w:val="single" w:color="auto" w:sz="4" w:space="0"/>
            </w:tcBorders>
            <w:vAlign w:val="center"/>
          </w:tcPr>
          <w:p>
            <w:pPr>
              <w:widowControl/>
              <w:spacing w:line="240" w:lineRule="exact"/>
              <w:jc w:val="left"/>
              <w:textAlignment w:val="center"/>
              <w:rPr>
                <w:rFonts w:ascii="仿宋_GB2312" w:hAnsi="仿宋_GB2312" w:eastAsia="仿宋_GB2312" w:cs="仿宋_GB2312"/>
                <w:kern w:val="0"/>
                <w:szCs w:val="21"/>
              </w:rPr>
            </w:pPr>
            <w:r>
              <w:rPr>
                <w:rFonts w:hint="eastAsia" w:ascii="仿宋_GB2312" w:hAnsi="仿宋_GB2312" w:eastAsia="仿宋_GB2312" w:cs="仿宋_GB2312"/>
                <w:color w:val="000000"/>
                <w:kern w:val="0"/>
                <w:szCs w:val="21"/>
              </w:rPr>
              <w:t>部门本年度“三公经费”预算数与上年度“三公经费”预算数的变动比率，用以反映和考核部门对控制重点行政成本的努力程度。“三公经费”变动率=[（本年度“三公经费”总额-上年度“三公经费”总额）/上年度“三公经费”总额]×100%。</w:t>
            </w:r>
            <w:r>
              <w:rPr>
                <w:rFonts w:hint="eastAsia" w:ascii="仿宋_GB2312" w:hAnsi="仿宋_GB2312" w:eastAsia="仿宋_GB2312" w:cs="仿宋_GB2312"/>
                <w:color w:val="000000"/>
                <w:kern w:val="0"/>
                <w:szCs w:val="21"/>
              </w:rPr>
              <w:br w:type="textWrapping"/>
            </w:r>
            <w:r>
              <w:rPr>
                <w:rFonts w:hint="eastAsia" w:ascii="仿宋_GB2312" w:hAnsi="仿宋_GB2312" w:eastAsia="仿宋_GB2312" w:cs="仿宋_GB2312"/>
                <w:color w:val="000000"/>
                <w:kern w:val="0"/>
                <w:szCs w:val="21"/>
              </w:rPr>
              <w:t>“三公经费”：年度预算安排的因公出国（境）费、公务车辆购置及运行费和公务招待费。</w:t>
            </w:r>
          </w:p>
        </w:tc>
        <w:tc>
          <w:tcPr>
            <w:tcW w:w="2373" w:type="dxa"/>
            <w:tcBorders>
              <w:top w:val="single" w:color="auto" w:sz="4" w:space="0"/>
              <w:left w:val="single" w:color="auto"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1.</w:t>
            </w:r>
            <w:r>
              <w:rPr>
                <w:rFonts w:hint="eastAsia" w:ascii="仿宋_GB2312" w:hAnsi="仿宋_GB2312" w:eastAsia="仿宋_GB2312" w:cs="仿宋_GB2312"/>
                <w:color w:val="000000"/>
                <w:kern w:val="0"/>
                <w:szCs w:val="21"/>
              </w:rPr>
              <w:t>“三公经费”变动率</w:t>
            </w:r>
            <w:r>
              <w:rPr>
                <w:rFonts w:hint="eastAsia" w:ascii="仿宋_GB2312" w:hAnsi="仿宋_GB2312" w:eastAsia="仿宋_GB2312" w:cs="仿宋_GB2312"/>
                <w:kern w:val="0"/>
                <w:szCs w:val="21"/>
              </w:rPr>
              <w:t>小于或等于-5%的，得满分；</w:t>
            </w:r>
          </w:p>
          <w:p>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2.</w:t>
            </w:r>
            <w:r>
              <w:rPr>
                <w:rFonts w:hint="eastAsia" w:ascii="仿宋_GB2312" w:hAnsi="仿宋_GB2312" w:eastAsia="仿宋_GB2312" w:cs="仿宋_GB2312"/>
                <w:color w:val="000000"/>
                <w:kern w:val="0"/>
                <w:szCs w:val="21"/>
              </w:rPr>
              <w:t>“三公经费”变动率</w:t>
            </w:r>
            <w:r>
              <w:rPr>
                <w:rFonts w:hint="eastAsia" w:ascii="仿宋_GB2312" w:hAnsi="仿宋_GB2312" w:eastAsia="仿宋_GB2312" w:cs="仿宋_GB2312"/>
                <w:kern w:val="0"/>
                <w:szCs w:val="21"/>
              </w:rPr>
              <w:t>大于或等于10%的，得0分；</w:t>
            </w:r>
          </w:p>
          <w:p>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3.在职人员控制率在-5%-10%之间的，在0分和满分之间计算确定：</w:t>
            </w:r>
          </w:p>
          <w:p>
            <w:pPr>
              <w:widowControl/>
              <w:spacing w:line="240" w:lineRule="exact"/>
              <w:jc w:val="left"/>
              <w:textAlignment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得分=[max（</w:t>
            </w:r>
            <w:r>
              <w:rPr>
                <w:rFonts w:hint="eastAsia" w:ascii="仿宋_GB2312" w:hAnsi="仿宋_GB2312" w:eastAsia="仿宋_GB2312" w:cs="仿宋_GB2312"/>
                <w:color w:val="000000"/>
                <w:kern w:val="0"/>
                <w:szCs w:val="21"/>
              </w:rPr>
              <w:t>“三公经费”变动率</w:t>
            </w:r>
            <w:r>
              <w:rPr>
                <w:rFonts w:hint="eastAsia" w:ascii="仿宋_GB2312" w:hAnsi="仿宋_GB2312" w:eastAsia="仿宋_GB2312" w:cs="仿宋_GB2312"/>
                <w:kern w:val="0"/>
                <w:szCs w:val="21"/>
              </w:rPr>
              <w:t>）－</w:t>
            </w:r>
            <w:r>
              <w:rPr>
                <w:rFonts w:hint="eastAsia" w:ascii="仿宋_GB2312" w:hAnsi="仿宋_GB2312" w:eastAsia="仿宋_GB2312" w:cs="仿宋_GB2312"/>
                <w:color w:val="000000"/>
                <w:kern w:val="0"/>
                <w:szCs w:val="21"/>
              </w:rPr>
              <w:t>“三公经费”变动率</w:t>
            </w:r>
            <w:r>
              <w:rPr>
                <w:rFonts w:hint="eastAsia" w:ascii="仿宋_GB2312" w:hAnsi="仿宋_GB2312" w:eastAsia="仿宋_GB2312" w:cs="仿宋_GB2312"/>
                <w:kern w:val="0"/>
                <w:szCs w:val="21"/>
              </w:rPr>
              <w:t>]/[max（</w:t>
            </w:r>
            <w:r>
              <w:rPr>
                <w:rFonts w:hint="eastAsia" w:ascii="仿宋_GB2312" w:hAnsi="仿宋_GB2312" w:eastAsia="仿宋_GB2312" w:cs="仿宋_GB2312"/>
                <w:color w:val="000000"/>
                <w:kern w:val="0"/>
                <w:szCs w:val="21"/>
              </w:rPr>
              <w:t>“三公经费”变动率</w:t>
            </w:r>
            <w:r>
              <w:rPr>
                <w:rFonts w:hint="eastAsia" w:ascii="仿宋_GB2312" w:hAnsi="仿宋_GB2312" w:eastAsia="仿宋_GB2312" w:cs="仿宋_GB2312"/>
                <w:kern w:val="0"/>
                <w:szCs w:val="21"/>
              </w:rPr>
              <w:t>）－min（</w:t>
            </w:r>
            <w:r>
              <w:rPr>
                <w:rFonts w:hint="eastAsia" w:ascii="仿宋_GB2312" w:hAnsi="仿宋_GB2312" w:eastAsia="仿宋_GB2312" w:cs="仿宋_GB2312"/>
                <w:color w:val="000000"/>
                <w:kern w:val="0"/>
                <w:szCs w:val="21"/>
              </w:rPr>
              <w:t>“三公经费”变动率</w:t>
            </w:r>
            <w:r>
              <w:rPr>
                <w:rFonts w:hint="eastAsia" w:ascii="仿宋_GB2312" w:hAnsi="仿宋_GB2312" w:eastAsia="仿宋_GB2312" w:cs="仿宋_GB2312"/>
                <w:kern w:val="0"/>
                <w:szCs w:val="21"/>
              </w:rPr>
              <w:t>）]×该指标分值。</w:t>
            </w:r>
          </w:p>
        </w:tc>
        <w:tc>
          <w:tcPr>
            <w:tcW w:w="764" w:type="dxa"/>
            <w:tcBorders>
              <w:top w:val="single" w:color="auto" w:sz="4" w:space="0"/>
              <w:left w:val="single" w:color="auto" w:sz="4" w:space="0"/>
              <w:bottom w:val="single" w:color="000000" w:sz="4" w:space="0"/>
              <w:right w:val="single" w:color="000000"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779" w:type="dxa"/>
            <w:vMerge w:val="continue"/>
            <w:tcBorders>
              <w:left w:val="single" w:color="000000" w:sz="4" w:space="0"/>
              <w:bottom w:val="single" w:color="000000" w:sz="4" w:space="0"/>
              <w:right w:val="single" w:color="000000" w:sz="4" w:space="0"/>
            </w:tcBorders>
            <w:vAlign w:val="center"/>
          </w:tcPr>
          <w:p>
            <w:pPr>
              <w:spacing w:line="240" w:lineRule="exact"/>
              <w:rPr>
                <w:rFonts w:ascii="仿宋_GB2312" w:hAnsi="仿宋_GB2312" w:eastAsia="仿宋_GB2312" w:cs="仿宋_GB2312"/>
                <w:szCs w:val="21"/>
              </w:rPr>
            </w:pPr>
          </w:p>
        </w:tc>
        <w:tc>
          <w:tcPr>
            <w:tcW w:w="743" w:type="dxa"/>
            <w:vMerge w:val="continue"/>
            <w:tcBorders>
              <w:left w:val="single" w:color="000000" w:sz="4" w:space="0"/>
              <w:bottom w:val="single" w:color="000000" w:sz="4" w:space="0"/>
              <w:right w:val="single" w:color="000000" w:sz="4" w:space="0"/>
            </w:tcBorders>
            <w:vAlign w:val="center"/>
          </w:tcPr>
          <w:p>
            <w:pPr>
              <w:widowControl/>
              <w:spacing w:line="240" w:lineRule="exact"/>
              <w:jc w:val="left"/>
              <w:rPr>
                <w:rFonts w:ascii="仿宋_GB2312" w:hAnsi="仿宋_GB2312" w:eastAsia="仿宋_GB2312" w:cs="仿宋_GB2312"/>
                <w:kern w:val="0"/>
                <w:szCs w:val="21"/>
              </w:rPr>
            </w:pPr>
          </w:p>
        </w:tc>
        <w:tc>
          <w:tcPr>
            <w:tcW w:w="1275" w:type="dxa"/>
            <w:tcBorders>
              <w:top w:val="single" w:color="auto" w:sz="4" w:space="0"/>
              <w:left w:val="single" w:color="000000" w:sz="4" w:space="0"/>
              <w:right w:val="single" w:color="auto" w:sz="4" w:space="0"/>
            </w:tcBorders>
            <w:vAlign w:val="center"/>
          </w:tcPr>
          <w:p>
            <w:pPr>
              <w:widowControl/>
              <w:spacing w:line="240" w:lineRule="exact"/>
              <w:jc w:val="left"/>
              <w:textAlignment w:val="center"/>
              <w:rPr>
                <w:rFonts w:ascii="仿宋_GB2312" w:hAnsi="仿宋_GB2312" w:eastAsia="仿宋_GB2312" w:cs="仿宋_GB2312"/>
                <w:kern w:val="0"/>
                <w:szCs w:val="21"/>
              </w:rPr>
            </w:pPr>
            <w:r>
              <w:rPr>
                <w:rFonts w:hint="eastAsia" w:ascii="仿宋_GB2312" w:hAnsi="仿宋_GB2312" w:eastAsia="仿宋_GB2312" w:cs="仿宋_GB2312"/>
                <w:color w:val="000000"/>
                <w:kern w:val="0"/>
                <w:szCs w:val="21"/>
              </w:rPr>
              <w:t>重点支出安排率（2分）</w:t>
            </w:r>
          </w:p>
        </w:tc>
        <w:tc>
          <w:tcPr>
            <w:tcW w:w="3436" w:type="dxa"/>
            <w:tcBorders>
              <w:top w:val="single" w:color="auto" w:sz="4" w:space="0"/>
              <w:left w:val="single" w:color="auto" w:sz="4" w:space="0"/>
              <w:right w:val="single" w:color="auto" w:sz="4" w:space="0"/>
            </w:tcBorders>
            <w:vAlign w:val="center"/>
          </w:tcPr>
          <w:p>
            <w:pPr>
              <w:widowControl/>
              <w:spacing w:line="240" w:lineRule="exact"/>
              <w:jc w:val="left"/>
              <w:textAlignment w:val="center"/>
              <w:rPr>
                <w:rFonts w:ascii="仿宋_GB2312" w:hAnsi="仿宋_GB2312" w:eastAsia="仿宋_GB2312" w:cs="仿宋_GB2312"/>
                <w:kern w:val="0"/>
                <w:szCs w:val="21"/>
              </w:rPr>
            </w:pPr>
            <w:r>
              <w:rPr>
                <w:rFonts w:hint="eastAsia" w:ascii="仿宋_GB2312" w:hAnsi="仿宋_GB2312" w:eastAsia="仿宋_GB2312" w:cs="仿宋_GB2312"/>
                <w:color w:val="000000"/>
                <w:kern w:val="0"/>
                <w:szCs w:val="21"/>
              </w:rPr>
              <w:t>部门本年度预算安排的重点项目支出与部门项目总支出的比率，用以反映和考核部门对履行主要职责或完成重点任务的保障程度。重点支出安排率=（重点项目支出/项目总支出）×100%。</w:t>
            </w:r>
            <w:r>
              <w:rPr>
                <w:rFonts w:hint="eastAsia" w:ascii="仿宋_GB2312" w:hAnsi="仿宋_GB2312" w:eastAsia="仿宋_GB2312" w:cs="仿宋_GB2312"/>
                <w:color w:val="000000"/>
                <w:kern w:val="0"/>
                <w:szCs w:val="21"/>
              </w:rPr>
              <w:br w:type="textWrapping"/>
            </w:r>
            <w:r>
              <w:rPr>
                <w:rFonts w:hint="eastAsia" w:ascii="仿宋_GB2312" w:hAnsi="仿宋_GB2312" w:eastAsia="仿宋_GB2312" w:cs="仿宋_GB2312"/>
                <w:color w:val="000000"/>
                <w:kern w:val="0"/>
                <w:szCs w:val="21"/>
              </w:rPr>
              <w:t>重点项目支出：部门（单位）年度预算安排的，与本部门履职和发展密切相关、具有明显社会和经济影响、党委政府关心或社会比较关注的项目支出总额。</w:t>
            </w:r>
            <w:r>
              <w:rPr>
                <w:rFonts w:hint="eastAsia" w:ascii="仿宋_GB2312" w:hAnsi="仿宋_GB2312" w:eastAsia="仿宋_GB2312" w:cs="仿宋_GB2312"/>
                <w:color w:val="000000"/>
                <w:kern w:val="0"/>
                <w:szCs w:val="21"/>
              </w:rPr>
              <w:br w:type="textWrapping"/>
            </w:r>
            <w:r>
              <w:rPr>
                <w:rFonts w:hint="eastAsia" w:ascii="仿宋_GB2312" w:hAnsi="仿宋_GB2312" w:eastAsia="仿宋_GB2312" w:cs="仿宋_GB2312"/>
                <w:color w:val="000000"/>
                <w:kern w:val="0"/>
                <w:szCs w:val="21"/>
              </w:rPr>
              <w:t>项目总支出：部门（单位）年度预算安排的项目支出总额。</w:t>
            </w:r>
          </w:p>
        </w:tc>
        <w:tc>
          <w:tcPr>
            <w:tcW w:w="2373" w:type="dxa"/>
            <w:tcBorders>
              <w:top w:val="single" w:color="auto" w:sz="4" w:space="0"/>
              <w:left w:val="single" w:color="auto"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1.</w:t>
            </w:r>
            <w:r>
              <w:rPr>
                <w:rFonts w:hint="eastAsia" w:ascii="仿宋_GB2312" w:hAnsi="仿宋_GB2312" w:eastAsia="仿宋_GB2312" w:cs="仿宋_GB2312"/>
                <w:color w:val="000000"/>
                <w:kern w:val="0"/>
                <w:szCs w:val="21"/>
              </w:rPr>
              <w:t>重点支出安排率</w:t>
            </w:r>
            <w:r>
              <w:rPr>
                <w:rFonts w:hint="eastAsia" w:ascii="仿宋_GB2312" w:hAnsi="仿宋_GB2312" w:eastAsia="仿宋_GB2312" w:cs="仿宋_GB2312"/>
                <w:kern w:val="0"/>
                <w:szCs w:val="21"/>
              </w:rPr>
              <w:t>大于或等于95%的，得满分；</w:t>
            </w:r>
          </w:p>
          <w:p>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2.</w:t>
            </w:r>
            <w:r>
              <w:rPr>
                <w:rFonts w:hint="eastAsia" w:ascii="仿宋_GB2312" w:hAnsi="仿宋_GB2312" w:eastAsia="仿宋_GB2312" w:cs="仿宋_GB2312"/>
                <w:color w:val="000000"/>
                <w:kern w:val="0"/>
                <w:szCs w:val="21"/>
              </w:rPr>
              <w:t>重点支出安排率</w:t>
            </w:r>
            <w:r>
              <w:rPr>
                <w:rFonts w:hint="eastAsia" w:ascii="仿宋_GB2312" w:hAnsi="仿宋_GB2312" w:eastAsia="仿宋_GB2312" w:cs="仿宋_GB2312"/>
                <w:kern w:val="0"/>
                <w:szCs w:val="21"/>
              </w:rPr>
              <w:t>小于或等于85%的，得0分；</w:t>
            </w:r>
          </w:p>
          <w:p>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3.</w:t>
            </w:r>
            <w:r>
              <w:rPr>
                <w:rFonts w:hint="eastAsia" w:ascii="仿宋_GB2312" w:hAnsi="仿宋_GB2312" w:eastAsia="仿宋_GB2312" w:cs="仿宋_GB2312"/>
                <w:color w:val="000000"/>
                <w:kern w:val="0"/>
                <w:szCs w:val="21"/>
              </w:rPr>
              <w:t>重点支出安排率</w:t>
            </w:r>
            <w:r>
              <w:rPr>
                <w:rFonts w:hint="eastAsia" w:ascii="仿宋_GB2312" w:hAnsi="仿宋_GB2312" w:eastAsia="仿宋_GB2312" w:cs="仿宋_GB2312"/>
                <w:kern w:val="0"/>
                <w:szCs w:val="21"/>
              </w:rPr>
              <w:t>在85%-95%之间的，在0分和满分之间计算确定：</w:t>
            </w:r>
          </w:p>
          <w:p>
            <w:pPr>
              <w:widowControl/>
              <w:spacing w:line="240" w:lineRule="exact"/>
              <w:jc w:val="left"/>
              <w:textAlignment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得分=[某部门</w:t>
            </w:r>
            <w:r>
              <w:rPr>
                <w:rFonts w:hint="eastAsia" w:ascii="仿宋_GB2312" w:hAnsi="仿宋_GB2312" w:eastAsia="仿宋_GB2312" w:cs="仿宋_GB2312"/>
                <w:color w:val="000000"/>
                <w:kern w:val="0"/>
                <w:szCs w:val="21"/>
              </w:rPr>
              <w:t>重点支出安排率</w:t>
            </w:r>
            <w:r>
              <w:rPr>
                <w:rFonts w:hint="eastAsia" w:ascii="仿宋_GB2312" w:hAnsi="仿宋_GB2312" w:eastAsia="仿宋_GB2312" w:cs="仿宋_GB2312"/>
                <w:kern w:val="0"/>
                <w:szCs w:val="21"/>
              </w:rPr>
              <w:t>-min（</w:t>
            </w:r>
            <w:r>
              <w:rPr>
                <w:rFonts w:hint="eastAsia" w:ascii="仿宋_GB2312" w:hAnsi="仿宋_GB2312" w:eastAsia="仿宋_GB2312" w:cs="仿宋_GB2312"/>
                <w:color w:val="000000"/>
                <w:kern w:val="0"/>
                <w:szCs w:val="21"/>
              </w:rPr>
              <w:t>重点支出安排率</w:t>
            </w:r>
            <w:r>
              <w:rPr>
                <w:rFonts w:hint="eastAsia" w:ascii="仿宋_GB2312" w:hAnsi="仿宋_GB2312" w:eastAsia="仿宋_GB2312" w:cs="仿宋_GB2312"/>
                <w:kern w:val="0"/>
                <w:szCs w:val="21"/>
              </w:rPr>
              <w:t>）]/[max（</w:t>
            </w:r>
            <w:r>
              <w:rPr>
                <w:rFonts w:hint="eastAsia" w:ascii="仿宋_GB2312" w:hAnsi="仿宋_GB2312" w:eastAsia="仿宋_GB2312" w:cs="仿宋_GB2312"/>
                <w:color w:val="000000"/>
                <w:kern w:val="0"/>
                <w:szCs w:val="21"/>
              </w:rPr>
              <w:t>重点支出安排率</w:t>
            </w:r>
            <w:r>
              <w:rPr>
                <w:rFonts w:hint="eastAsia" w:ascii="仿宋_GB2312" w:hAnsi="仿宋_GB2312" w:eastAsia="仿宋_GB2312" w:cs="仿宋_GB2312"/>
                <w:kern w:val="0"/>
                <w:szCs w:val="21"/>
              </w:rPr>
              <w:t>）－min（</w:t>
            </w:r>
            <w:r>
              <w:rPr>
                <w:rFonts w:hint="eastAsia" w:ascii="仿宋_GB2312" w:hAnsi="仿宋_GB2312" w:eastAsia="仿宋_GB2312" w:cs="仿宋_GB2312"/>
                <w:color w:val="000000"/>
                <w:kern w:val="0"/>
                <w:szCs w:val="21"/>
              </w:rPr>
              <w:t>重点支出安排率</w:t>
            </w:r>
            <w:r>
              <w:rPr>
                <w:rFonts w:hint="eastAsia" w:ascii="仿宋_GB2312" w:hAnsi="仿宋_GB2312" w:eastAsia="仿宋_GB2312" w:cs="仿宋_GB2312"/>
                <w:kern w:val="0"/>
                <w:szCs w:val="21"/>
              </w:rPr>
              <w:t>）]×该指标分值。</w:t>
            </w:r>
          </w:p>
        </w:tc>
        <w:tc>
          <w:tcPr>
            <w:tcW w:w="764" w:type="dxa"/>
            <w:tcBorders>
              <w:top w:val="single" w:color="auto" w:sz="4" w:space="0"/>
              <w:left w:val="single" w:color="auto" w:sz="4" w:space="0"/>
              <w:bottom w:val="single" w:color="000000" w:sz="4" w:space="0"/>
              <w:right w:val="single" w:color="000000"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77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过程(45分)</w:t>
            </w:r>
          </w:p>
        </w:tc>
        <w:tc>
          <w:tcPr>
            <w:tcW w:w="743"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预算执行情况(25分)</w:t>
            </w: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预算完成率（5分）</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通过对部门本年度预算完成数与预算数的比较，反映和评价部门预算的完成程度。</w:t>
            </w:r>
          </w:p>
          <w:p>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预算完成率=（预算完成数/预算数）×100%。</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1.预算完成率大于或等于95%的，得满分；</w:t>
            </w:r>
          </w:p>
          <w:p>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2.预算完成率小于或等于85%的，得0分；</w:t>
            </w:r>
          </w:p>
          <w:p>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3.预算完成率在85%-95%之间的，在0分和满分之间计算确定：</w:t>
            </w:r>
          </w:p>
          <w:p>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得分=[某部门预算完成率-min（预算完成率）]/[max（预算完成率）－min（预算完成率）]×该指标分值。</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szCs w:val="21"/>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仿宋_GB2312" w:hAnsi="仿宋_GB2312" w:eastAsia="仿宋_GB2312" w:cs="仿宋_GB2312"/>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仿宋_GB2312" w:hAnsi="仿宋_GB2312" w:eastAsia="仿宋_GB2312" w:cs="仿宋_GB2312"/>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预算调整率（3分）</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部门本年度预算调整数与预算数的比率，用以反映和评价部门预算的调整程度。</w:t>
            </w:r>
          </w:p>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预算调整率=（预算调整数/预算数）×100%。</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 xml:space="preserve">1.预算调整率等于0的，得满分； </w:t>
            </w:r>
          </w:p>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2.预算调整率大于或等于10%的，得0分；</w:t>
            </w:r>
          </w:p>
          <w:p>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3.预算调整率在0-10%之间的，在0分和满分之间确定：</w:t>
            </w:r>
          </w:p>
          <w:p>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得分=［max（预算调整率）-某部门预算调整率］/［max（预算调整率）-min（预算调整率）］×该指标分值。</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szCs w:val="21"/>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48"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仿宋_GB2312" w:hAnsi="仿宋_GB2312" w:eastAsia="仿宋_GB2312" w:cs="仿宋_GB2312"/>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仿宋_GB2312" w:hAnsi="仿宋_GB2312" w:eastAsia="仿宋_GB2312" w:cs="仿宋_GB2312"/>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color w:val="000000"/>
                <w:kern w:val="0"/>
                <w:szCs w:val="21"/>
              </w:rPr>
              <w:t>支付进度率</w:t>
            </w:r>
            <w:r>
              <w:rPr>
                <w:rFonts w:hint="eastAsia" w:ascii="仿宋_GB2312" w:hAnsi="仿宋_GB2312" w:eastAsia="仿宋_GB2312" w:cs="仿宋_GB2312"/>
                <w:kern w:val="0"/>
                <w:szCs w:val="21"/>
              </w:rPr>
              <w:t>（5分）</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部门年度支付数与年度任务数的比率，用以反映和评价部门预算执行的及时和均衡程度。</w:t>
            </w:r>
          </w:p>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支付进度率=（年度支付数/年度任务数）×100%。</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按年度的执行情况进行打分。得分=年度支付数/年度任务数×该指标分值。</w:t>
            </w:r>
          </w:p>
          <w:p>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szCs w:val="21"/>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74"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仿宋_GB2312" w:hAnsi="仿宋_GB2312" w:eastAsia="仿宋_GB2312" w:cs="仿宋_GB2312"/>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仿宋_GB2312" w:hAnsi="仿宋_GB2312" w:eastAsia="仿宋_GB2312" w:cs="仿宋_GB2312"/>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结转结余率（4分）</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通过对部门本年度结转结余总额与支出预算数的比较，反映和评价部门对本年度结转结余资金的实际控制程度。</w:t>
            </w:r>
          </w:p>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结转结余率=（结转结余总额/支出预算数）×100%。</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1.结转结余率等于0的，得满分；</w:t>
            </w:r>
          </w:p>
          <w:p>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2.结转结余率大于或等于50%的，得0分；</w:t>
            </w:r>
          </w:p>
          <w:p>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3.结转结余率在0-50%之间的，在0和满分之间计算确定：</w:t>
            </w:r>
          </w:p>
          <w:p>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得分=[max（结转结余率）－某部门结转结余率]/[max（结转结余率）－min（结转结余率）]×该指标分值。</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szCs w:val="21"/>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10"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仿宋_GB2312" w:hAnsi="仿宋_GB2312" w:eastAsia="仿宋_GB2312" w:cs="仿宋_GB2312"/>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仿宋_GB2312" w:hAnsi="仿宋_GB2312" w:eastAsia="仿宋_GB2312" w:cs="仿宋_GB2312"/>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公用经费控制率（4分）</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通过对部门本年度实际支出的公用经费总额与预算安排的公用经费总额的比率，反映和评价部门对机构运转成本的实际控制程度。</w:t>
            </w:r>
          </w:p>
          <w:p>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公用经费控制率=（实际支出公用经费总额/预算安排公用经费总额）×100%。</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1.公用经费控制率小于或等于100%的，得满分；</w:t>
            </w:r>
          </w:p>
          <w:p>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2.公用经费控制率大于或等于105%的，得0分；</w:t>
            </w:r>
          </w:p>
          <w:p>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3.公用经费控制率在100%-105%之间的，在0和满分之间计算确定：</w:t>
            </w:r>
          </w:p>
          <w:p>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得分=［max（公用经费控制率）-某部门公用经费控制率］/［max（公用经费控制率）-min（公用经费控制率）］×该指标分值。</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szCs w:val="21"/>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00"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仿宋_GB2312" w:hAnsi="仿宋_GB2312" w:eastAsia="仿宋_GB2312" w:cs="仿宋_GB2312"/>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仿宋_GB2312" w:hAnsi="仿宋_GB2312" w:eastAsia="仿宋_GB2312" w:cs="仿宋_GB2312"/>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政府采购执行率（4分）</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通过对部门本年度实际政府采购预算项目个数与政府采购预算项目个数的比较，反映和评价部门政府采购预算执行情况。</w:t>
            </w:r>
          </w:p>
          <w:p>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政府采购执行率=（实际政府采购预算项目个数/政府采购预算项目个数）×100%。</w:t>
            </w:r>
          </w:p>
          <w:p>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政府采购项目中非预算内安排的项目除外。</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1.政府采购执行率等于100%的，得满分；</w:t>
            </w:r>
          </w:p>
          <w:p>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2.政府采购执行率小于或等于90%的，0分；</w:t>
            </w:r>
          </w:p>
          <w:p>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3.政府采购执行率在90%-100%之间的，在0和满分之间计算确定：</w:t>
            </w:r>
          </w:p>
          <w:p>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得分=［某部门政府采购执行率-min（政府采购执行率）］/［max（政府采购执行率）-min（政府采购执行率）］×该指标分值。</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szCs w:val="21"/>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仿宋_GB2312" w:hAnsi="仿宋_GB2312" w:eastAsia="仿宋_GB2312" w:cs="仿宋_GB2312"/>
                <w:szCs w:val="21"/>
              </w:rPr>
            </w:pPr>
          </w:p>
        </w:tc>
        <w:tc>
          <w:tcPr>
            <w:tcW w:w="743"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预算管理情况</w:t>
            </w:r>
          </w:p>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（15）</w:t>
            </w: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资金使用合规性（8分）</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部门使用预算资金是否符合相关的预算财务管理制度的规定，反映和评价部门预算资金的规范运行情况。</w:t>
            </w:r>
          </w:p>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评价要点：</w:t>
            </w:r>
          </w:p>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1.符合国家财经法规和财务管理制度规定以及有关部门资金管理办法的规定；</w:t>
            </w:r>
          </w:p>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2.资金的拨付有完整的审批过程和手续；</w:t>
            </w:r>
          </w:p>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3.项目的重大开支经过评估论证；</w:t>
            </w:r>
          </w:p>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4.符合部门预算批复的用途；</w:t>
            </w:r>
          </w:p>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5.不存在截留情况；</w:t>
            </w:r>
          </w:p>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6.不存在挤占情况；</w:t>
            </w:r>
          </w:p>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7.不存在挪用情况；</w:t>
            </w:r>
          </w:p>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8.不存在虚列支出情况。</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全部符合（8）；</w:t>
            </w:r>
          </w:p>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符合其中七项（6）；</w:t>
            </w:r>
          </w:p>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符合其中六项（4）；</w:t>
            </w:r>
          </w:p>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符合其中五项（2）；</w:t>
            </w:r>
          </w:p>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符合其中四项及以下（0）。</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szCs w:val="21"/>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仿宋_GB2312" w:hAnsi="仿宋_GB2312" w:eastAsia="仿宋_GB2312" w:cs="仿宋_GB2312"/>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仿宋_GB2312" w:hAnsi="仿宋_GB2312" w:eastAsia="仿宋_GB2312" w:cs="仿宋_GB2312"/>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预决算信息公开性（3分）</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部门是否按照政府信息公开有关规定公开相关预决算信息，用以反映和评价部门预决算管理的公开透明情况。</w:t>
            </w:r>
          </w:p>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预决算信息是指与部门预算、执行、决算、监督、绩效等管理相关的信息。</w:t>
            </w:r>
          </w:p>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评价要点：</w:t>
            </w:r>
          </w:p>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1.公开预决算信息；</w:t>
            </w:r>
          </w:p>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2.按规定内容公开预决算信息；</w:t>
            </w:r>
          </w:p>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3.按规定时限公开预决算信息。</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全部符合（3）；</w:t>
            </w:r>
          </w:p>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符合其中两项（2）</w:t>
            </w:r>
          </w:p>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符合其中一项及以下（0）。</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szCs w:val="21"/>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仿宋_GB2312" w:hAnsi="仿宋_GB2312" w:eastAsia="仿宋_GB2312" w:cs="仿宋_GB2312"/>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仿宋_GB2312" w:hAnsi="仿宋_GB2312" w:eastAsia="仿宋_GB2312" w:cs="仿宋_GB2312"/>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color w:val="000000"/>
                <w:kern w:val="0"/>
                <w:szCs w:val="21"/>
              </w:rPr>
              <w:t>基础信息完善性</w:t>
            </w:r>
            <w:r>
              <w:rPr>
                <w:rFonts w:hint="eastAsia" w:ascii="仿宋_GB2312" w:hAnsi="仿宋_GB2312" w:eastAsia="仿宋_GB2312" w:cs="仿宋_GB2312"/>
                <w:kern w:val="0"/>
                <w:szCs w:val="21"/>
              </w:rPr>
              <w:t>（4分）</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部门基础信息是否完善，用以反映和评价基础信息对预算管理工作的支撑情况。</w:t>
            </w:r>
          </w:p>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评价要点：</w:t>
            </w:r>
          </w:p>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1.基本财务管理制度健全；</w:t>
            </w:r>
          </w:p>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2.基础数据信息和会计信息资料真实；</w:t>
            </w:r>
          </w:p>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3.基础数据信息和会计信息资料完整；</w:t>
            </w:r>
          </w:p>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4.基础数据信息和会计信息资料准确。</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符合全部四项（4）；</w:t>
            </w:r>
          </w:p>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符合其中三项（2）；</w:t>
            </w:r>
          </w:p>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符合其中两项（1）；</w:t>
            </w:r>
          </w:p>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符合其中一项及以下（0）。</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szCs w:val="21"/>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仿宋_GB2312" w:hAnsi="仿宋_GB2312" w:eastAsia="仿宋_GB2312" w:cs="仿宋_GB2312"/>
                <w:szCs w:val="21"/>
              </w:rPr>
            </w:pPr>
          </w:p>
        </w:tc>
        <w:tc>
          <w:tcPr>
            <w:tcW w:w="743"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资产管理情况（5分）</w:t>
            </w:r>
          </w:p>
        </w:tc>
        <w:tc>
          <w:tcPr>
            <w:tcW w:w="1275" w:type="dxa"/>
            <w:tcBorders>
              <w:top w:val="single" w:color="auto" w:sz="4" w:space="0"/>
              <w:left w:val="single" w:color="000000" w:sz="4" w:space="0"/>
              <w:bottom w:val="single" w:color="000000" w:sz="4" w:space="0"/>
              <w:right w:val="single" w:color="auto"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资产管理完整性（2分）</w:t>
            </w:r>
          </w:p>
        </w:tc>
        <w:tc>
          <w:tcPr>
            <w:tcW w:w="3436" w:type="dxa"/>
            <w:tcBorders>
              <w:top w:val="single" w:color="auto" w:sz="4" w:space="0"/>
              <w:left w:val="single" w:color="auto" w:sz="4" w:space="0"/>
              <w:bottom w:val="single" w:color="000000" w:sz="4" w:space="0"/>
              <w:right w:val="single" w:color="auto"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部门的资产是否保存完整、使用合规、收入及时足额上缴，用以反映和评价部门资产运行情况。</w:t>
            </w:r>
          </w:p>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评价要点：</w:t>
            </w:r>
          </w:p>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1.资产保存完整；</w:t>
            </w:r>
          </w:p>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2.资产账务管理是否合规，帐实相符；</w:t>
            </w:r>
          </w:p>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3.资产有偿使用及处置收入及时足额上缴。</w:t>
            </w:r>
          </w:p>
        </w:tc>
        <w:tc>
          <w:tcPr>
            <w:tcW w:w="2373" w:type="dxa"/>
            <w:tcBorders>
              <w:top w:val="single" w:color="auto" w:sz="4" w:space="0"/>
              <w:left w:val="single" w:color="auto" w:sz="4" w:space="0"/>
              <w:bottom w:val="single" w:color="000000" w:sz="4" w:space="0"/>
              <w:right w:val="single" w:color="auto"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符合全部三项（3）；</w:t>
            </w:r>
          </w:p>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符合其中两项（2）；</w:t>
            </w:r>
          </w:p>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符合其中一项（1）；</w:t>
            </w:r>
          </w:p>
          <w:p>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符合零项（0）。</w:t>
            </w:r>
          </w:p>
        </w:tc>
        <w:tc>
          <w:tcPr>
            <w:tcW w:w="764" w:type="dxa"/>
            <w:tcBorders>
              <w:top w:val="single" w:color="auto" w:sz="4" w:space="0"/>
              <w:left w:val="single" w:color="auto" w:sz="4" w:space="0"/>
              <w:bottom w:val="single" w:color="000000" w:sz="4" w:space="0"/>
              <w:right w:val="single" w:color="000000"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仿宋_GB2312" w:hAnsi="仿宋_GB2312" w:eastAsia="仿宋_GB2312" w:cs="仿宋_GB2312"/>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仿宋_GB2312" w:hAnsi="仿宋_GB2312" w:eastAsia="仿宋_GB2312" w:cs="仿宋_GB2312"/>
                <w:szCs w:val="21"/>
              </w:rPr>
            </w:pPr>
          </w:p>
        </w:tc>
        <w:tc>
          <w:tcPr>
            <w:tcW w:w="1275" w:type="dxa"/>
            <w:tcBorders>
              <w:top w:val="single" w:color="auto" w:sz="4" w:space="0"/>
              <w:left w:val="single" w:color="000000" w:sz="4" w:space="0"/>
              <w:bottom w:val="single" w:color="000000" w:sz="4" w:space="0"/>
              <w:right w:val="single" w:color="auto"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固定资产利用率（3分）</w:t>
            </w:r>
          </w:p>
        </w:tc>
        <w:tc>
          <w:tcPr>
            <w:tcW w:w="3436" w:type="dxa"/>
            <w:tcBorders>
              <w:top w:val="single" w:color="auto" w:sz="4" w:space="0"/>
              <w:left w:val="single" w:color="auto" w:sz="4" w:space="0"/>
              <w:bottom w:val="single" w:color="000000" w:sz="4" w:space="0"/>
              <w:right w:val="single" w:color="auto"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部门实际在用固定资产总额与所有固定资产总额的比率，用以反映和评价部门固定资产使用效率。</w:t>
            </w:r>
          </w:p>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固定资产利用率=（实际在用固定资产总额/所有固定资产总额）×100%。</w:t>
            </w:r>
          </w:p>
        </w:tc>
        <w:tc>
          <w:tcPr>
            <w:tcW w:w="2373" w:type="dxa"/>
            <w:tcBorders>
              <w:top w:val="single" w:color="auto"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1.固定资产利用率大于或等于95%的，得满分；</w:t>
            </w:r>
          </w:p>
          <w:p>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2.固定资产利用率小于或等于85%的，得0分；</w:t>
            </w:r>
          </w:p>
          <w:p>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3.固定资产利用率在85%-95%之间的，在0和满分之间计算确定：</w:t>
            </w:r>
          </w:p>
          <w:p>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得分=［某部门固定资产利用率-min（固定资产利用率）］/［max（固定资产利用率）-min（固定资产利用率）］×该指标分值。</w:t>
            </w:r>
          </w:p>
        </w:tc>
        <w:tc>
          <w:tcPr>
            <w:tcW w:w="764" w:type="dxa"/>
            <w:tcBorders>
              <w:top w:val="single" w:color="auto" w:sz="4" w:space="0"/>
              <w:left w:val="single" w:color="auto" w:sz="4" w:space="0"/>
              <w:bottom w:val="single" w:color="000000" w:sz="4" w:space="0"/>
              <w:right w:val="single" w:color="000000"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szCs w:val="21"/>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77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产出(25分)</w:t>
            </w:r>
          </w:p>
        </w:tc>
        <w:tc>
          <w:tcPr>
            <w:tcW w:w="743"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职责履行情况（25）</w:t>
            </w:r>
          </w:p>
        </w:tc>
        <w:tc>
          <w:tcPr>
            <w:tcW w:w="1275" w:type="dxa"/>
            <w:tcBorders>
              <w:top w:val="single" w:color="000000" w:sz="4" w:space="0"/>
              <w:left w:val="single" w:color="000000" w:sz="4" w:space="0"/>
              <w:bottom w:val="single" w:color="auto" w:sz="4" w:space="0"/>
              <w:right w:val="single" w:color="auto"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履职完成情况（10分）</w:t>
            </w:r>
          </w:p>
        </w:tc>
        <w:tc>
          <w:tcPr>
            <w:tcW w:w="3436"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textAlignment w:val="center"/>
              <w:rPr>
                <w:rFonts w:ascii="仿宋_GB2312" w:hAnsi="仿宋_GB2312" w:eastAsia="仿宋_GB2312" w:cs="仿宋_GB2312"/>
                <w:szCs w:val="21"/>
              </w:rPr>
            </w:pPr>
            <w:r>
              <w:rPr>
                <w:rFonts w:hint="eastAsia" w:ascii="仿宋_GB2312" w:hAnsi="仿宋_GB2312" w:eastAsia="仿宋_GB2312" w:cs="仿宋_GB2312"/>
                <w:color w:val="000000"/>
                <w:kern w:val="0"/>
                <w:szCs w:val="21"/>
              </w:rPr>
              <w:t>根据年度主要任务分解表的具体任务，逐项评价任务量化指标完成情况、实施效果和责任制建立情况。用以反映和考核部门（单</w:t>
            </w:r>
            <w:bookmarkStart w:id="0" w:name="_GoBack"/>
            <w:bookmarkEnd w:id="0"/>
            <w:r>
              <w:rPr>
                <w:rFonts w:hint="eastAsia" w:ascii="仿宋_GB2312" w:hAnsi="仿宋_GB2312" w:eastAsia="仿宋_GB2312" w:cs="仿宋_GB2312"/>
                <w:color w:val="000000"/>
                <w:kern w:val="0"/>
                <w:szCs w:val="21"/>
              </w:rPr>
              <w:t>位）履职工作任务目标的完成情况。评价要点：</w:t>
            </w:r>
            <w:r>
              <w:rPr>
                <w:rFonts w:hint="eastAsia" w:ascii="仿宋_GB2312" w:hAnsi="仿宋_GB2312" w:eastAsia="仿宋_GB2312" w:cs="仿宋_GB2312"/>
                <w:color w:val="000000"/>
                <w:kern w:val="0"/>
                <w:szCs w:val="21"/>
              </w:rPr>
              <w:br w:type="textWrapping"/>
            </w:r>
            <w:r>
              <w:rPr>
                <w:rFonts w:hint="eastAsia" w:ascii="仿宋_GB2312" w:hAnsi="仿宋_GB2312" w:eastAsia="仿宋_GB2312" w:cs="仿宋_GB2312"/>
                <w:color w:val="000000"/>
                <w:kern w:val="0"/>
                <w:szCs w:val="21"/>
              </w:rPr>
              <w:t xml:space="preserve">1.每项任务是否已制定了明确、具体、可量化、可衡量的绩效指标；           </w:t>
            </w:r>
            <w:r>
              <w:rPr>
                <w:rFonts w:hint="eastAsia" w:ascii="仿宋_GB2312" w:hAnsi="仿宋_GB2312" w:eastAsia="仿宋_GB2312" w:cs="仿宋_GB2312"/>
                <w:color w:val="000000"/>
                <w:kern w:val="0"/>
                <w:szCs w:val="21"/>
              </w:rPr>
              <w:br w:type="textWrapping"/>
            </w:r>
            <w:r>
              <w:rPr>
                <w:rFonts w:hint="eastAsia" w:ascii="仿宋_GB2312" w:hAnsi="仿宋_GB2312" w:eastAsia="仿宋_GB2312" w:cs="仿宋_GB2312"/>
                <w:color w:val="000000"/>
                <w:kern w:val="0"/>
                <w:szCs w:val="21"/>
              </w:rPr>
              <w:t>2.每项任务绩效指标的完成情况，是全部完成、基本完成、未完成，还是未实施；</w:t>
            </w:r>
            <w:r>
              <w:rPr>
                <w:rFonts w:hint="eastAsia" w:ascii="仿宋_GB2312" w:hAnsi="仿宋_GB2312" w:eastAsia="仿宋_GB2312" w:cs="仿宋_GB2312"/>
                <w:color w:val="000000"/>
                <w:kern w:val="0"/>
                <w:szCs w:val="21"/>
              </w:rPr>
              <w:br w:type="textWrapping"/>
            </w:r>
            <w:r>
              <w:rPr>
                <w:rFonts w:hint="eastAsia" w:ascii="仿宋_GB2312" w:hAnsi="仿宋_GB2312" w:eastAsia="仿宋_GB2312" w:cs="仿宋_GB2312"/>
                <w:color w:val="000000"/>
                <w:kern w:val="0"/>
                <w:szCs w:val="21"/>
              </w:rPr>
              <w:t>3.每项任务实施效果情况，是优秀、良好、一般，还是无效果；</w:t>
            </w:r>
            <w:r>
              <w:rPr>
                <w:rFonts w:hint="eastAsia" w:ascii="仿宋_GB2312" w:hAnsi="仿宋_GB2312" w:eastAsia="仿宋_GB2312" w:cs="仿宋_GB2312"/>
                <w:color w:val="000000"/>
                <w:kern w:val="0"/>
                <w:szCs w:val="21"/>
              </w:rPr>
              <w:br w:type="textWrapping"/>
            </w:r>
            <w:r>
              <w:rPr>
                <w:rFonts w:hint="eastAsia" w:ascii="仿宋_GB2312" w:hAnsi="仿宋_GB2312" w:eastAsia="仿宋_GB2312" w:cs="仿宋_GB2312"/>
                <w:color w:val="000000"/>
                <w:kern w:val="0"/>
                <w:szCs w:val="21"/>
              </w:rPr>
              <w:t>4.每项任务是否建立了目标责任制，是否落实到具体部门和人员负责。</w:t>
            </w:r>
          </w:p>
        </w:tc>
        <w:tc>
          <w:tcPr>
            <w:tcW w:w="2373"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textAlignment w:val="center"/>
              <w:rPr>
                <w:rFonts w:ascii="仿宋_GB2312" w:hAnsi="仿宋_GB2312" w:eastAsia="仿宋_GB2312" w:cs="仿宋_GB2312"/>
                <w:szCs w:val="21"/>
              </w:rPr>
            </w:pPr>
            <w:r>
              <w:rPr>
                <w:rFonts w:hint="eastAsia" w:ascii="仿宋_GB2312" w:hAnsi="仿宋_GB2312" w:eastAsia="仿宋_GB2312" w:cs="仿宋_GB2312"/>
                <w:color w:val="000000"/>
                <w:kern w:val="0"/>
                <w:szCs w:val="21"/>
              </w:rPr>
              <w:t>根据不同部门履职的内容和特点，具体测算部门履职工作任务目标的完成情况。</w:t>
            </w:r>
          </w:p>
        </w:tc>
        <w:tc>
          <w:tcPr>
            <w:tcW w:w="764" w:type="dxa"/>
            <w:tcBorders>
              <w:top w:val="single" w:color="000000" w:sz="4" w:space="0"/>
              <w:left w:val="single" w:color="auto" w:sz="4" w:space="0"/>
              <w:bottom w:val="single" w:color="auto" w:sz="4" w:space="0"/>
              <w:right w:val="single" w:color="000000"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szCs w:val="21"/>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90"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仿宋_GB2312" w:hAnsi="仿宋_GB2312" w:eastAsia="仿宋_GB2312" w:cs="仿宋_GB2312"/>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仿宋_GB2312" w:hAnsi="仿宋_GB2312" w:eastAsia="仿宋_GB2312" w:cs="仿宋_GB2312"/>
                <w:szCs w:val="21"/>
              </w:rPr>
            </w:pPr>
          </w:p>
        </w:tc>
        <w:tc>
          <w:tcPr>
            <w:tcW w:w="1275" w:type="dxa"/>
            <w:tcBorders>
              <w:top w:val="single" w:color="000000" w:sz="4" w:space="0"/>
              <w:left w:val="single" w:color="000000" w:sz="4" w:space="0"/>
              <w:right w:val="single" w:color="auto"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项目完成质量达标率（15）</w:t>
            </w:r>
          </w:p>
        </w:tc>
        <w:tc>
          <w:tcPr>
            <w:tcW w:w="3436" w:type="dxa"/>
            <w:tcBorders>
              <w:top w:val="single" w:color="000000" w:sz="4" w:space="0"/>
              <w:left w:val="single" w:color="auto"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部门已完成项目中质量达标项目个数占已完成项目个数的比率,用以反映和评价部门履职质量目标的实现程度。</w:t>
            </w:r>
          </w:p>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项目质量达标率=（已完成项目中质量达标项目个数/已完成项目个数）×100%。</w:t>
            </w:r>
          </w:p>
          <w:p>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项目质量达标是指项目决算验收合格。</w:t>
            </w:r>
          </w:p>
        </w:tc>
        <w:tc>
          <w:tcPr>
            <w:tcW w:w="2373" w:type="dxa"/>
            <w:tcBorders>
              <w:top w:val="single" w:color="000000" w:sz="4" w:space="0"/>
              <w:left w:val="single" w:color="auto"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1.项目质量达标率等于100%的，得满分；</w:t>
            </w:r>
          </w:p>
          <w:p>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2.项目质量达标率小于或等于99%的，得0分；</w:t>
            </w:r>
          </w:p>
          <w:p>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 xml:space="preserve">3.项目质量达标率在99%-100%之间的，在0和满分之间计算确定： </w:t>
            </w:r>
          </w:p>
          <w:p>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得分=［某部门项目质量达标率-min（项目质量达标率）］/［max（项目质量达标率）-min（项目质量达标率）］×该指标分值。</w:t>
            </w:r>
          </w:p>
        </w:tc>
        <w:tc>
          <w:tcPr>
            <w:tcW w:w="764" w:type="dxa"/>
            <w:tcBorders>
              <w:top w:val="single" w:color="000000" w:sz="4" w:space="0"/>
              <w:left w:val="single" w:color="auto" w:sz="4" w:space="0"/>
              <w:bottom w:val="single" w:color="auto" w:sz="4" w:space="0"/>
              <w:right w:val="single" w:color="000000"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szCs w:val="21"/>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77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效果（20分）</w:t>
            </w:r>
          </w:p>
        </w:tc>
        <w:tc>
          <w:tcPr>
            <w:tcW w:w="743" w:type="dxa"/>
            <w:vMerge w:val="restart"/>
            <w:tcBorders>
              <w:top w:val="single" w:color="auto" w:sz="4" w:space="0"/>
              <w:left w:val="single" w:color="000000" w:sz="4" w:space="0"/>
              <w:right w:val="single" w:color="000000" w:sz="4" w:space="0"/>
            </w:tcBorders>
            <w:vAlign w:val="center"/>
          </w:tcPr>
          <w:p>
            <w:pPr>
              <w:widowControl/>
              <w:spacing w:line="240" w:lineRule="exact"/>
              <w:jc w:val="left"/>
              <w:rPr>
                <w:rFonts w:ascii="仿宋_GB2312" w:hAnsi="仿宋_GB2312" w:eastAsia="仿宋_GB2312" w:cs="仿宋_GB2312"/>
                <w:kern w:val="0"/>
                <w:szCs w:val="21"/>
              </w:rPr>
            </w:pPr>
          </w:p>
          <w:p>
            <w:pPr>
              <w:widowControl/>
              <w:spacing w:line="240" w:lineRule="exac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履职效益情况</w:t>
            </w:r>
          </w:p>
          <w:p>
            <w:pPr>
              <w:widowControl/>
              <w:spacing w:line="240" w:lineRule="exact"/>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（20分）</w:t>
            </w: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color w:val="000000"/>
                <w:kern w:val="0"/>
                <w:szCs w:val="21"/>
              </w:rPr>
              <w:t>经济效益</w:t>
            </w:r>
            <w:r>
              <w:rPr>
                <w:rFonts w:hint="eastAsia" w:ascii="仿宋_GB2312" w:hAnsi="仿宋_GB2312" w:eastAsia="仿宋_GB2312" w:cs="仿宋_GB2312"/>
                <w:kern w:val="0"/>
                <w:szCs w:val="21"/>
              </w:rPr>
              <w:t>（5分）</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textAlignment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部门及所属二级单位通过履行职责和预算安排支出项目的实施，对我市带来的经济影响。</w:t>
            </w:r>
          </w:p>
          <w:p>
            <w:pPr>
              <w:widowControl/>
              <w:spacing w:line="240" w:lineRule="exact"/>
              <w:jc w:val="left"/>
              <w:textAlignment w:val="center"/>
              <w:rPr>
                <w:rFonts w:ascii="仿宋_GB2312" w:hAnsi="仿宋_GB2312" w:eastAsia="仿宋_GB2312" w:cs="仿宋_GB2312"/>
                <w:szCs w:val="21"/>
              </w:rPr>
            </w:pPr>
            <w:r>
              <w:rPr>
                <w:rFonts w:hint="eastAsia" w:ascii="仿宋_GB2312" w:hAnsi="仿宋_GB2312" w:eastAsia="仿宋_GB2312" w:cs="仿宋_GB2312"/>
                <w:color w:val="000000"/>
                <w:kern w:val="0"/>
                <w:szCs w:val="21"/>
              </w:rPr>
              <w:t>评价要点：</w:t>
            </w:r>
            <w:r>
              <w:rPr>
                <w:rFonts w:hint="eastAsia" w:ascii="仿宋_GB2312" w:hAnsi="仿宋_GB2312" w:eastAsia="仿宋_GB2312" w:cs="仿宋_GB2312"/>
                <w:color w:val="000000"/>
                <w:kern w:val="0"/>
                <w:szCs w:val="21"/>
              </w:rPr>
              <w:br w:type="textWrapping"/>
            </w:r>
            <w:r>
              <w:rPr>
                <w:rFonts w:hint="eastAsia" w:ascii="仿宋_GB2312" w:hAnsi="仿宋_GB2312" w:eastAsia="仿宋_GB2312" w:cs="仿宋_GB2312"/>
                <w:color w:val="000000"/>
                <w:kern w:val="0"/>
                <w:szCs w:val="21"/>
              </w:rPr>
              <w:t xml:space="preserve">1.通过部门所属企事业单位改革，促进了企事业单位效益增长情况；          </w:t>
            </w:r>
            <w:r>
              <w:rPr>
                <w:rFonts w:hint="eastAsia" w:ascii="仿宋_GB2312" w:hAnsi="仿宋_GB2312" w:eastAsia="仿宋_GB2312" w:cs="仿宋_GB2312"/>
                <w:color w:val="000000"/>
                <w:kern w:val="0"/>
                <w:szCs w:val="21"/>
              </w:rPr>
              <w:br w:type="textWrapping"/>
            </w:r>
            <w:r>
              <w:rPr>
                <w:rFonts w:hint="eastAsia" w:ascii="仿宋_GB2312" w:hAnsi="仿宋_GB2312" w:eastAsia="仿宋_GB2312" w:cs="仿宋_GB2312"/>
                <w:color w:val="000000"/>
                <w:kern w:val="0"/>
                <w:szCs w:val="21"/>
              </w:rPr>
              <w:t>2.通过预算支出项目的实施，促进了行业生产能力增长，从而带动行业经济效益增长；</w:t>
            </w:r>
            <w:r>
              <w:rPr>
                <w:rFonts w:hint="eastAsia" w:ascii="仿宋_GB2312" w:hAnsi="仿宋_GB2312" w:eastAsia="仿宋_GB2312" w:cs="仿宋_GB2312"/>
                <w:color w:val="000000"/>
                <w:kern w:val="0"/>
                <w:szCs w:val="21"/>
              </w:rPr>
              <w:br w:type="textWrapping"/>
            </w:r>
            <w:r>
              <w:rPr>
                <w:rFonts w:hint="eastAsia" w:ascii="仿宋_GB2312" w:hAnsi="仿宋_GB2312" w:eastAsia="仿宋_GB2312" w:cs="仿宋_GB2312"/>
                <w:color w:val="000000"/>
                <w:kern w:val="0"/>
                <w:szCs w:val="21"/>
              </w:rPr>
              <w:t>3.通过预算支出项目的实施，有效提高劳动效率，节约成本费用；</w:t>
            </w:r>
            <w:r>
              <w:rPr>
                <w:rFonts w:hint="eastAsia" w:ascii="仿宋_GB2312" w:hAnsi="仿宋_GB2312" w:eastAsia="仿宋_GB2312" w:cs="仿宋_GB2312"/>
                <w:color w:val="000000"/>
                <w:kern w:val="0"/>
                <w:szCs w:val="21"/>
              </w:rPr>
              <w:br w:type="textWrapping"/>
            </w:r>
            <w:r>
              <w:rPr>
                <w:rFonts w:hint="eastAsia" w:ascii="仿宋_GB2312" w:hAnsi="仿宋_GB2312" w:eastAsia="仿宋_GB2312" w:cs="仿宋_GB2312"/>
                <w:color w:val="000000"/>
                <w:kern w:val="0"/>
                <w:szCs w:val="21"/>
              </w:rPr>
              <w:t>4.通过预算支出项目的实施，降低了损耗，从而提高了生产效益；</w:t>
            </w:r>
            <w:r>
              <w:rPr>
                <w:rFonts w:hint="eastAsia" w:ascii="仿宋_GB2312" w:hAnsi="仿宋_GB2312" w:eastAsia="仿宋_GB2312" w:cs="仿宋_GB2312"/>
                <w:color w:val="000000"/>
                <w:kern w:val="0"/>
                <w:szCs w:val="21"/>
              </w:rPr>
              <w:br w:type="textWrapping"/>
            </w:r>
            <w:r>
              <w:rPr>
                <w:rFonts w:hint="eastAsia" w:ascii="仿宋_GB2312" w:hAnsi="仿宋_GB2312" w:eastAsia="仿宋_GB2312" w:cs="仿宋_GB2312"/>
                <w:color w:val="000000"/>
                <w:kern w:val="0"/>
                <w:szCs w:val="21"/>
              </w:rPr>
              <w:t>5.通过预算支出项目的实施，完善了突发情况的监测预警，保障了生产安全，降低了生产损失。</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textAlignment w:val="center"/>
              <w:rPr>
                <w:rFonts w:ascii="仿宋_GB2312" w:hAnsi="仿宋_GB2312" w:eastAsia="仿宋_GB2312" w:cs="仿宋_GB2312"/>
                <w:szCs w:val="21"/>
              </w:rPr>
            </w:pPr>
            <w:r>
              <w:rPr>
                <w:rFonts w:hint="eastAsia" w:ascii="仿宋_GB2312" w:hAnsi="仿宋_GB2312" w:eastAsia="仿宋_GB2312" w:cs="仿宋_GB2312"/>
                <w:color w:val="000000"/>
                <w:kern w:val="0"/>
                <w:szCs w:val="21"/>
              </w:rPr>
              <w:t>根据不同部门履职的内容和特点，具体测算部门履职产生的经济效益。</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szCs w:val="21"/>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779" w:type="dxa"/>
            <w:vMerge w:val="continue"/>
            <w:tcBorders>
              <w:left w:val="single" w:color="000000" w:sz="4" w:space="0"/>
              <w:right w:val="single" w:color="000000" w:sz="4" w:space="0"/>
            </w:tcBorders>
            <w:vAlign w:val="center"/>
          </w:tcPr>
          <w:p>
            <w:pPr>
              <w:widowControl/>
              <w:spacing w:line="240" w:lineRule="exact"/>
              <w:jc w:val="left"/>
              <w:rPr>
                <w:rFonts w:ascii="仿宋_GB2312" w:hAnsi="仿宋_GB2312" w:eastAsia="仿宋_GB2312" w:cs="仿宋_GB2312"/>
                <w:kern w:val="0"/>
                <w:szCs w:val="21"/>
              </w:rPr>
            </w:pPr>
          </w:p>
        </w:tc>
        <w:tc>
          <w:tcPr>
            <w:tcW w:w="743" w:type="dxa"/>
            <w:vMerge w:val="continue"/>
            <w:tcBorders>
              <w:left w:val="single" w:color="000000" w:sz="4" w:space="0"/>
              <w:right w:val="single" w:color="000000" w:sz="4" w:space="0"/>
            </w:tcBorders>
            <w:vAlign w:val="center"/>
          </w:tcPr>
          <w:p>
            <w:pPr>
              <w:widowControl/>
              <w:spacing w:line="240" w:lineRule="exact"/>
              <w:jc w:val="left"/>
              <w:rPr>
                <w:rFonts w:ascii="仿宋_GB2312" w:hAnsi="仿宋_GB2312" w:eastAsia="仿宋_GB2312" w:cs="仿宋_GB2312"/>
                <w:kern w:val="0"/>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社会效益（5分）</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textAlignment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部门及所属二级单位履行职责对社会发展所带来的直接或间接影响。</w:t>
            </w:r>
          </w:p>
          <w:p>
            <w:pPr>
              <w:widowControl/>
              <w:spacing w:line="240" w:lineRule="exact"/>
              <w:textAlignment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评价要点：</w:t>
            </w:r>
            <w:r>
              <w:rPr>
                <w:rFonts w:hint="eastAsia" w:ascii="仿宋_GB2312" w:hAnsi="仿宋_GB2312" w:eastAsia="仿宋_GB2312" w:cs="仿宋_GB2312"/>
                <w:color w:val="000000"/>
                <w:kern w:val="0"/>
                <w:szCs w:val="21"/>
              </w:rPr>
              <w:br w:type="textWrapping"/>
            </w:r>
            <w:r>
              <w:rPr>
                <w:rFonts w:hint="eastAsia" w:ascii="仿宋_GB2312" w:hAnsi="仿宋_GB2312" w:eastAsia="仿宋_GB2312" w:cs="仿宋_GB2312"/>
                <w:color w:val="000000"/>
                <w:kern w:val="0"/>
                <w:szCs w:val="21"/>
              </w:rPr>
              <w:t xml:space="preserve">1.通过部门所属企事业单位的改革，促进了企事业单位可持续发展，带动就业增长情况；          </w:t>
            </w:r>
            <w:r>
              <w:rPr>
                <w:rFonts w:hint="eastAsia" w:ascii="仿宋_GB2312" w:hAnsi="仿宋_GB2312" w:eastAsia="仿宋_GB2312" w:cs="仿宋_GB2312"/>
                <w:color w:val="000000"/>
                <w:kern w:val="0"/>
                <w:szCs w:val="21"/>
              </w:rPr>
              <w:br w:type="textWrapping"/>
            </w:r>
            <w:r>
              <w:rPr>
                <w:rFonts w:hint="eastAsia" w:ascii="仿宋_GB2312" w:hAnsi="仿宋_GB2312" w:eastAsia="仿宋_GB2312" w:cs="仿宋_GB2312"/>
                <w:color w:val="000000"/>
                <w:kern w:val="0"/>
                <w:szCs w:val="21"/>
              </w:rPr>
              <w:t>2.通过预算支出项目的实施，是否明显促进了行业精神文明建设；</w:t>
            </w:r>
            <w:r>
              <w:rPr>
                <w:rFonts w:hint="eastAsia" w:ascii="仿宋_GB2312" w:hAnsi="仿宋_GB2312" w:eastAsia="仿宋_GB2312" w:cs="仿宋_GB2312"/>
                <w:color w:val="000000"/>
                <w:kern w:val="0"/>
                <w:szCs w:val="21"/>
              </w:rPr>
              <w:br w:type="textWrapping"/>
            </w:r>
            <w:r>
              <w:rPr>
                <w:rFonts w:hint="eastAsia" w:ascii="仿宋_GB2312" w:hAnsi="仿宋_GB2312" w:eastAsia="仿宋_GB2312" w:cs="仿宋_GB2312"/>
                <w:color w:val="000000"/>
                <w:kern w:val="0"/>
                <w:szCs w:val="21"/>
              </w:rPr>
              <w:t>3.通过部门履职是否明显提高城乡居民生活水平，满足了人们日益增长的物质与文化生活需求；</w:t>
            </w:r>
            <w:r>
              <w:rPr>
                <w:rFonts w:hint="eastAsia" w:ascii="仿宋_GB2312" w:hAnsi="仿宋_GB2312" w:eastAsia="仿宋_GB2312" w:cs="仿宋_GB2312"/>
                <w:color w:val="000000"/>
                <w:kern w:val="0"/>
                <w:szCs w:val="21"/>
              </w:rPr>
              <w:br w:type="textWrapping"/>
            </w:r>
            <w:r>
              <w:rPr>
                <w:rFonts w:hint="eastAsia" w:ascii="仿宋_GB2312" w:hAnsi="仿宋_GB2312" w:eastAsia="仿宋_GB2312" w:cs="仿宋_GB2312"/>
                <w:color w:val="000000"/>
                <w:kern w:val="0"/>
                <w:szCs w:val="21"/>
              </w:rPr>
              <w:t>4.通过预算项目的实施，是否提高了劳动生产率，降低了劳动强度，促进了劳动人民的身心健康；</w:t>
            </w:r>
            <w:r>
              <w:rPr>
                <w:rFonts w:hint="eastAsia" w:ascii="仿宋_GB2312" w:hAnsi="仿宋_GB2312" w:eastAsia="仿宋_GB2312" w:cs="仿宋_GB2312"/>
                <w:color w:val="000000"/>
                <w:kern w:val="0"/>
                <w:szCs w:val="21"/>
              </w:rPr>
              <w:br w:type="textWrapping"/>
            </w:r>
            <w:r>
              <w:rPr>
                <w:rFonts w:hint="eastAsia" w:ascii="仿宋_GB2312" w:hAnsi="仿宋_GB2312" w:eastAsia="仿宋_GB2312" w:cs="仿宋_GB2312"/>
                <w:color w:val="000000"/>
                <w:kern w:val="0"/>
                <w:szCs w:val="21"/>
              </w:rPr>
              <w:t>5.通过部门履职行业形象是否得到了大大提升了，增强了部门影响力。</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textAlignment w:val="center"/>
              <w:rPr>
                <w:rFonts w:ascii="仿宋_GB2312" w:hAnsi="仿宋_GB2312" w:eastAsia="仿宋_GB2312" w:cs="仿宋_GB2312"/>
                <w:szCs w:val="21"/>
              </w:rPr>
            </w:pPr>
            <w:r>
              <w:rPr>
                <w:rFonts w:hint="eastAsia" w:ascii="仿宋_GB2312" w:hAnsi="仿宋_GB2312" w:eastAsia="仿宋_GB2312" w:cs="仿宋_GB2312"/>
                <w:color w:val="000000"/>
                <w:kern w:val="0"/>
                <w:szCs w:val="21"/>
              </w:rPr>
              <w:t>根据不同部门履职的内容和特点，具体测算部门履职产生的社会效益。</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szCs w:val="21"/>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779" w:type="dxa"/>
            <w:vMerge w:val="continue"/>
            <w:tcBorders>
              <w:left w:val="single" w:color="000000" w:sz="4" w:space="0"/>
              <w:right w:val="single" w:color="000000" w:sz="4" w:space="0"/>
            </w:tcBorders>
            <w:vAlign w:val="center"/>
          </w:tcPr>
          <w:p>
            <w:pPr>
              <w:widowControl/>
              <w:spacing w:line="240" w:lineRule="exact"/>
              <w:jc w:val="left"/>
              <w:rPr>
                <w:rFonts w:ascii="仿宋_GB2312" w:hAnsi="仿宋_GB2312" w:eastAsia="仿宋_GB2312" w:cs="仿宋_GB2312"/>
                <w:kern w:val="0"/>
                <w:szCs w:val="21"/>
              </w:rPr>
            </w:pPr>
          </w:p>
        </w:tc>
        <w:tc>
          <w:tcPr>
            <w:tcW w:w="743" w:type="dxa"/>
            <w:vMerge w:val="continue"/>
            <w:tcBorders>
              <w:left w:val="single" w:color="000000" w:sz="4" w:space="0"/>
              <w:right w:val="single" w:color="000000" w:sz="4" w:space="0"/>
            </w:tcBorders>
            <w:vAlign w:val="center"/>
          </w:tcPr>
          <w:p>
            <w:pPr>
              <w:widowControl/>
              <w:spacing w:line="240" w:lineRule="exact"/>
              <w:jc w:val="left"/>
              <w:rPr>
                <w:rFonts w:ascii="仿宋_GB2312" w:hAnsi="仿宋_GB2312" w:eastAsia="仿宋_GB2312" w:cs="仿宋_GB2312"/>
                <w:kern w:val="0"/>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生态效益（5分）</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textAlignment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部门及所属二级单位履行职责对生态环境所带来的直接或间接影响。</w:t>
            </w:r>
          </w:p>
          <w:p>
            <w:pPr>
              <w:widowControl/>
              <w:spacing w:line="240" w:lineRule="exact"/>
              <w:jc w:val="left"/>
              <w:textAlignment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评价要点：</w:t>
            </w:r>
            <w:r>
              <w:rPr>
                <w:rFonts w:hint="eastAsia" w:ascii="仿宋_GB2312" w:hAnsi="仿宋_GB2312" w:eastAsia="仿宋_GB2312" w:cs="仿宋_GB2312"/>
                <w:color w:val="000000"/>
                <w:kern w:val="0"/>
                <w:szCs w:val="21"/>
              </w:rPr>
              <w:br w:type="textWrapping"/>
            </w:r>
            <w:r>
              <w:rPr>
                <w:rFonts w:hint="eastAsia" w:ascii="仿宋_GB2312" w:hAnsi="仿宋_GB2312" w:eastAsia="仿宋_GB2312" w:cs="仿宋_GB2312"/>
                <w:color w:val="000000"/>
                <w:kern w:val="0"/>
                <w:szCs w:val="21"/>
              </w:rPr>
              <w:t>1.通过预算支出项目的实施，绿色、节能环保新技术的应用和推广，明显带动各环节的节能减排，也具有一定的环境效益；</w:t>
            </w:r>
            <w:r>
              <w:rPr>
                <w:rFonts w:hint="eastAsia" w:ascii="仿宋_GB2312" w:hAnsi="仿宋_GB2312" w:eastAsia="仿宋_GB2312" w:cs="仿宋_GB2312"/>
                <w:color w:val="000000"/>
                <w:kern w:val="0"/>
                <w:szCs w:val="21"/>
              </w:rPr>
              <w:br w:type="textWrapping"/>
            </w:r>
            <w:r>
              <w:rPr>
                <w:rFonts w:hint="eastAsia" w:ascii="仿宋_GB2312" w:hAnsi="仿宋_GB2312" w:eastAsia="仿宋_GB2312" w:cs="仿宋_GB2312"/>
                <w:color w:val="000000"/>
                <w:kern w:val="0"/>
                <w:szCs w:val="21"/>
              </w:rPr>
              <w:t>2.通过履职有效地控制虚假、伪劣、霉变等劣质产品进入市场，影响了人民生活质量，净化地市场环境；</w:t>
            </w:r>
            <w:r>
              <w:rPr>
                <w:rFonts w:hint="eastAsia" w:ascii="仿宋_GB2312" w:hAnsi="仿宋_GB2312" w:eastAsia="仿宋_GB2312" w:cs="仿宋_GB2312"/>
                <w:color w:val="000000"/>
                <w:kern w:val="0"/>
                <w:szCs w:val="21"/>
              </w:rPr>
              <w:br w:type="textWrapping"/>
            </w:r>
            <w:r>
              <w:rPr>
                <w:rFonts w:hint="eastAsia" w:ascii="仿宋_GB2312" w:hAnsi="仿宋_GB2312" w:eastAsia="仿宋_GB2312" w:cs="仿宋_GB2312"/>
                <w:color w:val="000000"/>
                <w:kern w:val="0"/>
                <w:szCs w:val="21"/>
              </w:rPr>
              <w:t>3.通过预算支出项目的实施，是否达到减少污染物排放；</w:t>
            </w:r>
            <w:r>
              <w:rPr>
                <w:rFonts w:hint="eastAsia" w:ascii="仿宋_GB2312" w:hAnsi="仿宋_GB2312" w:eastAsia="仿宋_GB2312" w:cs="仿宋_GB2312"/>
                <w:color w:val="000000"/>
                <w:kern w:val="0"/>
                <w:szCs w:val="21"/>
              </w:rPr>
              <w:br w:type="textWrapping"/>
            </w:r>
            <w:r>
              <w:rPr>
                <w:rFonts w:hint="eastAsia" w:ascii="仿宋_GB2312" w:hAnsi="仿宋_GB2312" w:eastAsia="仿宋_GB2312" w:cs="仿宋_GB2312"/>
                <w:color w:val="000000"/>
                <w:kern w:val="0"/>
                <w:szCs w:val="21"/>
              </w:rPr>
              <w:t>4.通过预算支出项目的实施，周围环境得到了整治，面貌得到了改善。</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textAlignment w:val="center"/>
              <w:rPr>
                <w:rFonts w:ascii="仿宋_GB2312" w:hAnsi="仿宋_GB2312" w:eastAsia="仿宋_GB2312" w:cs="仿宋_GB2312"/>
                <w:szCs w:val="21"/>
              </w:rPr>
            </w:pPr>
            <w:r>
              <w:rPr>
                <w:rFonts w:hint="eastAsia" w:ascii="仿宋_GB2312" w:hAnsi="仿宋_GB2312" w:eastAsia="仿宋_GB2312" w:cs="仿宋_GB2312"/>
                <w:color w:val="000000"/>
                <w:kern w:val="0"/>
                <w:szCs w:val="21"/>
              </w:rPr>
              <w:t>根据不同部门履职的内容和特点，具体测算部门履职产生的生态效益。</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szCs w:val="21"/>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仿宋_GB2312" w:hAnsi="仿宋_GB2312" w:eastAsia="仿宋_GB2312" w:cs="仿宋_GB2312"/>
                <w:szCs w:val="21"/>
              </w:rPr>
            </w:pPr>
          </w:p>
        </w:tc>
        <w:tc>
          <w:tcPr>
            <w:tcW w:w="743" w:type="dxa"/>
            <w:vMerge w:val="continue"/>
            <w:tcBorders>
              <w:left w:val="single" w:color="000000" w:sz="4" w:space="0"/>
              <w:right w:val="single" w:color="000000" w:sz="4" w:space="0"/>
            </w:tcBorders>
            <w:vAlign w:val="center"/>
          </w:tcPr>
          <w:p>
            <w:pPr>
              <w:widowControl/>
              <w:spacing w:line="240" w:lineRule="exact"/>
              <w:jc w:val="left"/>
              <w:rPr>
                <w:rFonts w:ascii="仿宋_GB2312" w:hAnsi="仿宋_GB2312" w:eastAsia="仿宋_GB2312" w:cs="仿宋_GB2312"/>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服务对象满意度（5）</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szCs w:val="21"/>
              </w:rPr>
            </w:pPr>
            <w:r>
              <w:rPr>
                <w:rFonts w:hint="eastAsia" w:ascii="仿宋_GB2312" w:hAnsi="仿宋_GB2312" w:eastAsia="仿宋_GB2312" w:cs="仿宋_GB2312"/>
                <w:kern w:val="0"/>
                <w:szCs w:val="21"/>
              </w:rPr>
              <w:t>通过对部门（单位）的服务对象对部门履职效果的满意程度调查，反映和考核社会公众或服务对象对部门履职的满意度。</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rPr>
                <w:rFonts w:ascii="仿宋_GB2312" w:hAnsi="仿宋_GB2312" w:eastAsia="仿宋_GB2312" w:cs="仿宋_GB2312"/>
                <w:kern w:val="0"/>
                <w:szCs w:val="21"/>
              </w:rPr>
            </w:pPr>
            <w:r>
              <w:rPr>
                <w:rFonts w:hint="eastAsia" w:ascii="仿宋_GB2312" w:hAnsi="仿宋_GB2312" w:eastAsia="仿宋_GB2312" w:cs="仿宋_GB2312"/>
                <w:kern w:val="0"/>
                <w:szCs w:val="21"/>
              </w:rPr>
              <w:t>按照满意度调查的优秀、良好、合格、不合格给予该项指标打分：</w:t>
            </w:r>
          </w:p>
          <w:p>
            <w:pPr>
              <w:widowControl/>
              <w:spacing w:line="240" w:lineRule="exact"/>
              <w:rPr>
                <w:rFonts w:ascii="仿宋_GB2312" w:hAnsi="仿宋_GB2312" w:eastAsia="仿宋_GB2312" w:cs="仿宋_GB2312"/>
                <w:szCs w:val="21"/>
              </w:rPr>
            </w:pPr>
            <w:r>
              <w:rPr>
                <w:rFonts w:hint="eastAsia" w:ascii="仿宋_GB2312" w:hAnsi="仿宋_GB2312" w:eastAsia="仿宋_GB2312" w:cs="仿宋_GB2312"/>
                <w:kern w:val="0"/>
                <w:szCs w:val="21"/>
              </w:rPr>
              <w:t>优秀（5）；良好（3）；合格（1）；不合格（0）。</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szCs w:val="21"/>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4" w:hRule="atLeast"/>
        </w:trPr>
        <w:tc>
          <w:tcPr>
            <w:tcW w:w="779" w:type="dxa"/>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仿宋_GB2312" w:hAnsi="仿宋_GB2312" w:eastAsia="仿宋_GB2312" w:cs="仿宋_GB2312"/>
                <w:szCs w:val="21"/>
              </w:rPr>
            </w:pPr>
            <w:r>
              <w:rPr>
                <w:rFonts w:hint="eastAsia" w:ascii="仿宋_GB2312" w:hAnsi="仿宋_GB2312" w:eastAsia="仿宋_GB2312" w:cs="仿宋_GB2312"/>
                <w:szCs w:val="21"/>
              </w:rPr>
              <w:t>合计</w:t>
            </w:r>
          </w:p>
        </w:tc>
        <w:tc>
          <w:tcPr>
            <w:tcW w:w="743" w:type="dxa"/>
            <w:tcBorders>
              <w:left w:val="single" w:color="000000" w:sz="4" w:space="0"/>
              <w:bottom w:val="single" w:color="auto" w:sz="4" w:space="0"/>
              <w:right w:val="single" w:color="000000" w:sz="4" w:space="0"/>
            </w:tcBorders>
            <w:vAlign w:val="center"/>
          </w:tcPr>
          <w:p>
            <w:pPr>
              <w:widowControl/>
              <w:spacing w:line="240" w:lineRule="exact"/>
              <w:jc w:val="left"/>
              <w:rPr>
                <w:rFonts w:ascii="仿宋_GB2312" w:hAnsi="仿宋_GB2312" w:eastAsia="仿宋_GB2312" w:cs="仿宋_GB2312"/>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ascii="仿宋_GB2312" w:hAnsi="仿宋_GB2312" w:eastAsia="仿宋_GB2312" w:cs="仿宋_GB2312"/>
                <w:kern w:val="0"/>
                <w:szCs w:val="21"/>
              </w:rPr>
            </w:pP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仿宋_GB2312" w:eastAsia="仿宋_GB2312" w:cs="仿宋_GB2312"/>
                <w:kern w:val="0"/>
                <w:szCs w:val="21"/>
              </w:rPr>
            </w:pP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rPr>
                <w:rFonts w:ascii="仿宋_GB2312" w:hAnsi="仿宋_GB2312" w:eastAsia="仿宋_GB2312" w:cs="仿宋_GB2312"/>
                <w:kern w:val="0"/>
                <w:szCs w:val="21"/>
              </w:rPr>
            </w:pP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ascii="仿宋_GB2312" w:hAnsi="仿宋_GB2312" w:eastAsia="仿宋_GB2312" w:cs="仿宋_GB2312"/>
                <w:szCs w:val="21"/>
              </w:rPr>
            </w:pPr>
            <w:r>
              <w:rPr>
                <w:rFonts w:hint="eastAsia" w:ascii="仿宋_GB2312" w:hAnsi="仿宋_GB2312" w:eastAsia="仿宋_GB2312" w:cs="仿宋_GB2312"/>
                <w:szCs w:val="21"/>
              </w:rPr>
              <w:t>96</w:t>
            </w:r>
          </w:p>
        </w:tc>
      </w:tr>
    </w:tbl>
    <w:p>
      <w:pPr>
        <w:spacing w:line="240" w:lineRule="exact"/>
        <w:rPr>
          <w:rFonts w:ascii="仿宋" w:hAnsi="仿宋" w:eastAsia="仿宋" w:cs="仿宋"/>
          <w:sz w:val="32"/>
          <w:szCs w:val="32"/>
        </w:rPr>
      </w:pPr>
    </w:p>
    <w:p>
      <w:pPr>
        <w:spacing w:line="240" w:lineRule="exact"/>
        <w:rPr>
          <w:rFonts w:ascii="仿宋" w:hAnsi="仿宋" w:eastAsia="仿宋" w:cs="仿宋"/>
          <w:sz w:val="32"/>
          <w:szCs w:val="32"/>
        </w:rPr>
      </w:pPr>
    </w:p>
    <w:p>
      <w:pPr>
        <w:spacing w:line="240" w:lineRule="exact"/>
        <w:rPr>
          <w:rFonts w:ascii="仿宋" w:hAnsi="仿宋" w:eastAsia="仿宋" w:cs="仿宋"/>
          <w:sz w:val="32"/>
          <w:szCs w:val="32"/>
        </w:rPr>
      </w:pPr>
    </w:p>
    <w:sectPr>
      <w:footerReference r:id="rId3" w:type="default"/>
      <w:footerReference r:id="rId4" w:type="even"/>
      <w:pgSz w:w="11906" w:h="16838"/>
      <w:pgMar w:top="1985" w:right="1418" w:bottom="1985" w:left="1418" w:header="851" w:footer="1701" w:gutter="0"/>
      <w:cols w:space="425" w:num="1"/>
      <w:docGrid w:type="lines" w:linePitch="3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GWZT-EN"/>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GWZT-EN"/>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10" w:usb3="00000000" w:csb0="00040000" w:csb1="00000000"/>
  </w:font>
  <w:font w:name="方正仿宋_GBK">
    <w:panose1 w:val="02000000000000000000"/>
    <w:charset w:val="86"/>
    <w:family w:val="auto"/>
    <w:pitch w:val="default"/>
    <w:sig w:usb0="00000001" w:usb1="08000000" w:usb2="00000000" w:usb3="00000000" w:csb0="00040000" w:csb1="00000000"/>
  </w:font>
  <w:font w:name="Courier New">
    <w:altName w:val="DejaVu Sans"/>
    <w:panose1 w:val="02070309020205020404"/>
    <w:charset w:val="00"/>
    <w:family w:val="modern"/>
    <w:pitch w:val="default"/>
    <w:sig w:usb0="00000000" w:usb1="00000000" w:usb2="00000009" w:usb3="00000000" w:csb0="000001FF" w:csb1="00000000"/>
  </w:font>
  <w:font w:name="仿宋">
    <w:altName w:val="方正仿宋_GBK"/>
    <w:panose1 w:val="02010609060101010101"/>
    <w:charset w:val="86"/>
    <w:family w:val="modern"/>
    <w:pitch w:val="default"/>
    <w:sig w:usb0="00000000" w:usb1="00000000" w:usb2="00000016" w:usb3="00000000" w:csb0="00040001" w:csb1="00000000"/>
  </w:font>
  <w:font w:name="新宋体">
    <w:altName w:val="Noto Sans Mono CJK SC"/>
    <w:panose1 w:val="02010609030101010101"/>
    <w:charset w:val="86"/>
    <w:family w:val="modern"/>
    <w:pitch w:val="default"/>
    <w:sig w:usb0="00000000" w:usb1="00000000" w:usb2="00000016" w:usb3="00000000" w:csb0="00040001" w:csb1="00000000"/>
  </w:font>
  <w:font w:name="Noto Sans Mono CJK SC">
    <w:panose1 w:val="020B0500000000000000"/>
    <w:charset w:val="86"/>
    <w:family w:val="auto"/>
    <w:pitch w:val="default"/>
    <w:sig w:usb0="30000083" w:usb1="2BDF3C10" w:usb2="00000016" w:usb3="00000000" w:csb0="602E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rPr>
        <w:rStyle w:val="11"/>
        <w:rFonts w:ascii="宋体" w:hAnsi="宋体" w:eastAsia="宋体"/>
        <w:sz w:val="28"/>
        <w:szCs w:val="28"/>
      </w:rPr>
    </w:pPr>
    <w:r>
      <w:rPr>
        <w:rStyle w:val="11"/>
        <w:rFonts w:hint="eastAsia" w:ascii="宋体" w:hAnsi="宋体" w:eastAsia="宋体"/>
        <w:sz w:val="28"/>
        <w:szCs w:val="28"/>
      </w:rPr>
      <w:t>-</w:t>
    </w:r>
    <w:r>
      <w:rPr>
        <w:rStyle w:val="11"/>
        <w:rFonts w:ascii="宋体" w:hAnsi="宋体" w:eastAsia="宋体"/>
        <w:sz w:val="28"/>
        <w:szCs w:val="28"/>
      </w:rPr>
      <w:fldChar w:fldCharType="begin"/>
    </w:r>
    <w:r>
      <w:rPr>
        <w:rStyle w:val="11"/>
        <w:rFonts w:ascii="宋体" w:hAnsi="宋体" w:eastAsia="宋体"/>
        <w:sz w:val="28"/>
        <w:szCs w:val="28"/>
      </w:rPr>
      <w:instrText xml:space="preserve">PAGE  </w:instrText>
    </w:r>
    <w:r>
      <w:rPr>
        <w:rStyle w:val="11"/>
        <w:rFonts w:ascii="宋体" w:hAnsi="宋体" w:eastAsia="宋体"/>
        <w:sz w:val="28"/>
        <w:szCs w:val="28"/>
      </w:rPr>
      <w:fldChar w:fldCharType="separate"/>
    </w:r>
    <w:r>
      <w:rPr>
        <w:rStyle w:val="11"/>
        <w:rFonts w:ascii="宋体" w:hAnsi="宋体" w:eastAsia="宋体"/>
        <w:sz w:val="28"/>
        <w:szCs w:val="28"/>
      </w:rPr>
      <w:t>6</w:t>
    </w:r>
    <w:r>
      <w:rPr>
        <w:rStyle w:val="11"/>
        <w:rFonts w:ascii="宋体" w:hAnsi="宋体" w:eastAsia="宋体"/>
        <w:sz w:val="28"/>
        <w:szCs w:val="28"/>
      </w:rPr>
      <w:fldChar w:fldCharType="end"/>
    </w:r>
    <w:r>
      <w:rPr>
        <w:rStyle w:val="11"/>
        <w:rFonts w:hint="eastAsia" w:ascii="宋体" w:hAnsi="宋体" w:eastAsia="宋体"/>
        <w:sz w:val="28"/>
        <w:szCs w:val="28"/>
      </w:rPr>
      <w:t>-</w:t>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rPr>
        <w:rStyle w:val="11"/>
      </w:rPr>
    </w:pPr>
    <w:r>
      <w:rPr>
        <w:rStyle w:val="11"/>
      </w:rPr>
      <w:fldChar w:fldCharType="begin"/>
    </w:r>
    <w:r>
      <w:rPr>
        <w:rStyle w:val="11"/>
      </w:rPr>
      <w:instrText xml:space="preserve">PAGE  </w:instrText>
    </w:r>
    <w:r>
      <w:rPr>
        <w:rStyle w:val="11"/>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HorizontalSpacing w:val="105"/>
  <w:drawingGridVerticalSpacing w:val="313"/>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42933"/>
    <w:rsid w:val="00002F2C"/>
    <w:rsid w:val="000070A8"/>
    <w:rsid w:val="00016CA4"/>
    <w:rsid w:val="000324AE"/>
    <w:rsid w:val="00042933"/>
    <w:rsid w:val="0008033E"/>
    <w:rsid w:val="0008759D"/>
    <w:rsid w:val="00094F2B"/>
    <w:rsid w:val="000B0A83"/>
    <w:rsid w:val="000B2A07"/>
    <w:rsid w:val="000B6322"/>
    <w:rsid w:val="000C2CC1"/>
    <w:rsid w:val="000E4A5A"/>
    <w:rsid w:val="00103547"/>
    <w:rsid w:val="0017068B"/>
    <w:rsid w:val="00185A3C"/>
    <w:rsid w:val="00192D5A"/>
    <w:rsid w:val="001C59B3"/>
    <w:rsid w:val="001E0886"/>
    <w:rsid w:val="001F7E31"/>
    <w:rsid w:val="002071BC"/>
    <w:rsid w:val="00225AE6"/>
    <w:rsid w:val="00235F0F"/>
    <w:rsid w:val="00255783"/>
    <w:rsid w:val="00290BA1"/>
    <w:rsid w:val="002A6AEA"/>
    <w:rsid w:val="002F2268"/>
    <w:rsid w:val="0033119C"/>
    <w:rsid w:val="003C50C2"/>
    <w:rsid w:val="0041099F"/>
    <w:rsid w:val="00436A1D"/>
    <w:rsid w:val="004379D7"/>
    <w:rsid w:val="004A68B1"/>
    <w:rsid w:val="004B64F3"/>
    <w:rsid w:val="004E3B64"/>
    <w:rsid w:val="005020C5"/>
    <w:rsid w:val="00567FE6"/>
    <w:rsid w:val="0058162A"/>
    <w:rsid w:val="005B3616"/>
    <w:rsid w:val="005E12FA"/>
    <w:rsid w:val="00683167"/>
    <w:rsid w:val="006A5056"/>
    <w:rsid w:val="006E64C9"/>
    <w:rsid w:val="00700C9F"/>
    <w:rsid w:val="007048FF"/>
    <w:rsid w:val="00712100"/>
    <w:rsid w:val="0071700D"/>
    <w:rsid w:val="00742652"/>
    <w:rsid w:val="00772600"/>
    <w:rsid w:val="007D5D41"/>
    <w:rsid w:val="007F01F9"/>
    <w:rsid w:val="00856BA1"/>
    <w:rsid w:val="00867620"/>
    <w:rsid w:val="008709E0"/>
    <w:rsid w:val="008A6A10"/>
    <w:rsid w:val="008A6A31"/>
    <w:rsid w:val="00904AF4"/>
    <w:rsid w:val="00905542"/>
    <w:rsid w:val="00917700"/>
    <w:rsid w:val="00920CEB"/>
    <w:rsid w:val="00956F74"/>
    <w:rsid w:val="009B0B5F"/>
    <w:rsid w:val="009C04DA"/>
    <w:rsid w:val="009C4C62"/>
    <w:rsid w:val="009E3627"/>
    <w:rsid w:val="009F53E7"/>
    <w:rsid w:val="00A11BF8"/>
    <w:rsid w:val="00A14A33"/>
    <w:rsid w:val="00A6449D"/>
    <w:rsid w:val="00A768DB"/>
    <w:rsid w:val="00AA09C8"/>
    <w:rsid w:val="00AD5F30"/>
    <w:rsid w:val="00B0681D"/>
    <w:rsid w:val="00B9023F"/>
    <w:rsid w:val="00BC1FDC"/>
    <w:rsid w:val="00BD0FD8"/>
    <w:rsid w:val="00C44804"/>
    <w:rsid w:val="00C6362A"/>
    <w:rsid w:val="00C81363"/>
    <w:rsid w:val="00CB27A5"/>
    <w:rsid w:val="00CD55ED"/>
    <w:rsid w:val="00CD63C0"/>
    <w:rsid w:val="00CE62A0"/>
    <w:rsid w:val="00D21F0C"/>
    <w:rsid w:val="00D366C1"/>
    <w:rsid w:val="00D877F7"/>
    <w:rsid w:val="00DB2D43"/>
    <w:rsid w:val="00E266F1"/>
    <w:rsid w:val="00EB16A8"/>
    <w:rsid w:val="00EC7904"/>
    <w:rsid w:val="00F72E93"/>
    <w:rsid w:val="00F87A11"/>
    <w:rsid w:val="00FB7E01"/>
    <w:rsid w:val="00FE5F4C"/>
    <w:rsid w:val="00FF39F6"/>
    <w:rsid w:val="05374814"/>
    <w:rsid w:val="0C8F0285"/>
    <w:rsid w:val="0F8F6BFC"/>
    <w:rsid w:val="107166F3"/>
    <w:rsid w:val="144D4E5A"/>
    <w:rsid w:val="1C841DE7"/>
    <w:rsid w:val="3791647A"/>
    <w:rsid w:val="455969D8"/>
    <w:rsid w:val="48725571"/>
    <w:rsid w:val="4BDB04ED"/>
    <w:rsid w:val="526A3656"/>
    <w:rsid w:val="53CD5365"/>
    <w:rsid w:val="5D643D56"/>
    <w:rsid w:val="64283056"/>
    <w:rsid w:val="69BD0A47"/>
    <w:rsid w:val="71A911C9"/>
    <w:rsid w:val="7793669D"/>
    <w:rsid w:val="7CCC213E"/>
    <w:rsid w:val="7D1E2ABF"/>
    <w:rsid w:val="7FC7B66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qFormat/>
    <w:uiPriority w:val="9"/>
    <w:pPr>
      <w:spacing w:before="100" w:beforeAutospacing="1" w:after="100" w:afterAutospacing="1"/>
      <w:jc w:val="left"/>
      <w:outlineLvl w:val="0"/>
    </w:pPr>
    <w:rPr>
      <w:rFonts w:hint="eastAsia" w:ascii="宋体" w:hAnsi="宋体" w:eastAsia="宋体" w:cs="宋体"/>
      <w:b/>
      <w:kern w:val="44"/>
      <w:sz w:val="48"/>
      <w:szCs w:val="4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99"/>
    <w:pPr>
      <w:autoSpaceDE w:val="0"/>
      <w:autoSpaceDN w:val="0"/>
      <w:adjustRightInd w:val="0"/>
      <w:snapToGrid w:val="0"/>
      <w:spacing w:line="588" w:lineRule="atLeast"/>
    </w:pPr>
    <w:rPr>
      <w:rFonts w:ascii="宋体" w:hAnsi="宋体" w:eastAsia="仿宋_GB2312"/>
      <w:spacing w:val="-2"/>
      <w:sz w:val="32"/>
      <w:szCs w:val="24"/>
    </w:rPr>
  </w:style>
  <w:style w:type="paragraph" w:styleId="4">
    <w:name w:val="Plain Text"/>
    <w:basedOn w:val="1"/>
    <w:link w:val="14"/>
    <w:qFormat/>
    <w:uiPriority w:val="0"/>
    <w:rPr>
      <w:rFonts w:ascii="宋体" w:hAnsi="Courier New" w:eastAsia="宋体" w:cs="Courier New"/>
      <w:szCs w:val="21"/>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styleId="10">
    <w:name w:val="Strong"/>
    <w:basedOn w:val="9"/>
    <w:qFormat/>
    <w:uiPriority w:val="22"/>
    <w:rPr>
      <w:b/>
      <w:bCs/>
    </w:rPr>
  </w:style>
  <w:style w:type="character" w:styleId="11">
    <w:name w:val="page number"/>
    <w:basedOn w:val="9"/>
    <w:semiHidden/>
    <w:unhideWhenUsed/>
    <w:qFormat/>
    <w:uiPriority w:val="99"/>
  </w:style>
  <w:style w:type="character" w:customStyle="1" w:styleId="12">
    <w:name w:val="页眉 Char"/>
    <w:basedOn w:val="9"/>
    <w:link w:val="6"/>
    <w:qFormat/>
    <w:uiPriority w:val="99"/>
    <w:rPr>
      <w:sz w:val="18"/>
      <w:szCs w:val="18"/>
    </w:rPr>
  </w:style>
  <w:style w:type="character" w:customStyle="1" w:styleId="13">
    <w:name w:val="页脚 Char"/>
    <w:basedOn w:val="9"/>
    <w:link w:val="5"/>
    <w:qFormat/>
    <w:uiPriority w:val="99"/>
    <w:rPr>
      <w:sz w:val="18"/>
      <w:szCs w:val="18"/>
    </w:rPr>
  </w:style>
  <w:style w:type="character" w:customStyle="1" w:styleId="14">
    <w:name w:val="纯文本 Char"/>
    <w:basedOn w:val="9"/>
    <w:link w:val="4"/>
    <w:qFormat/>
    <w:uiPriority w:val="0"/>
    <w:rPr>
      <w:rFonts w:ascii="宋体" w:hAnsi="Courier New" w:eastAsia="宋体" w:cs="Courier New"/>
      <w:szCs w:val="21"/>
    </w:rPr>
  </w:style>
  <w:style w:type="character" w:customStyle="1" w:styleId="15">
    <w:name w:val="标题 1 Char"/>
    <w:basedOn w:val="9"/>
    <w:link w:val="2"/>
    <w:qFormat/>
    <w:uiPriority w:val="9"/>
    <w:rPr>
      <w:rFonts w:ascii="宋体" w:hAnsi="宋体" w:eastAsia="宋体" w:cs="宋体"/>
      <w:b/>
      <w:kern w:val="44"/>
      <w:sz w:val="48"/>
      <w:szCs w:val="48"/>
    </w:rPr>
  </w:style>
  <w:style w:type="character" w:customStyle="1" w:styleId="16">
    <w:name w:val="font31"/>
    <w:basedOn w:val="9"/>
    <w:qFormat/>
    <w:uiPriority w:val="0"/>
    <w:rPr>
      <w:rFonts w:hint="eastAsia" w:ascii="宋体" w:hAnsi="宋体" w:eastAsia="宋体" w:cs="宋体"/>
      <w:b/>
      <w:color w:val="000000"/>
      <w:sz w:val="36"/>
      <w:szCs w:val="36"/>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800</Words>
  <Characters>4563</Characters>
  <Lines>38</Lines>
  <Paragraphs>10</Paragraphs>
  <TotalTime>17</TotalTime>
  <ScaleCrop>false</ScaleCrop>
  <LinksUpToDate>false</LinksUpToDate>
  <CharactersWithSpaces>5353</CharactersWithSpaces>
  <Application>WPS Office_11.8.2.12219_F1E327BC-269C-435d-A152-05C5408002CA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2016-02-22T15:07:00Z</dcterms:created>
  <dc:creator>Administrator</dc:creator>
  <cp:lastModifiedBy>jlx003</cp:lastModifiedBy>
  <cp:lastPrinted>2018-11-29T11:23:00Z</cp:lastPrinted>
  <dcterms:modified xsi:type="dcterms:W3CDTF">2025-07-04T16:39:43Z</dcterms:modified>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2052-11.8.2.12219</vt:lpwstr>
  </property>
  <property fmtid="{D5CDD505-2E9C-101B-9397-08002B2CF9AE}" pid="3" name="ICV">
    <vt:lpwstr>4588E0390E3B41418FF4298B98D5919E</vt:lpwstr>
  </property>
</Properties>
</file>