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一、中共巨鹿县委机构编制委员会办公室本级收支预算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一、中共巨鹿县委机构编制委员会办公室本级收支预算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232.82</w:t>
            </w:r>
          </w:p>
        </w:tc>
        <w:tc>
          <w:tcPr>
            <w:tcW w:w="4535" w:type="dxa"/>
            <w:vAlign w:val="center"/>
          </w:tcPr>
          <w:p>
            <w:pPr>
              <w:pStyle w:val="12"/>
            </w:pPr>
            <w:r>
              <w:t>一、一般公共服务支出</w:t>
            </w:r>
          </w:p>
        </w:tc>
        <w:tc>
          <w:tcPr>
            <w:tcW w:w="2126" w:type="dxa"/>
            <w:vAlign w:val="center"/>
          </w:tcPr>
          <w:p>
            <w:pPr>
              <w:pStyle w:val="11"/>
            </w:pPr>
            <w:r>
              <w:t>232.82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232.82</w:t>
            </w:r>
          </w:p>
        </w:tc>
        <w:tc>
          <w:tcPr>
            <w:tcW w:w="4535" w:type="dxa"/>
            <w:vAlign w:val="center"/>
          </w:tcPr>
          <w:p>
            <w:pPr>
              <w:pStyle w:val="14"/>
            </w:pPr>
            <w:r>
              <w:t>本年支出合计</w:t>
            </w:r>
          </w:p>
        </w:tc>
        <w:tc>
          <w:tcPr>
            <w:tcW w:w="2126" w:type="dxa"/>
            <w:vAlign w:val="center"/>
          </w:tcPr>
          <w:p>
            <w:pPr>
              <w:pStyle w:val="15"/>
            </w:pPr>
            <w:r>
              <w:t>232.82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232.82</w:t>
            </w:r>
          </w:p>
        </w:tc>
        <w:tc>
          <w:tcPr>
            <w:tcW w:w="4535" w:type="dxa"/>
            <w:vAlign w:val="center"/>
          </w:tcPr>
          <w:p>
            <w:pPr>
              <w:pStyle w:val="14"/>
            </w:pPr>
            <w:r>
              <w:t>支出总计</w:t>
            </w:r>
          </w:p>
        </w:tc>
        <w:tc>
          <w:tcPr>
            <w:tcW w:w="2126" w:type="dxa"/>
            <w:vAlign w:val="center"/>
          </w:tcPr>
          <w:p>
            <w:pPr>
              <w:pStyle w:val="15"/>
            </w:pPr>
            <w:r>
              <w:t>232.82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232.82</w:t>
            </w:r>
          </w:p>
        </w:tc>
        <w:tc>
          <w:tcPr>
            <w:tcW w:w="1134" w:type="dxa"/>
            <w:vAlign w:val="center"/>
          </w:tcPr>
          <w:p>
            <w:pPr>
              <w:pStyle w:val="15"/>
            </w:pPr>
            <w:r>
              <w:t>232.82</w:t>
            </w:r>
          </w:p>
        </w:tc>
        <w:tc>
          <w:tcPr>
            <w:tcW w:w="1134" w:type="dxa"/>
            <w:vAlign w:val="center"/>
          </w:tcPr>
          <w:p>
            <w:pPr>
              <w:pStyle w:val="15"/>
            </w:pPr>
            <w:r>
              <w:t>232.82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232.82</w:t>
            </w:r>
          </w:p>
        </w:tc>
        <w:tc>
          <w:tcPr>
            <w:tcW w:w="1134" w:type="dxa"/>
            <w:vAlign w:val="center"/>
          </w:tcPr>
          <w:p>
            <w:pPr>
              <w:pStyle w:val="11"/>
            </w:pPr>
            <w:r>
              <w:t>232.82</w:t>
            </w:r>
          </w:p>
        </w:tc>
        <w:tc>
          <w:tcPr>
            <w:tcW w:w="1134" w:type="dxa"/>
            <w:vAlign w:val="center"/>
          </w:tcPr>
          <w:p>
            <w:pPr>
              <w:pStyle w:val="11"/>
            </w:pPr>
            <w:r>
              <w:t>232.82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232.82</w:t>
            </w:r>
          </w:p>
        </w:tc>
        <w:tc>
          <w:tcPr>
            <w:tcW w:w="1134" w:type="dxa"/>
            <w:vAlign w:val="center"/>
          </w:tcPr>
          <w:p>
            <w:pPr>
              <w:pStyle w:val="11"/>
            </w:pPr>
            <w:r>
              <w:t>232.82</w:t>
            </w:r>
          </w:p>
        </w:tc>
        <w:tc>
          <w:tcPr>
            <w:tcW w:w="1134" w:type="dxa"/>
            <w:vAlign w:val="center"/>
          </w:tcPr>
          <w:p>
            <w:pPr>
              <w:pStyle w:val="11"/>
            </w:pPr>
            <w:r>
              <w:t>232.82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213.30</w:t>
            </w:r>
          </w:p>
        </w:tc>
        <w:tc>
          <w:tcPr>
            <w:tcW w:w="1134" w:type="dxa"/>
            <w:vAlign w:val="center"/>
          </w:tcPr>
          <w:p>
            <w:pPr>
              <w:pStyle w:val="11"/>
            </w:pPr>
            <w:r>
              <w:t>213.30</w:t>
            </w:r>
          </w:p>
        </w:tc>
        <w:tc>
          <w:tcPr>
            <w:tcW w:w="1134" w:type="dxa"/>
            <w:vAlign w:val="center"/>
          </w:tcPr>
          <w:p>
            <w:pPr>
              <w:pStyle w:val="11"/>
            </w:pPr>
            <w:r>
              <w:t>213.30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19.52</w:t>
            </w:r>
          </w:p>
        </w:tc>
        <w:tc>
          <w:tcPr>
            <w:tcW w:w="1134" w:type="dxa"/>
            <w:vAlign w:val="center"/>
          </w:tcPr>
          <w:p>
            <w:pPr>
              <w:pStyle w:val="11"/>
            </w:pPr>
            <w:r>
              <w:t>19.52</w:t>
            </w:r>
          </w:p>
        </w:tc>
        <w:tc>
          <w:tcPr>
            <w:tcW w:w="1134" w:type="dxa"/>
            <w:vAlign w:val="center"/>
          </w:tcPr>
          <w:p>
            <w:pPr>
              <w:pStyle w:val="11"/>
            </w:pPr>
            <w:r>
              <w:t>19.52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232.82</w:t>
            </w:r>
          </w:p>
        </w:tc>
        <w:tc>
          <w:tcPr>
            <w:tcW w:w="1361" w:type="dxa"/>
            <w:vAlign w:val="center"/>
          </w:tcPr>
          <w:p>
            <w:pPr>
              <w:pStyle w:val="15"/>
            </w:pPr>
            <w:r>
              <w:t>213.30</w:t>
            </w:r>
          </w:p>
        </w:tc>
        <w:tc>
          <w:tcPr>
            <w:tcW w:w="1361" w:type="dxa"/>
            <w:vAlign w:val="center"/>
          </w:tcPr>
          <w:p>
            <w:pPr>
              <w:pStyle w:val="15"/>
            </w:pPr>
            <w:r>
              <w:t>19.52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232.82</w:t>
            </w:r>
          </w:p>
        </w:tc>
        <w:tc>
          <w:tcPr>
            <w:tcW w:w="1361" w:type="dxa"/>
            <w:vAlign w:val="center"/>
          </w:tcPr>
          <w:p>
            <w:pPr>
              <w:pStyle w:val="11"/>
            </w:pPr>
            <w:r>
              <w:t>213.30</w:t>
            </w:r>
          </w:p>
        </w:tc>
        <w:tc>
          <w:tcPr>
            <w:tcW w:w="1361" w:type="dxa"/>
            <w:vAlign w:val="center"/>
          </w:tcPr>
          <w:p>
            <w:pPr>
              <w:pStyle w:val="11"/>
            </w:pPr>
            <w:r>
              <w:t>19.52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232.82</w:t>
            </w:r>
          </w:p>
        </w:tc>
        <w:tc>
          <w:tcPr>
            <w:tcW w:w="1361" w:type="dxa"/>
            <w:vAlign w:val="center"/>
          </w:tcPr>
          <w:p>
            <w:pPr>
              <w:pStyle w:val="11"/>
            </w:pPr>
            <w:r>
              <w:t>213.30</w:t>
            </w:r>
          </w:p>
        </w:tc>
        <w:tc>
          <w:tcPr>
            <w:tcW w:w="1361" w:type="dxa"/>
            <w:vAlign w:val="center"/>
          </w:tcPr>
          <w:p>
            <w:pPr>
              <w:pStyle w:val="11"/>
            </w:pPr>
            <w:r>
              <w:t>19.52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213.30</w:t>
            </w:r>
          </w:p>
        </w:tc>
        <w:tc>
          <w:tcPr>
            <w:tcW w:w="1361" w:type="dxa"/>
            <w:vAlign w:val="center"/>
          </w:tcPr>
          <w:p>
            <w:pPr>
              <w:pStyle w:val="11"/>
            </w:pPr>
            <w:r>
              <w:t>213.30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19.52</w:t>
            </w:r>
          </w:p>
        </w:tc>
        <w:tc>
          <w:tcPr>
            <w:tcW w:w="1361" w:type="dxa"/>
            <w:vAlign w:val="center"/>
          </w:tcPr>
          <w:p>
            <w:pPr>
              <w:pStyle w:val="11"/>
            </w:pPr>
          </w:p>
        </w:tc>
        <w:tc>
          <w:tcPr>
            <w:tcW w:w="1361" w:type="dxa"/>
            <w:vAlign w:val="center"/>
          </w:tcPr>
          <w:p>
            <w:pPr>
              <w:pStyle w:val="11"/>
            </w:pPr>
            <w:r>
              <w:t>19.52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232.82</w:t>
            </w:r>
          </w:p>
        </w:tc>
        <w:tc>
          <w:tcPr>
            <w:tcW w:w="3402" w:type="dxa"/>
            <w:vAlign w:val="center"/>
          </w:tcPr>
          <w:p>
            <w:pPr>
              <w:pStyle w:val="12"/>
            </w:pPr>
            <w:r>
              <w:t>一、一般公共服务支出</w:t>
            </w:r>
          </w:p>
        </w:tc>
        <w:tc>
          <w:tcPr>
            <w:tcW w:w="1474" w:type="dxa"/>
            <w:vAlign w:val="center"/>
          </w:tcPr>
          <w:p>
            <w:pPr>
              <w:pStyle w:val="11"/>
            </w:pPr>
            <w:r>
              <w:t>232.82</w:t>
            </w:r>
          </w:p>
        </w:tc>
        <w:tc>
          <w:tcPr>
            <w:tcW w:w="1474" w:type="dxa"/>
            <w:vAlign w:val="center"/>
          </w:tcPr>
          <w:p>
            <w:pPr>
              <w:pStyle w:val="11"/>
            </w:pPr>
            <w:r>
              <w:t>232.82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232.82</w:t>
            </w:r>
          </w:p>
        </w:tc>
        <w:tc>
          <w:tcPr>
            <w:tcW w:w="3402" w:type="dxa"/>
            <w:vAlign w:val="center"/>
          </w:tcPr>
          <w:p>
            <w:pPr>
              <w:pStyle w:val="14"/>
            </w:pPr>
            <w:r>
              <w:t>本年支出合计</w:t>
            </w:r>
          </w:p>
        </w:tc>
        <w:tc>
          <w:tcPr>
            <w:tcW w:w="1474" w:type="dxa"/>
            <w:vAlign w:val="center"/>
          </w:tcPr>
          <w:p>
            <w:pPr>
              <w:pStyle w:val="15"/>
            </w:pPr>
            <w:r>
              <w:t>232.82</w:t>
            </w:r>
          </w:p>
        </w:tc>
        <w:tc>
          <w:tcPr>
            <w:tcW w:w="1474" w:type="dxa"/>
            <w:vAlign w:val="center"/>
          </w:tcPr>
          <w:p>
            <w:pPr>
              <w:pStyle w:val="15"/>
            </w:pPr>
            <w:r>
              <w:t>232.82</w:t>
            </w:r>
          </w:p>
        </w:tc>
        <w:tc>
          <w:tcPr>
            <w:tcW w:w="1474" w:type="dxa"/>
            <w:vAlign w:val="center"/>
          </w:tcPr>
          <w:p>
            <w:pPr>
              <w:pStyle w:val="15"/>
            </w:pPr>
          </w:p>
        </w:tc>
        <w:tc>
          <w:tcPr>
            <w:tcW w:w="1474"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232.82</w:t>
            </w:r>
          </w:p>
        </w:tc>
        <w:tc>
          <w:tcPr>
            <w:tcW w:w="3402" w:type="dxa"/>
            <w:vAlign w:val="center"/>
          </w:tcPr>
          <w:p>
            <w:pPr>
              <w:pStyle w:val="14"/>
            </w:pPr>
            <w:r>
              <w:t>支出总计</w:t>
            </w:r>
          </w:p>
        </w:tc>
        <w:tc>
          <w:tcPr>
            <w:tcW w:w="1474" w:type="dxa"/>
            <w:vAlign w:val="center"/>
          </w:tcPr>
          <w:p>
            <w:pPr>
              <w:pStyle w:val="15"/>
            </w:pPr>
            <w:r>
              <w:t>232.82</w:t>
            </w:r>
          </w:p>
        </w:tc>
        <w:tc>
          <w:tcPr>
            <w:tcW w:w="1474" w:type="dxa"/>
            <w:vAlign w:val="center"/>
          </w:tcPr>
          <w:p>
            <w:pPr>
              <w:pStyle w:val="15"/>
            </w:pPr>
            <w:r>
              <w:t>232.82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232.82</w:t>
            </w:r>
          </w:p>
        </w:tc>
        <w:tc>
          <w:tcPr>
            <w:tcW w:w="2551" w:type="dxa"/>
            <w:vAlign w:val="center"/>
          </w:tcPr>
          <w:p>
            <w:pPr>
              <w:pStyle w:val="15"/>
            </w:pPr>
            <w:r>
              <w:t>213.30</w:t>
            </w:r>
          </w:p>
        </w:tc>
        <w:tc>
          <w:tcPr>
            <w:tcW w:w="2551" w:type="dxa"/>
            <w:vAlign w:val="center"/>
          </w:tcPr>
          <w:p>
            <w:pPr>
              <w:pStyle w:val="15"/>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232.82</w:t>
            </w:r>
          </w:p>
        </w:tc>
        <w:tc>
          <w:tcPr>
            <w:tcW w:w="2551" w:type="dxa"/>
            <w:vAlign w:val="center"/>
          </w:tcPr>
          <w:p>
            <w:pPr>
              <w:pStyle w:val="11"/>
            </w:pPr>
            <w:r>
              <w:t>213.30</w:t>
            </w:r>
          </w:p>
        </w:tc>
        <w:tc>
          <w:tcPr>
            <w:tcW w:w="2551" w:type="dxa"/>
            <w:vAlign w:val="center"/>
          </w:tcPr>
          <w:p>
            <w:pPr>
              <w:pStyle w:val="11"/>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232.82</w:t>
            </w:r>
          </w:p>
        </w:tc>
        <w:tc>
          <w:tcPr>
            <w:tcW w:w="2551" w:type="dxa"/>
            <w:vAlign w:val="center"/>
          </w:tcPr>
          <w:p>
            <w:pPr>
              <w:pStyle w:val="11"/>
            </w:pPr>
            <w:r>
              <w:t>213.30</w:t>
            </w:r>
          </w:p>
        </w:tc>
        <w:tc>
          <w:tcPr>
            <w:tcW w:w="2551" w:type="dxa"/>
            <w:vAlign w:val="center"/>
          </w:tcPr>
          <w:p>
            <w:pPr>
              <w:pStyle w:val="11"/>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213.30</w:t>
            </w:r>
          </w:p>
        </w:tc>
        <w:tc>
          <w:tcPr>
            <w:tcW w:w="2551" w:type="dxa"/>
            <w:vAlign w:val="center"/>
          </w:tcPr>
          <w:p>
            <w:pPr>
              <w:pStyle w:val="11"/>
            </w:pPr>
            <w:r>
              <w:t>213.30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19.52</w:t>
            </w:r>
          </w:p>
        </w:tc>
        <w:tc>
          <w:tcPr>
            <w:tcW w:w="2551" w:type="dxa"/>
            <w:vAlign w:val="center"/>
          </w:tcPr>
          <w:p>
            <w:pPr>
              <w:pStyle w:val="11"/>
            </w:pPr>
          </w:p>
        </w:tc>
        <w:tc>
          <w:tcPr>
            <w:tcW w:w="2551" w:type="dxa"/>
            <w:vAlign w:val="center"/>
          </w:tcPr>
          <w:p>
            <w:pPr>
              <w:pStyle w:val="11"/>
            </w:pPr>
            <w:r>
              <w:t>19.52</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213.30</w:t>
            </w:r>
          </w:p>
        </w:tc>
        <w:tc>
          <w:tcPr>
            <w:tcW w:w="2551" w:type="dxa"/>
            <w:vAlign w:val="center"/>
          </w:tcPr>
          <w:p>
            <w:pPr>
              <w:pStyle w:val="15"/>
            </w:pPr>
            <w:r>
              <w:t>190.10</w:t>
            </w:r>
          </w:p>
        </w:tc>
        <w:tc>
          <w:tcPr>
            <w:tcW w:w="2551" w:type="dxa"/>
            <w:vAlign w:val="center"/>
          </w:tcPr>
          <w:p>
            <w:pPr>
              <w:pStyle w:val="15"/>
            </w:pPr>
            <w:r>
              <w:t>23.20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190.10</w:t>
            </w:r>
          </w:p>
        </w:tc>
        <w:tc>
          <w:tcPr>
            <w:tcW w:w="2551" w:type="dxa"/>
            <w:vAlign w:val="center"/>
          </w:tcPr>
          <w:p>
            <w:pPr>
              <w:pStyle w:val="11"/>
            </w:pPr>
            <w:r>
              <w:t>190.10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97.60</w:t>
            </w:r>
          </w:p>
        </w:tc>
        <w:tc>
          <w:tcPr>
            <w:tcW w:w="2551" w:type="dxa"/>
            <w:vAlign w:val="center"/>
          </w:tcPr>
          <w:p>
            <w:pPr>
              <w:pStyle w:val="11"/>
            </w:pPr>
            <w:r>
              <w:t>97.60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12.80</w:t>
            </w:r>
          </w:p>
        </w:tc>
        <w:tc>
          <w:tcPr>
            <w:tcW w:w="2551" w:type="dxa"/>
            <w:vAlign w:val="center"/>
          </w:tcPr>
          <w:p>
            <w:pPr>
              <w:pStyle w:val="11"/>
            </w:pPr>
            <w:r>
              <w:t>12.80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11.10</w:t>
            </w:r>
          </w:p>
        </w:tc>
        <w:tc>
          <w:tcPr>
            <w:tcW w:w="2551" w:type="dxa"/>
            <w:vAlign w:val="center"/>
          </w:tcPr>
          <w:p>
            <w:pPr>
              <w:pStyle w:val="11"/>
            </w:pPr>
            <w:r>
              <w:t>11.10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16.90</w:t>
            </w:r>
          </w:p>
        </w:tc>
        <w:tc>
          <w:tcPr>
            <w:tcW w:w="2551" w:type="dxa"/>
            <w:vAlign w:val="center"/>
          </w:tcPr>
          <w:p>
            <w:pPr>
              <w:pStyle w:val="11"/>
            </w:pPr>
            <w:r>
              <w:t>16.90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21.70</w:t>
            </w:r>
          </w:p>
        </w:tc>
        <w:tc>
          <w:tcPr>
            <w:tcW w:w="2551" w:type="dxa"/>
            <w:vAlign w:val="center"/>
          </w:tcPr>
          <w:p>
            <w:pPr>
              <w:pStyle w:val="11"/>
            </w:pPr>
            <w:r>
              <w:t>21.70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1.60</w:t>
            </w:r>
          </w:p>
        </w:tc>
        <w:tc>
          <w:tcPr>
            <w:tcW w:w="2551" w:type="dxa"/>
            <w:vAlign w:val="center"/>
          </w:tcPr>
          <w:p>
            <w:pPr>
              <w:pStyle w:val="11"/>
            </w:pPr>
            <w:r>
              <w:t>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17.40</w:t>
            </w:r>
          </w:p>
        </w:tc>
        <w:tc>
          <w:tcPr>
            <w:tcW w:w="2551" w:type="dxa"/>
            <w:vAlign w:val="center"/>
          </w:tcPr>
          <w:p>
            <w:pPr>
              <w:pStyle w:val="11"/>
            </w:pPr>
            <w:r>
              <w:t>17.40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23.20</w:t>
            </w:r>
          </w:p>
        </w:tc>
        <w:tc>
          <w:tcPr>
            <w:tcW w:w="2551" w:type="dxa"/>
            <w:vAlign w:val="center"/>
          </w:tcPr>
          <w:p>
            <w:pPr>
              <w:pStyle w:val="11"/>
            </w:pPr>
          </w:p>
        </w:tc>
        <w:tc>
          <w:tcPr>
            <w:tcW w:w="2551" w:type="dxa"/>
            <w:vAlign w:val="center"/>
          </w:tcPr>
          <w:p>
            <w:pPr>
              <w:pStyle w:val="11"/>
            </w:pPr>
            <w:r>
              <w:t>23.20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9.70</w:t>
            </w:r>
          </w:p>
        </w:tc>
        <w:tc>
          <w:tcPr>
            <w:tcW w:w="2551" w:type="dxa"/>
            <w:vAlign w:val="center"/>
          </w:tcPr>
          <w:p>
            <w:pPr>
              <w:pStyle w:val="11"/>
            </w:pP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10.60</w:t>
            </w:r>
          </w:p>
        </w:tc>
        <w:tc>
          <w:tcPr>
            <w:tcW w:w="2551" w:type="dxa"/>
            <w:vAlign w:val="center"/>
          </w:tcPr>
          <w:p>
            <w:pPr>
              <w:pStyle w:val="11"/>
            </w:pPr>
          </w:p>
        </w:tc>
        <w:tc>
          <w:tcPr>
            <w:tcW w:w="2551" w:type="dxa"/>
            <w:vAlign w:val="center"/>
          </w:tcPr>
          <w:p>
            <w:pPr>
              <w:pStyle w:val="11"/>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中共巨鹿县委机构编制委员会办公室本级2026年单位预算信息公开情况说明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按照《中华人民共和国预算法》、《地方预决算公开操作规程》和《关于进一步推进预算公开工作的实施意见》规定，现将中共巨鹿县委机构编制委员会办公室本级2026年单位预算公开如下：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贯彻落实党中央、国务院和省委、省政府关于行政管理体制和机构改革以及机构编制管理的政策法规，组织拟订全县行政管理体制和机构改革以及机构编制管理的政策措施并监督实施；管理和指导各级党政机关，人大、政协、法院、检察院机关，各民主党派、人民团体机关的机构编制工作；管理和指导全县事业单位机构编制工作。 2、组织拟订全县行政管理体制和机构改革总体方案并组织实施。拟订县委、县政府机构改革方案。审核县委、县政府各部门职能配置、机构设置、人员编制和领导职数。审核乡（镇）的行政管理体制和机构改革方案。审核并管理全县各级各类人员编制总额。指导、协调乡（镇）行政管理体制和机构改革以及机构编制管理工作。负责综合行政执法试点工作。 3、协调县委、县政府各部门的职能配置及其调整。协调县委各部门之间、县政府各部门之间、县委各部门与县政府各部门之间以及县直各部门与乡（镇）之间的职责分工。研究提出参照公务员法管理事业单位的行政管理职能认定意见。 4、审核或审批县委、县政府及各部门和群团机关的派出机构的职能配置、机构设置、人员编制和领导职数。审核或审批县、乡（镇）机构编制分类。负责省垂直管理部门或双重管理部门需要承办的机构编制有关事宜。 5、审核县人大、县政协、县法院、县检察院、县级各民主党派、人民团体机关的职能配置、机构设置、人员编制和领导职数。审核县人大、政协、法院、检察院和各民主党派、人民团体机关股级以上机构设置和调整事宜。审核因特殊需要设置的相当于股级法院、检察院机构编制事宜。 6、组织拟订全县事业单位管理体制和机构改革方案。落实事业单位机构编制标准，组织拟订全县各类事业单位分类管理办法。负责全县事业单位法人登记管理和监督检查工作。 7、指导全县开发区（园区）行政管理体制改革工作，组织拟订县级以上开发区（园区）机构编制管理办法并组织实施。审核开发区（园区）职能配置、机构设置、人员编制和领导职数。 8、负责机构编制日常管理。负责对全县机构编制的总量控制、动态管理和机构编制标准化工作。负责机构编制实名制管理，以及编制使用核准等工作。建立健全机构编制部门与有关部门的配合制约机制。 9、负责对各级行政、事业单位管理体制和机构改革及机构编制执行情况的跟踪评估和监督检查。负责受理违反机构编制法规、纪律的检举、控告和投诉，对违反机构编制法规、纪律问题进行调查处理。 10、负责全县机构编制信息管理系统、电子政务和机构编制网站的建设和管理。负责全县机构编制统计工作。指导全县党政群机关、事业单位和其他非营利性单位网上名称管理工作。 11、承办县委、县政府和县机构编制委员会交办的其他事项。 12、加强行政管理体制改革和重点领域体制改革的政策研究和指导职能。 13、加强机构编制实名制管理的职能。 14、加强对机构编制执行情况跟踪评估和监督检查职能。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中共巨鹿县委机构编制委员会办公室本级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232.82万元，其中：一般公共预算收入232.82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巨鹿县委机构编制委员会办公室本级年度单位预算中支出预算的总体情况。2026年支出预算232.82万元，其中基本支出213.30万元，包括人员经费190.10万元和日常公用经费23.20万元；项目支出19.52万元，主要为 用于保障单位人员的工资福利发放，各类保险的缴纳，单位日常业务的正常运转及机关后勤服务工作。；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232.82万元，较2025年预算减少2.20万元，其中：基本支出减少2.20万元，主要为按照“从严控制，只减不增的原则”在保证完成工作的前提下，坚持过紧日子，做好经费管理，减少经费支出。项目支出增加0.00万元，主要为保证完成工作的前提下，只减不增。。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1、“一网通”系统维护经费绩效目标表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13052926P00005510549B</w:t>
            </w:r>
          </w:p>
        </w:tc>
        <w:tc>
          <w:tcPr>
            <w:tcW w:w="2835" w:type="dxa"/>
            <w:vAlign w:val="center"/>
          </w:tcPr>
          <w:p>
            <w:pPr>
              <w:pStyle w:val="10"/>
            </w:pPr>
            <w:r>
              <w:t>项目名称</w:t>
            </w:r>
          </w:p>
        </w:tc>
        <w:tc>
          <w:tcPr>
            <w:tcW w:w="6095" w:type="dxa"/>
            <w:gridSpan w:val="3"/>
            <w:vAlign w:val="center"/>
          </w:tcPr>
          <w:p>
            <w:pPr>
              <w:pStyle w:val="12"/>
            </w:pPr>
            <w:r>
              <w:t>“一网通”系统维护经费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开展机构编制实名制管理，加快电子政务内网建设及维护，保障单位网络畅通。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0.40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持续发展电子政务，时时对机构编制执行情况跟踪评估和监督检查。</w:t>
            </w:r>
          </w:p>
          <w:p>
            <w:pPr>
              <w:pStyle w:val="12"/>
            </w:pPr>
            <w:r>
              <w:t>2. 确保资金充分，保障我单位“一网通”运行工作顺利开展。</w:t>
            </w:r>
          </w:p>
          <w:p>
            <w:pPr>
              <w:pStyle w:val="12"/>
            </w:pPr>
            <w:r>
              <w:t>3. 审核管理全县各类人员编制总额，开展机构编制实名制管理和编制使用核准全面推进机关事业单位人事管理，加快电子政务内网建设及维护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运行维护系统数量</w:t>
            </w:r>
          </w:p>
        </w:tc>
        <w:tc>
          <w:tcPr>
            <w:tcW w:w="5386" w:type="dxa"/>
            <w:vAlign w:val="center"/>
          </w:tcPr>
          <w:p>
            <w:pPr>
              <w:pStyle w:val="12"/>
            </w:pPr>
            <w:r>
              <w:t>运行维护系统数量</w:t>
            </w:r>
          </w:p>
        </w:tc>
        <w:tc>
          <w:tcPr>
            <w:tcW w:w="2268" w:type="dxa"/>
            <w:vAlign w:val="center"/>
          </w:tcPr>
          <w:p>
            <w:pPr>
              <w:pStyle w:val="12"/>
            </w:pPr>
            <w:r>
              <w:t>≥1套</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运行覆盖率</w:t>
            </w:r>
          </w:p>
        </w:tc>
        <w:tc>
          <w:tcPr>
            <w:tcW w:w="5386" w:type="dxa"/>
            <w:vAlign w:val="center"/>
          </w:tcPr>
          <w:p>
            <w:pPr>
              <w:pStyle w:val="12"/>
            </w:pPr>
            <w:r>
              <w:t>电子政务运行覆盖率</w:t>
            </w:r>
          </w:p>
        </w:tc>
        <w:tc>
          <w:tcPr>
            <w:tcW w:w="2268" w:type="dxa"/>
            <w:vAlign w:val="center"/>
          </w:tcPr>
          <w:p>
            <w:pPr>
              <w:pStyle w:val="12"/>
            </w:pPr>
            <w:r>
              <w:t>≥97%</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工作任务完成时限</w:t>
            </w:r>
          </w:p>
        </w:tc>
        <w:tc>
          <w:tcPr>
            <w:tcW w:w="5386" w:type="dxa"/>
            <w:vAlign w:val="center"/>
          </w:tcPr>
          <w:p>
            <w:pPr>
              <w:pStyle w:val="12"/>
            </w:pPr>
            <w:r>
              <w:t>各项工作完成时间</w:t>
            </w:r>
          </w:p>
        </w:tc>
        <w:tc>
          <w:tcPr>
            <w:tcW w:w="2268" w:type="dxa"/>
            <w:vAlign w:val="center"/>
          </w:tcPr>
          <w:p>
            <w:pPr>
              <w:pStyle w:val="12"/>
            </w:pPr>
            <w:r>
              <w:t>12月底前</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保证电子政务工作运转正常，维护维修系统的正常使用，购置急需工作的办公用品</w:t>
            </w:r>
          </w:p>
        </w:tc>
        <w:tc>
          <w:tcPr>
            <w:tcW w:w="5386" w:type="dxa"/>
            <w:vAlign w:val="center"/>
          </w:tcPr>
          <w:p>
            <w:pPr>
              <w:pStyle w:val="12"/>
            </w:pPr>
            <w:r>
              <w:t xml:space="preserve"> 保障工作完成的成本</w:t>
            </w:r>
          </w:p>
        </w:tc>
        <w:tc>
          <w:tcPr>
            <w:tcW w:w="2268" w:type="dxa"/>
            <w:vAlign w:val="center"/>
          </w:tcPr>
          <w:p>
            <w:pPr>
              <w:pStyle w:val="12"/>
            </w:pPr>
            <w:r>
              <w:t>≤4万元</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完成率</w:t>
            </w:r>
          </w:p>
        </w:tc>
        <w:tc>
          <w:tcPr>
            <w:tcW w:w="5386" w:type="dxa"/>
            <w:vAlign w:val="center"/>
          </w:tcPr>
          <w:p>
            <w:pPr>
              <w:pStyle w:val="12"/>
            </w:pPr>
            <w:r>
              <w:t>全县各单位机构编制实名制工作网络运行正常</w:t>
            </w:r>
          </w:p>
        </w:tc>
        <w:tc>
          <w:tcPr>
            <w:tcW w:w="2268" w:type="dxa"/>
            <w:vAlign w:val="center"/>
          </w:tcPr>
          <w:p>
            <w:pPr>
              <w:pStyle w:val="12"/>
            </w:pPr>
            <w:r>
              <w:t>≥99%</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完成率</w:t>
            </w:r>
          </w:p>
        </w:tc>
        <w:tc>
          <w:tcPr>
            <w:tcW w:w="5386" w:type="dxa"/>
            <w:vAlign w:val="center"/>
          </w:tcPr>
          <w:p>
            <w:pPr>
              <w:pStyle w:val="12"/>
            </w:pPr>
            <w:r>
              <w:t>审核全县人员编制总额，盘活编制总量，更好的为县委县政府做好决策服务</w:t>
            </w:r>
          </w:p>
        </w:tc>
        <w:tc>
          <w:tcPr>
            <w:tcW w:w="2268" w:type="dxa"/>
            <w:vAlign w:val="center"/>
          </w:tcPr>
          <w:p>
            <w:pPr>
              <w:pStyle w:val="12"/>
            </w:pPr>
            <w:r>
              <w:t>≥99%</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单位正常运转率</w:t>
            </w:r>
          </w:p>
        </w:tc>
        <w:tc>
          <w:tcPr>
            <w:tcW w:w="5386" w:type="dxa"/>
            <w:vAlign w:val="center"/>
          </w:tcPr>
          <w:p>
            <w:pPr>
              <w:pStyle w:val="12"/>
            </w:pPr>
            <w:r>
              <w:t>单位正常运转率</w:t>
            </w:r>
          </w:p>
        </w:tc>
        <w:tc>
          <w:tcPr>
            <w:tcW w:w="2268" w:type="dxa"/>
            <w:vAlign w:val="center"/>
          </w:tcPr>
          <w:p>
            <w:pPr>
              <w:pStyle w:val="12"/>
            </w:pPr>
            <w:r>
              <w:t>100%</w:t>
            </w:r>
          </w:p>
        </w:tc>
        <w:tc>
          <w:tcPr>
            <w:tcW w:w="1276" w:type="dxa"/>
            <w:vAlign w:val="center"/>
          </w:tcPr>
          <w:p>
            <w:pPr>
              <w:pStyle w:val="12"/>
            </w:pPr>
            <w:r>
              <w:t xml:space="preserve"> 统计调查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2、事业单位登记工作经费绩效目标表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13052926P00005510548P</w:t>
            </w:r>
          </w:p>
        </w:tc>
        <w:tc>
          <w:tcPr>
            <w:tcW w:w="2835" w:type="dxa"/>
            <w:vAlign w:val="center"/>
          </w:tcPr>
          <w:p>
            <w:pPr>
              <w:pStyle w:val="10"/>
            </w:pPr>
            <w:r>
              <w:t>项目名称</w:t>
            </w:r>
          </w:p>
        </w:tc>
        <w:tc>
          <w:tcPr>
            <w:tcW w:w="6095" w:type="dxa"/>
            <w:gridSpan w:val="3"/>
            <w:vAlign w:val="center"/>
          </w:tcPr>
          <w:p>
            <w:pPr>
              <w:pStyle w:val="12"/>
            </w:pPr>
            <w:r>
              <w:t>事业单位登记工作经费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保障全县事业单位登记、变更、注销工作顺利开展.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1.00</w:t>
            </w:r>
          </w:p>
        </w:tc>
        <w:tc>
          <w:tcPr>
            <w:tcW w:w="2551" w:type="dxa"/>
            <w:vAlign w:val="center"/>
          </w:tcPr>
          <w:p>
            <w:pPr>
              <w:pStyle w:val="13"/>
            </w:pPr>
            <w:r>
              <w:t>1.60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1.对登记的事业单位履职情况进行跟踪评估和监督检查，开展双随机一公开工作。</w:t>
            </w:r>
          </w:p>
          <w:p>
            <w:pPr>
              <w:pStyle w:val="12"/>
            </w:pPr>
            <w:r>
              <w:t>2.确保资金充分，保障全县事业单位登记、变更、注销工作顺利开展.</w:t>
            </w:r>
          </w:p>
          <w:p>
            <w:pPr>
              <w:pStyle w:val="12"/>
            </w:pPr>
            <w:r>
              <w:t>3.通过开展全县事业单位登记、变更、注销工作，确保登记事业单位工作顺利开展。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覆盖单位数量</w:t>
            </w:r>
          </w:p>
        </w:tc>
        <w:tc>
          <w:tcPr>
            <w:tcW w:w="5386" w:type="dxa"/>
            <w:vAlign w:val="center"/>
          </w:tcPr>
          <w:p>
            <w:pPr>
              <w:pStyle w:val="12"/>
            </w:pPr>
            <w:r>
              <w:t>事业单位登记单位数量</w:t>
            </w:r>
          </w:p>
        </w:tc>
        <w:tc>
          <w:tcPr>
            <w:tcW w:w="2268" w:type="dxa"/>
            <w:vAlign w:val="center"/>
          </w:tcPr>
          <w:p>
            <w:pPr>
              <w:pStyle w:val="12"/>
            </w:pPr>
            <w:r>
              <w:t>≥223个</w:t>
            </w:r>
          </w:p>
        </w:tc>
        <w:tc>
          <w:tcPr>
            <w:tcW w:w="1276" w:type="dxa"/>
            <w:vAlign w:val="center"/>
          </w:tcPr>
          <w:p>
            <w:pPr>
              <w:pStyle w:val="12"/>
            </w:pPr>
            <w:r>
              <w:t xml:space="preserve"> 冀机编办【2010】195号文、冀机编办【2008】108号文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工作完成率</w:t>
            </w:r>
          </w:p>
        </w:tc>
        <w:tc>
          <w:tcPr>
            <w:tcW w:w="5386" w:type="dxa"/>
            <w:vAlign w:val="center"/>
          </w:tcPr>
          <w:p>
            <w:pPr>
              <w:pStyle w:val="12"/>
            </w:pPr>
            <w:r>
              <w:t xml:space="preserve"> 事业单位登记、变更、注销成功率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工作任务完成时限</w:t>
            </w:r>
          </w:p>
        </w:tc>
        <w:tc>
          <w:tcPr>
            <w:tcW w:w="5386" w:type="dxa"/>
            <w:vAlign w:val="center"/>
          </w:tcPr>
          <w:p>
            <w:pPr>
              <w:pStyle w:val="12"/>
            </w:pPr>
            <w:r>
              <w:t>事业单位登记工作支出完毕时限</w:t>
            </w:r>
          </w:p>
        </w:tc>
        <w:tc>
          <w:tcPr>
            <w:tcW w:w="2268" w:type="dxa"/>
            <w:vAlign w:val="center"/>
          </w:tcPr>
          <w:p>
            <w:pPr>
              <w:pStyle w:val="12"/>
            </w:pPr>
            <w:r>
              <w:t xml:space="preserve"> 12月底前</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事业单位登记、变更、注销工作成本</w:t>
            </w:r>
          </w:p>
        </w:tc>
        <w:tc>
          <w:tcPr>
            <w:tcW w:w="5386" w:type="dxa"/>
            <w:vAlign w:val="center"/>
          </w:tcPr>
          <w:p>
            <w:pPr>
              <w:pStyle w:val="12"/>
            </w:pPr>
            <w:r>
              <w:t xml:space="preserve"> 保障每个事业单位登记、变更、注销正常运行所需要的成本</w:t>
            </w:r>
          </w:p>
        </w:tc>
        <w:tc>
          <w:tcPr>
            <w:tcW w:w="2268" w:type="dxa"/>
            <w:vAlign w:val="center"/>
          </w:tcPr>
          <w:p>
            <w:pPr>
              <w:pStyle w:val="12"/>
            </w:pPr>
            <w:r>
              <w:t>≤2万</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事业单位登记工作完成率</w:t>
            </w:r>
          </w:p>
        </w:tc>
        <w:tc>
          <w:tcPr>
            <w:tcW w:w="5386" w:type="dxa"/>
            <w:vAlign w:val="center"/>
          </w:tcPr>
          <w:p>
            <w:pPr>
              <w:pStyle w:val="12"/>
            </w:pPr>
            <w:r>
              <w:t>事业单位登记工作完成率</w:t>
            </w:r>
          </w:p>
        </w:tc>
        <w:tc>
          <w:tcPr>
            <w:tcW w:w="2268" w:type="dxa"/>
            <w:vAlign w:val="center"/>
          </w:tcPr>
          <w:p>
            <w:pPr>
              <w:pStyle w:val="12"/>
            </w:pPr>
            <w:r>
              <w:t>≥99 %</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事业单位登记单位的满意度</w:t>
            </w:r>
          </w:p>
        </w:tc>
        <w:tc>
          <w:tcPr>
            <w:tcW w:w="5386" w:type="dxa"/>
            <w:vAlign w:val="center"/>
          </w:tcPr>
          <w:p>
            <w:pPr>
              <w:pStyle w:val="12"/>
            </w:pPr>
            <w:r>
              <w:t xml:space="preserve"> 事业单位登记单位的满意度</w:t>
            </w:r>
          </w:p>
        </w:tc>
        <w:tc>
          <w:tcPr>
            <w:tcW w:w="2268" w:type="dxa"/>
            <w:vAlign w:val="center"/>
          </w:tcPr>
          <w:p>
            <w:pPr>
              <w:pStyle w:val="12"/>
            </w:pPr>
            <w:r>
              <w:t>≥99 %</w:t>
            </w:r>
          </w:p>
        </w:tc>
        <w:tc>
          <w:tcPr>
            <w:tcW w:w="1276" w:type="dxa"/>
            <w:vAlign w:val="center"/>
          </w:tcPr>
          <w:p>
            <w:pPr>
              <w:pStyle w:val="12"/>
            </w:pPr>
            <w:r>
              <w:t xml:space="preserve"> 统计调查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3、事业单位改革工作经费绩效目标表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13052926P00005510551A</w:t>
            </w:r>
          </w:p>
        </w:tc>
        <w:tc>
          <w:tcPr>
            <w:tcW w:w="2835" w:type="dxa"/>
            <w:vAlign w:val="center"/>
          </w:tcPr>
          <w:p>
            <w:pPr>
              <w:pStyle w:val="10"/>
            </w:pPr>
            <w:r>
              <w:t>项目名称</w:t>
            </w:r>
          </w:p>
        </w:tc>
        <w:tc>
          <w:tcPr>
            <w:tcW w:w="6095" w:type="dxa"/>
            <w:gridSpan w:val="3"/>
            <w:vAlign w:val="center"/>
          </w:tcPr>
          <w:p>
            <w:pPr>
              <w:pStyle w:val="12"/>
            </w:pPr>
            <w:r>
              <w:t>事业单位改革工作经费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按照省市机构改革安排，筹备谋划全县事业单位改革工作，保障事业单位改革工作顺利开展。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1.00</w:t>
            </w:r>
          </w:p>
        </w:tc>
        <w:tc>
          <w:tcPr>
            <w:tcW w:w="2551" w:type="dxa"/>
            <w:vAlign w:val="center"/>
          </w:tcPr>
          <w:p>
            <w:pPr>
              <w:pStyle w:val="13"/>
            </w:pPr>
            <w:r>
              <w:t>1.60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按照省市机构改革安排，筹备全县事业单位改革工作</w:t>
            </w:r>
          </w:p>
          <w:p>
            <w:pPr>
              <w:pStyle w:val="12"/>
            </w:pPr>
            <w:r>
              <w:t>2. 确保资金充分，保障事业单位改革工作顺利开展。</w:t>
            </w:r>
          </w:p>
          <w:p>
            <w:pPr>
              <w:pStyle w:val="12"/>
            </w:pPr>
            <w:r>
              <w:t>3. 谋划全县事业单位改革准备工作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覆盖单位数量</w:t>
            </w:r>
          </w:p>
        </w:tc>
        <w:tc>
          <w:tcPr>
            <w:tcW w:w="5386" w:type="dxa"/>
            <w:vAlign w:val="center"/>
          </w:tcPr>
          <w:p>
            <w:pPr>
              <w:pStyle w:val="12"/>
            </w:pPr>
            <w:r>
              <w:t xml:space="preserve"> 覆盖单位数量</w:t>
            </w:r>
          </w:p>
        </w:tc>
        <w:tc>
          <w:tcPr>
            <w:tcW w:w="2268" w:type="dxa"/>
            <w:vAlign w:val="center"/>
          </w:tcPr>
          <w:p>
            <w:pPr>
              <w:pStyle w:val="12"/>
            </w:pPr>
            <w:r>
              <w:t>≥336 家</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工作完成率</w:t>
            </w:r>
          </w:p>
        </w:tc>
        <w:tc>
          <w:tcPr>
            <w:tcW w:w="5386" w:type="dxa"/>
            <w:vAlign w:val="center"/>
          </w:tcPr>
          <w:p>
            <w:pPr>
              <w:pStyle w:val="12"/>
            </w:pPr>
            <w:r>
              <w:t xml:space="preserve"> 工作完成率</w:t>
            </w:r>
          </w:p>
        </w:tc>
        <w:tc>
          <w:tcPr>
            <w:tcW w:w="2268" w:type="dxa"/>
            <w:vAlign w:val="center"/>
          </w:tcPr>
          <w:p>
            <w:pPr>
              <w:pStyle w:val="12"/>
            </w:pPr>
            <w:r>
              <w:t>100%</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工作完成及时率</w:t>
            </w:r>
          </w:p>
        </w:tc>
        <w:tc>
          <w:tcPr>
            <w:tcW w:w="5386" w:type="dxa"/>
            <w:vAlign w:val="center"/>
          </w:tcPr>
          <w:p>
            <w:pPr>
              <w:pStyle w:val="12"/>
            </w:pPr>
            <w:r>
              <w:t>工作完成及时率</w:t>
            </w:r>
          </w:p>
        </w:tc>
        <w:tc>
          <w:tcPr>
            <w:tcW w:w="2268" w:type="dxa"/>
            <w:vAlign w:val="center"/>
          </w:tcPr>
          <w:p>
            <w:pPr>
              <w:pStyle w:val="12"/>
            </w:pPr>
            <w:r>
              <w:t>100%</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机构改革工作成本</w:t>
            </w:r>
          </w:p>
        </w:tc>
        <w:tc>
          <w:tcPr>
            <w:tcW w:w="5386" w:type="dxa"/>
            <w:vAlign w:val="center"/>
          </w:tcPr>
          <w:p>
            <w:pPr>
              <w:pStyle w:val="12"/>
            </w:pPr>
            <w:r>
              <w:t>机构改革工作成本</w:t>
            </w:r>
          </w:p>
        </w:tc>
        <w:tc>
          <w:tcPr>
            <w:tcW w:w="2268" w:type="dxa"/>
            <w:vAlign w:val="center"/>
          </w:tcPr>
          <w:p>
            <w:pPr>
              <w:pStyle w:val="12"/>
            </w:pPr>
            <w:r>
              <w:t>≤2万元</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完成率</w:t>
            </w:r>
          </w:p>
        </w:tc>
        <w:tc>
          <w:tcPr>
            <w:tcW w:w="5386" w:type="dxa"/>
            <w:vAlign w:val="center"/>
          </w:tcPr>
          <w:p>
            <w:pPr>
              <w:pStyle w:val="12"/>
            </w:pPr>
            <w:r>
              <w:t>全县涉改事业单位制定事业单位方案</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改革后，各事业单位职责更加明确，更利于开展工作</w:t>
            </w:r>
          </w:p>
        </w:tc>
        <w:tc>
          <w:tcPr>
            <w:tcW w:w="2268" w:type="dxa"/>
            <w:vAlign w:val="center"/>
          </w:tcPr>
          <w:p>
            <w:pPr>
              <w:pStyle w:val="12"/>
            </w:pPr>
            <w:r>
              <w:t>≥96%</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全县事业单位涉改部门</w:t>
            </w:r>
          </w:p>
        </w:tc>
        <w:tc>
          <w:tcPr>
            <w:tcW w:w="2268" w:type="dxa"/>
            <w:vAlign w:val="center"/>
          </w:tcPr>
          <w:p>
            <w:pPr>
              <w:pStyle w:val="12"/>
            </w:pPr>
            <w:r>
              <w:t>≥96%</w:t>
            </w:r>
          </w:p>
        </w:tc>
        <w:tc>
          <w:tcPr>
            <w:tcW w:w="1276" w:type="dxa"/>
            <w:vAlign w:val="center"/>
          </w:tcPr>
          <w:p>
            <w:pPr>
              <w:pStyle w:val="12"/>
            </w:pPr>
            <w:r>
              <w:t>统计调查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13052926P00005510550N</w:t>
            </w:r>
          </w:p>
        </w:tc>
        <w:tc>
          <w:tcPr>
            <w:tcW w:w="2835" w:type="dxa"/>
            <w:vAlign w:val="center"/>
          </w:tcPr>
          <w:p>
            <w:pPr>
              <w:pStyle w:val="10"/>
            </w:pPr>
            <w:r>
              <w:t>项目名称</w:t>
            </w:r>
          </w:p>
        </w:tc>
        <w:tc>
          <w:tcPr>
            <w:tcW w:w="6095" w:type="dxa"/>
            <w:gridSpan w:val="3"/>
            <w:vAlign w:val="center"/>
          </w:tcPr>
          <w:p>
            <w:pPr>
              <w:pStyle w:val="12"/>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11.52</w:t>
            </w:r>
          </w:p>
        </w:tc>
        <w:tc>
          <w:tcPr>
            <w:tcW w:w="2835" w:type="dxa"/>
            <w:vAlign w:val="center"/>
          </w:tcPr>
          <w:p>
            <w:pPr>
              <w:pStyle w:val="10"/>
            </w:pPr>
            <w:r>
              <w:t>其中：财政    资金</w:t>
            </w:r>
          </w:p>
        </w:tc>
        <w:tc>
          <w:tcPr>
            <w:tcW w:w="2551" w:type="dxa"/>
            <w:vAlign w:val="center"/>
          </w:tcPr>
          <w:p>
            <w:pPr>
              <w:pStyle w:val="12"/>
            </w:pPr>
            <w:r>
              <w:t>11.52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保障我单位机构编制管理运行工作的开展及办公院落内产生的用水费用，保障各项工作的顺利完成。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11.52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对机构编制执行情况跟踪评估和监督检查；保障各项工作的顺利完成。</w:t>
            </w:r>
          </w:p>
          <w:p>
            <w:pPr>
              <w:pStyle w:val="12"/>
            </w:pPr>
            <w:r>
              <w:t>2. 确保资金充分，保障我单位机构编制管理运行工作顺利开展及办公院落内产生的用水费用。</w:t>
            </w:r>
          </w:p>
          <w:p>
            <w:pPr>
              <w:pStyle w:val="12"/>
            </w:pPr>
            <w:r>
              <w:t>3. 审核管理全县各类人员编制总额，开展机构编制实名制管理和编制使用核准；保障我单位机构编制管理运行工作顺利开展及办公院落内产生的用水费用；维护维修购置办公设施。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使用年限</w:t>
            </w:r>
          </w:p>
        </w:tc>
        <w:tc>
          <w:tcPr>
            <w:tcW w:w="5386" w:type="dxa"/>
            <w:vAlign w:val="center"/>
          </w:tcPr>
          <w:p>
            <w:pPr>
              <w:pStyle w:val="12"/>
            </w:pPr>
            <w:r>
              <w:t xml:space="preserve"> 运转经费支出完成时间</w:t>
            </w:r>
          </w:p>
        </w:tc>
        <w:tc>
          <w:tcPr>
            <w:tcW w:w="2268" w:type="dxa"/>
            <w:vAlign w:val="center"/>
          </w:tcPr>
          <w:p>
            <w:pPr>
              <w:pStyle w:val="12"/>
            </w:pPr>
            <w:r>
              <w:t>1年</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后勤保障工作完成率</w:t>
            </w:r>
          </w:p>
        </w:tc>
        <w:tc>
          <w:tcPr>
            <w:tcW w:w="5386" w:type="dxa"/>
            <w:vAlign w:val="center"/>
          </w:tcPr>
          <w:p>
            <w:pPr>
              <w:pStyle w:val="12"/>
            </w:pPr>
            <w:r>
              <w:t xml:space="preserve"> 覆盖单位后勤保障工作完成率</w:t>
            </w:r>
          </w:p>
        </w:tc>
        <w:tc>
          <w:tcPr>
            <w:tcW w:w="2268" w:type="dxa"/>
            <w:vAlign w:val="center"/>
          </w:tcPr>
          <w:p>
            <w:pPr>
              <w:pStyle w:val="12"/>
            </w:pPr>
            <w:r>
              <w:t>≥90 %</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工作任务完成时限</w:t>
            </w:r>
          </w:p>
        </w:tc>
        <w:tc>
          <w:tcPr>
            <w:tcW w:w="5386" w:type="dxa"/>
            <w:vAlign w:val="center"/>
          </w:tcPr>
          <w:p>
            <w:pPr>
              <w:pStyle w:val="12"/>
            </w:pPr>
            <w:r>
              <w:t xml:space="preserve"> 后勤保障工作完成时限</w:t>
            </w:r>
          </w:p>
        </w:tc>
        <w:tc>
          <w:tcPr>
            <w:tcW w:w="2268" w:type="dxa"/>
            <w:vAlign w:val="center"/>
          </w:tcPr>
          <w:p>
            <w:pPr>
              <w:pStyle w:val="12"/>
            </w:pPr>
            <w:r>
              <w:t xml:space="preserve"> 12月底前</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保障单位工作运转成本</w:t>
            </w:r>
          </w:p>
        </w:tc>
        <w:tc>
          <w:tcPr>
            <w:tcW w:w="5386" w:type="dxa"/>
            <w:vAlign w:val="center"/>
          </w:tcPr>
          <w:p>
            <w:pPr>
              <w:pStyle w:val="12"/>
            </w:pPr>
            <w:r>
              <w:t xml:space="preserve"> 保障各项工作正常运行</w:t>
            </w:r>
          </w:p>
        </w:tc>
        <w:tc>
          <w:tcPr>
            <w:tcW w:w="2268" w:type="dxa"/>
            <w:vAlign w:val="center"/>
          </w:tcPr>
          <w:p>
            <w:pPr>
              <w:pStyle w:val="12"/>
            </w:pPr>
            <w:r>
              <w:t>≤11.52万元</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单位正常运转率</w:t>
            </w:r>
          </w:p>
        </w:tc>
        <w:tc>
          <w:tcPr>
            <w:tcW w:w="5386" w:type="dxa"/>
            <w:vAlign w:val="center"/>
          </w:tcPr>
          <w:p>
            <w:pPr>
              <w:pStyle w:val="12"/>
            </w:pPr>
            <w:r>
              <w:t xml:space="preserve"> 单位正常运转率</w:t>
            </w:r>
          </w:p>
        </w:tc>
        <w:tc>
          <w:tcPr>
            <w:tcW w:w="2268" w:type="dxa"/>
            <w:vAlign w:val="center"/>
          </w:tcPr>
          <w:p>
            <w:pPr>
              <w:pStyle w:val="12"/>
            </w:pPr>
            <w:r>
              <w:t>100 %</w:t>
            </w:r>
          </w:p>
        </w:tc>
        <w:tc>
          <w:tcPr>
            <w:tcW w:w="1276" w:type="dxa"/>
            <w:vAlign w:val="center"/>
          </w:tcPr>
          <w:p>
            <w:pPr>
              <w:pStyle w:val="12"/>
            </w:pPr>
            <w:r>
              <w:t xml:space="preserve">  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中共巨鹿县委机构编制委员会办公室本级小计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运转经费</w:t>
            </w:r>
          </w:p>
        </w:tc>
        <w:tc>
          <w:tcPr>
            <w:tcW w:w="964" w:type="dxa"/>
            <w:vAlign w:val="center"/>
          </w:tcPr>
          <w:p>
            <w:pPr>
              <w:pStyle w:val="11"/>
            </w:pPr>
            <w:r>
              <w:t>11.52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中共巨鹿县委机构编制委员会办公室本级上年末固定资产金额为33.19万元（详见下表）。本年度拟购置固定资产总额为2.00万元，已按要求列入政府采购预算，详见政府采购预算表。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225001中共巨鹿县委机构编制委员会办公室本级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161</w:t>
            </w:r>
          </w:p>
        </w:tc>
        <w:tc>
          <w:tcPr>
            <w:tcW w:w="2835" w:type="dxa"/>
            <w:vAlign w:val="center"/>
          </w:tcPr>
          <w:p>
            <w:pPr>
              <w:pStyle w:val="11"/>
            </w:pPr>
            <w:r>
              <w:t>33.19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2C623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0</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2026-02-10T10:58:00Z</dcterms:created>
  <dc:creator>pc</dc:creator>
  <cp:lastModifiedBy>pc</cp:lastModifiedBy>
  <dcterms:modified xsi:type="dcterms:W3CDTF">2026-02-10T03:08:43Z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