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225中共巨鹿县委机构编制委员会办公室</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232.82</w:t>
            </w:r>
          </w:p>
        </w:tc>
        <w:tc>
          <w:tcPr>
            <w:tcW w:w="4535" w:type="dxa"/>
            <w:vAlign w:val="center"/>
          </w:tcPr>
          <w:p>
            <w:pPr>
              <w:pStyle w:val="13"/>
            </w:pPr>
            <w:r>
              <w:t>一、一般公共服务支出</w:t>
            </w:r>
          </w:p>
        </w:tc>
        <w:tc>
          <w:tcPr>
            <w:tcW w:w="2126" w:type="dxa"/>
            <w:vAlign w:val="center"/>
          </w:tcPr>
          <w:p>
            <w:pPr>
              <w:pStyle w:val="12"/>
            </w:pPr>
            <w:r>
              <w:t>232.82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232.82</w:t>
            </w:r>
          </w:p>
        </w:tc>
        <w:tc>
          <w:tcPr>
            <w:tcW w:w="4535" w:type="dxa"/>
            <w:vAlign w:val="center"/>
          </w:tcPr>
          <w:p>
            <w:pPr>
              <w:pStyle w:val="15"/>
            </w:pPr>
            <w:r>
              <w:t>本年支出合计</w:t>
            </w:r>
          </w:p>
        </w:tc>
        <w:tc>
          <w:tcPr>
            <w:tcW w:w="2126" w:type="dxa"/>
            <w:vAlign w:val="center"/>
          </w:tcPr>
          <w:p>
            <w:pPr>
              <w:pStyle w:val="16"/>
            </w:pPr>
            <w:r>
              <w:t>232.82</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232.82</w:t>
            </w:r>
          </w:p>
        </w:tc>
        <w:tc>
          <w:tcPr>
            <w:tcW w:w="4535" w:type="dxa"/>
            <w:vAlign w:val="center"/>
          </w:tcPr>
          <w:p>
            <w:pPr>
              <w:pStyle w:val="15"/>
            </w:pPr>
            <w:r>
              <w:t>支出总计</w:t>
            </w:r>
          </w:p>
        </w:tc>
        <w:tc>
          <w:tcPr>
            <w:tcW w:w="2126" w:type="dxa"/>
            <w:vAlign w:val="center"/>
          </w:tcPr>
          <w:p>
            <w:pPr>
              <w:pStyle w:val="16"/>
            </w:pPr>
            <w:r>
              <w:t>232.82</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225中共巨鹿县委机构编制委员会办公室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232.82</w:t>
            </w:r>
          </w:p>
        </w:tc>
        <w:tc>
          <w:tcPr>
            <w:tcW w:w="1134" w:type="dxa"/>
            <w:vAlign w:val="center"/>
          </w:tcPr>
          <w:p>
            <w:pPr>
              <w:pStyle w:val="16"/>
            </w:pPr>
            <w:r>
              <w:t>232.82</w:t>
            </w:r>
          </w:p>
        </w:tc>
        <w:tc>
          <w:tcPr>
            <w:tcW w:w="1134" w:type="dxa"/>
            <w:vAlign w:val="center"/>
          </w:tcPr>
          <w:p>
            <w:pPr>
              <w:pStyle w:val="16"/>
            </w:pPr>
            <w:r>
              <w:t>232.82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232.82</w:t>
            </w:r>
          </w:p>
        </w:tc>
        <w:tc>
          <w:tcPr>
            <w:tcW w:w="1134" w:type="dxa"/>
            <w:vAlign w:val="center"/>
          </w:tcPr>
          <w:p>
            <w:pPr>
              <w:pStyle w:val="12"/>
            </w:pPr>
            <w:r>
              <w:t>232.82</w:t>
            </w:r>
          </w:p>
        </w:tc>
        <w:tc>
          <w:tcPr>
            <w:tcW w:w="1134" w:type="dxa"/>
            <w:vAlign w:val="center"/>
          </w:tcPr>
          <w:p>
            <w:pPr>
              <w:pStyle w:val="12"/>
            </w:pPr>
            <w:r>
              <w:t>232.82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232.82</w:t>
            </w:r>
          </w:p>
        </w:tc>
        <w:tc>
          <w:tcPr>
            <w:tcW w:w="1134" w:type="dxa"/>
            <w:vAlign w:val="center"/>
          </w:tcPr>
          <w:p>
            <w:pPr>
              <w:pStyle w:val="12"/>
            </w:pPr>
            <w:r>
              <w:t>232.82</w:t>
            </w:r>
          </w:p>
        </w:tc>
        <w:tc>
          <w:tcPr>
            <w:tcW w:w="1134" w:type="dxa"/>
            <w:vAlign w:val="center"/>
          </w:tcPr>
          <w:p>
            <w:pPr>
              <w:pStyle w:val="12"/>
            </w:pPr>
            <w:r>
              <w:t>232.82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2013201</w:t>
            </w:r>
          </w:p>
        </w:tc>
        <w:tc>
          <w:tcPr>
            <w:tcW w:w="1559" w:type="dxa"/>
            <w:vAlign w:val="center"/>
          </w:tcPr>
          <w:p>
            <w:pPr>
              <w:pStyle w:val="13"/>
            </w:pPr>
            <w:r>
              <w:t>行政运行</w:t>
            </w:r>
          </w:p>
        </w:tc>
        <w:tc>
          <w:tcPr>
            <w:tcW w:w="1134" w:type="dxa"/>
            <w:vAlign w:val="center"/>
          </w:tcPr>
          <w:p>
            <w:pPr>
              <w:pStyle w:val="12"/>
            </w:pPr>
            <w:r>
              <w:t>213.30</w:t>
            </w:r>
          </w:p>
        </w:tc>
        <w:tc>
          <w:tcPr>
            <w:tcW w:w="1134" w:type="dxa"/>
            <w:vAlign w:val="center"/>
          </w:tcPr>
          <w:p>
            <w:pPr>
              <w:pStyle w:val="12"/>
            </w:pPr>
            <w:r>
              <w:t>213.30</w:t>
            </w:r>
          </w:p>
        </w:tc>
        <w:tc>
          <w:tcPr>
            <w:tcW w:w="1134" w:type="dxa"/>
            <w:vAlign w:val="center"/>
          </w:tcPr>
          <w:p>
            <w:pPr>
              <w:pStyle w:val="12"/>
            </w:pPr>
            <w:r>
              <w:t>213.30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2013202</w:t>
            </w:r>
          </w:p>
        </w:tc>
        <w:tc>
          <w:tcPr>
            <w:tcW w:w="1559" w:type="dxa"/>
            <w:vAlign w:val="center"/>
          </w:tcPr>
          <w:p>
            <w:pPr>
              <w:pStyle w:val="13"/>
            </w:pPr>
            <w:r>
              <w:t>一般行政管理事务</w:t>
            </w:r>
          </w:p>
        </w:tc>
        <w:tc>
          <w:tcPr>
            <w:tcW w:w="1134" w:type="dxa"/>
            <w:vAlign w:val="center"/>
          </w:tcPr>
          <w:p>
            <w:pPr>
              <w:pStyle w:val="12"/>
            </w:pPr>
            <w:r>
              <w:t>19.52</w:t>
            </w:r>
          </w:p>
        </w:tc>
        <w:tc>
          <w:tcPr>
            <w:tcW w:w="1134" w:type="dxa"/>
            <w:vAlign w:val="center"/>
          </w:tcPr>
          <w:p>
            <w:pPr>
              <w:pStyle w:val="12"/>
            </w:pPr>
            <w:r>
              <w:t>19.52</w:t>
            </w:r>
          </w:p>
        </w:tc>
        <w:tc>
          <w:tcPr>
            <w:tcW w:w="1134" w:type="dxa"/>
            <w:vAlign w:val="center"/>
          </w:tcPr>
          <w:p>
            <w:pPr>
              <w:pStyle w:val="12"/>
            </w:pPr>
            <w:r>
              <w:t>19.52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225中共巨鹿县委机构编制委员会办公室</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232.82</w:t>
            </w:r>
          </w:p>
        </w:tc>
        <w:tc>
          <w:tcPr>
            <w:tcW w:w="1361" w:type="dxa"/>
            <w:vAlign w:val="center"/>
          </w:tcPr>
          <w:p>
            <w:pPr>
              <w:pStyle w:val="16"/>
            </w:pPr>
            <w:r>
              <w:t>213.30</w:t>
            </w:r>
          </w:p>
        </w:tc>
        <w:tc>
          <w:tcPr>
            <w:tcW w:w="1361" w:type="dxa"/>
            <w:vAlign w:val="center"/>
          </w:tcPr>
          <w:p>
            <w:pPr>
              <w:pStyle w:val="16"/>
            </w:pPr>
            <w:r>
              <w:t>19.52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232.82</w:t>
            </w:r>
          </w:p>
        </w:tc>
        <w:tc>
          <w:tcPr>
            <w:tcW w:w="1361" w:type="dxa"/>
            <w:vAlign w:val="center"/>
          </w:tcPr>
          <w:p>
            <w:pPr>
              <w:pStyle w:val="12"/>
            </w:pPr>
            <w:r>
              <w:t>213.30</w:t>
            </w:r>
          </w:p>
        </w:tc>
        <w:tc>
          <w:tcPr>
            <w:tcW w:w="1361" w:type="dxa"/>
            <w:vAlign w:val="center"/>
          </w:tcPr>
          <w:p>
            <w:pPr>
              <w:pStyle w:val="12"/>
            </w:pPr>
            <w:r>
              <w:t>19.52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232.82</w:t>
            </w:r>
          </w:p>
        </w:tc>
        <w:tc>
          <w:tcPr>
            <w:tcW w:w="1361" w:type="dxa"/>
            <w:vAlign w:val="center"/>
          </w:tcPr>
          <w:p>
            <w:pPr>
              <w:pStyle w:val="12"/>
            </w:pPr>
            <w:r>
              <w:t>213.30</w:t>
            </w:r>
          </w:p>
        </w:tc>
        <w:tc>
          <w:tcPr>
            <w:tcW w:w="1361" w:type="dxa"/>
            <w:vAlign w:val="center"/>
          </w:tcPr>
          <w:p>
            <w:pPr>
              <w:pStyle w:val="12"/>
            </w:pPr>
            <w:r>
              <w:t>19.52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2013201</w:t>
            </w:r>
          </w:p>
        </w:tc>
        <w:tc>
          <w:tcPr>
            <w:tcW w:w="4535" w:type="dxa"/>
            <w:vAlign w:val="center"/>
          </w:tcPr>
          <w:p>
            <w:pPr>
              <w:pStyle w:val="13"/>
            </w:pPr>
            <w:r>
              <w:t>行政运行</w:t>
            </w:r>
          </w:p>
        </w:tc>
        <w:tc>
          <w:tcPr>
            <w:tcW w:w="1361" w:type="dxa"/>
            <w:vAlign w:val="center"/>
          </w:tcPr>
          <w:p>
            <w:pPr>
              <w:pStyle w:val="12"/>
            </w:pPr>
            <w:r>
              <w:t>213.30</w:t>
            </w:r>
          </w:p>
        </w:tc>
        <w:tc>
          <w:tcPr>
            <w:tcW w:w="1361" w:type="dxa"/>
            <w:vAlign w:val="center"/>
          </w:tcPr>
          <w:p>
            <w:pPr>
              <w:pStyle w:val="12"/>
            </w:pPr>
            <w:r>
              <w:t>213.30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2013202</w:t>
            </w:r>
          </w:p>
        </w:tc>
        <w:tc>
          <w:tcPr>
            <w:tcW w:w="4535" w:type="dxa"/>
            <w:vAlign w:val="center"/>
          </w:tcPr>
          <w:p>
            <w:pPr>
              <w:pStyle w:val="13"/>
            </w:pPr>
            <w:r>
              <w:t>一般行政管理事务</w:t>
            </w:r>
          </w:p>
        </w:tc>
        <w:tc>
          <w:tcPr>
            <w:tcW w:w="1361" w:type="dxa"/>
            <w:vAlign w:val="center"/>
          </w:tcPr>
          <w:p>
            <w:pPr>
              <w:pStyle w:val="12"/>
            </w:pPr>
            <w:r>
              <w:t>19.52</w:t>
            </w:r>
          </w:p>
        </w:tc>
        <w:tc>
          <w:tcPr>
            <w:tcW w:w="1361" w:type="dxa"/>
            <w:vAlign w:val="center"/>
          </w:tcPr>
          <w:p>
            <w:pPr>
              <w:pStyle w:val="12"/>
            </w:pPr>
          </w:p>
        </w:tc>
        <w:tc>
          <w:tcPr>
            <w:tcW w:w="1361" w:type="dxa"/>
            <w:vAlign w:val="center"/>
          </w:tcPr>
          <w:p>
            <w:pPr>
              <w:pStyle w:val="12"/>
            </w:pPr>
            <w:r>
              <w:t>19.52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225中共巨鹿县委机构编制委员会办公室</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232.82</w:t>
            </w:r>
          </w:p>
        </w:tc>
        <w:tc>
          <w:tcPr>
            <w:tcW w:w="3402" w:type="dxa"/>
            <w:vAlign w:val="center"/>
          </w:tcPr>
          <w:p>
            <w:pPr>
              <w:pStyle w:val="13"/>
            </w:pPr>
            <w:r>
              <w:t>一、一般公共服务支出</w:t>
            </w:r>
          </w:p>
        </w:tc>
        <w:tc>
          <w:tcPr>
            <w:tcW w:w="1474" w:type="dxa"/>
            <w:vAlign w:val="center"/>
          </w:tcPr>
          <w:p>
            <w:pPr>
              <w:pStyle w:val="12"/>
            </w:pPr>
            <w:r>
              <w:t>232.82</w:t>
            </w:r>
          </w:p>
        </w:tc>
        <w:tc>
          <w:tcPr>
            <w:tcW w:w="1474" w:type="dxa"/>
            <w:vAlign w:val="center"/>
          </w:tcPr>
          <w:p>
            <w:pPr>
              <w:pStyle w:val="12"/>
            </w:pPr>
            <w:r>
              <w:t>232.82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232.82</w:t>
            </w:r>
          </w:p>
        </w:tc>
        <w:tc>
          <w:tcPr>
            <w:tcW w:w="3402" w:type="dxa"/>
            <w:vAlign w:val="center"/>
          </w:tcPr>
          <w:p>
            <w:pPr>
              <w:pStyle w:val="15"/>
            </w:pPr>
            <w:r>
              <w:t>本年支出合计</w:t>
            </w:r>
          </w:p>
        </w:tc>
        <w:tc>
          <w:tcPr>
            <w:tcW w:w="1474" w:type="dxa"/>
            <w:vAlign w:val="center"/>
          </w:tcPr>
          <w:p>
            <w:pPr>
              <w:pStyle w:val="16"/>
            </w:pPr>
            <w:r>
              <w:t>232.82</w:t>
            </w:r>
          </w:p>
        </w:tc>
        <w:tc>
          <w:tcPr>
            <w:tcW w:w="1474" w:type="dxa"/>
            <w:vAlign w:val="center"/>
          </w:tcPr>
          <w:p>
            <w:pPr>
              <w:pStyle w:val="16"/>
            </w:pPr>
            <w:r>
              <w:t>232.82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232.82</w:t>
            </w:r>
          </w:p>
        </w:tc>
        <w:tc>
          <w:tcPr>
            <w:tcW w:w="3402" w:type="dxa"/>
            <w:vAlign w:val="center"/>
          </w:tcPr>
          <w:p>
            <w:pPr>
              <w:pStyle w:val="15"/>
            </w:pPr>
            <w:r>
              <w:t>支出总计</w:t>
            </w:r>
          </w:p>
        </w:tc>
        <w:tc>
          <w:tcPr>
            <w:tcW w:w="1474" w:type="dxa"/>
            <w:vAlign w:val="center"/>
          </w:tcPr>
          <w:p>
            <w:pPr>
              <w:pStyle w:val="16"/>
            </w:pPr>
            <w:r>
              <w:t>232.82</w:t>
            </w:r>
          </w:p>
        </w:tc>
        <w:tc>
          <w:tcPr>
            <w:tcW w:w="1474" w:type="dxa"/>
            <w:vAlign w:val="center"/>
          </w:tcPr>
          <w:p>
            <w:pPr>
              <w:pStyle w:val="16"/>
            </w:pPr>
            <w:r>
              <w:t>232.82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225中共巨鹿县委机构编制委员会办公室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232.82</w:t>
            </w:r>
          </w:p>
        </w:tc>
        <w:tc>
          <w:tcPr>
            <w:tcW w:w="2551" w:type="dxa"/>
            <w:vAlign w:val="center"/>
          </w:tcPr>
          <w:p>
            <w:pPr>
              <w:pStyle w:val="16"/>
            </w:pPr>
            <w:r>
              <w:t>213.30</w:t>
            </w:r>
          </w:p>
        </w:tc>
        <w:tc>
          <w:tcPr>
            <w:tcW w:w="2551" w:type="dxa"/>
            <w:vAlign w:val="center"/>
          </w:tcPr>
          <w:p>
            <w:pPr>
              <w:pStyle w:val="16"/>
            </w:pPr>
            <w:r>
              <w:t>19.52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232.82</w:t>
            </w:r>
          </w:p>
        </w:tc>
        <w:tc>
          <w:tcPr>
            <w:tcW w:w="2551" w:type="dxa"/>
            <w:vAlign w:val="center"/>
          </w:tcPr>
          <w:p>
            <w:pPr>
              <w:pStyle w:val="12"/>
            </w:pPr>
            <w:r>
              <w:t>213.30</w:t>
            </w:r>
          </w:p>
        </w:tc>
        <w:tc>
          <w:tcPr>
            <w:tcW w:w="2551" w:type="dxa"/>
            <w:vAlign w:val="center"/>
          </w:tcPr>
          <w:p>
            <w:pPr>
              <w:pStyle w:val="12"/>
            </w:pPr>
            <w:r>
              <w:t>19.52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232.82</w:t>
            </w:r>
          </w:p>
        </w:tc>
        <w:tc>
          <w:tcPr>
            <w:tcW w:w="2551" w:type="dxa"/>
            <w:vAlign w:val="center"/>
          </w:tcPr>
          <w:p>
            <w:pPr>
              <w:pStyle w:val="12"/>
            </w:pPr>
            <w:r>
              <w:t>213.30</w:t>
            </w:r>
          </w:p>
        </w:tc>
        <w:tc>
          <w:tcPr>
            <w:tcW w:w="2551" w:type="dxa"/>
            <w:vAlign w:val="center"/>
          </w:tcPr>
          <w:p>
            <w:pPr>
              <w:pStyle w:val="12"/>
            </w:pPr>
            <w:r>
              <w:t>19.52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2013201</w:t>
            </w:r>
          </w:p>
        </w:tc>
        <w:tc>
          <w:tcPr>
            <w:tcW w:w="4535" w:type="dxa"/>
            <w:vAlign w:val="center"/>
          </w:tcPr>
          <w:p>
            <w:pPr>
              <w:pStyle w:val="13"/>
            </w:pPr>
            <w:r>
              <w:t>行政运行</w:t>
            </w:r>
          </w:p>
        </w:tc>
        <w:tc>
          <w:tcPr>
            <w:tcW w:w="2551" w:type="dxa"/>
            <w:vAlign w:val="center"/>
          </w:tcPr>
          <w:p>
            <w:pPr>
              <w:pStyle w:val="12"/>
            </w:pPr>
            <w:r>
              <w:t>213.30</w:t>
            </w:r>
          </w:p>
        </w:tc>
        <w:tc>
          <w:tcPr>
            <w:tcW w:w="2551" w:type="dxa"/>
            <w:vAlign w:val="center"/>
          </w:tcPr>
          <w:p>
            <w:pPr>
              <w:pStyle w:val="12"/>
            </w:pPr>
            <w:r>
              <w:t>213.30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2013202</w:t>
            </w:r>
          </w:p>
        </w:tc>
        <w:tc>
          <w:tcPr>
            <w:tcW w:w="4535" w:type="dxa"/>
            <w:vAlign w:val="center"/>
          </w:tcPr>
          <w:p>
            <w:pPr>
              <w:pStyle w:val="13"/>
            </w:pPr>
            <w:r>
              <w:t>一般行政管理事务</w:t>
            </w:r>
          </w:p>
        </w:tc>
        <w:tc>
          <w:tcPr>
            <w:tcW w:w="2551" w:type="dxa"/>
            <w:vAlign w:val="center"/>
          </w:tcPr>
          <w:p>
            <w:pPr>
              <w:pStyle w:val="12"/>
            </w:pPr>
            <w:r>
              <w:t>19.52</w:t>
            </w:r>
          </w:p>
        </w:tc>
        <w:tc>
          <w:tcPr>
            <w:tcW w:w="2551" w:type="dxa"/>
            <w:vAlign w:val="center"/>
          </w:tcPr>
          <w:p>
            <w:pPr>
              <w:pStyle w:val="12"/>
            </w:pPr>
          </w:p>
        </w:tc>
        <w:tc>
          <w:tcPr>
            <w:tcW w:w="2551" w:type="dxa"/>
            <w:vAlign w:val="center"/>
          </w:tcPr>
          <w:p>
            <w:pPr>
              <w:pStyle w:val="12"/>
            </w:pPr>
            <w:r>
              <w:t>19.52</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225中共巨鹿县委机构编制委员会办公室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213.30</w:t>
            </w:r>
          </w:p>
        </w:tc>
        <w:tc>
          <w:tcPr>
            <w:tcW w:w="2551" w:type="dxa"/>
            <w:vAlign w:val="center"/>
          </w:tcPr>
          <w:p>
            <w:pPr>
              <w:pStyle w:val="16"/>
            </w:pPr>
            <w:r>
              <w:t>190.10</w:t>
            </w:r>
          </w:p>
        </w:tc>
        <w:tc>
          <w:tcPr>
            <w:tcW w:w="2551" w:type="dxa"/>
            <w:vAlign w:val="center"/>
          </w:tcPr>
          <w:p>
            <w:pPr>
              <w:pStyle w:val="16"/>
            </w:pPr>
            <w:r>
              <w:t>23.20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190.10</w:t>
            </w:r>
          </w:p>
        </w:tc>
        <w:tc>
          <w:tcPr>
            <w:tcW w:w="2551" w:type="dxa"/>
            <w:vAlign w:val="center"/>
          </w:tcPr>
          <w:p>
            <w:pPr>
              <w:pStyle w:val="12"/>
            </w:pPr>
            <w:r>
              <w:t>190.10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97.60</w:t>
            </w:r>
          </w:p>
        </w:tc>
        <w:tc>
          <w:tcPr>
            <w:tcW w:w="2551" w:type="dxa"/>
            <w:vAlign w:val="center"/>
          </w:tcPr>
          <w:p>
            <w:pPr>
              <w:pStyle w:val="12"/>
            </w:pPr>
            <w:r>
              <w:t>97.60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12.80</w:t>
            </w:r>
          </w:p>
        </w:tc>
        <w:tc>
          <w:tcPr>
            <w:tcW w:w="2551" w:type="dxa"/>
            <w:vAlign w:val="center"/>
          </w:tcPr>
          <w:p>
            <w:pPr>
              <w:pStyle w:val="12"/>
            </w:pPr>
            <w:r>
              <w:t>12.80</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11.10</w:t>
            </w:r>
          </w:p>
        </w:tc>
        <w:tc>
          <w:tcPr>
            <w:tcW w:w="2551" w:type="dxa"/>
            <w:vAlign w:val="center"/>
          </w:tcPr>
          <w:p>
            <w:pPr>
              <w:pStyle w:val="12"/>
            </w:pPr>
            <w:r>
              <w:t>11.10</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16.90</w:t>
            </w:r>
          </w:p>
        </w:tc>
        <w:tc>
          <w:tcPr>
            <w:tcW w:w="2551" w:type="dxa"/>
            <w:vAlign w:val="center"/>
          </w:tcPr>
          <w:p>
            <w:pPr>
              <w:pStyle w:val="12"/>
            </w:pPr>
            <w:r>
              <w:t>16.90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21.70</w:t>
            </w:r>
          </w:p>
        </w:tc>
        <w:tc>
          <w:tcPr>
            <w:tcW w:w="2551" w:type="dxa"/>
            <w:vAlign w:val="center"/>
          </w:tcPr>
          <w:p>
            <w:pPr>
              <w:pStyle w:val="12"/>
            </w:pPr>
            <w:r>
              <w:t>21.70</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11.00</w:t>
            </w:r>
          </w:p>
        </w:tc>
        <w:tc>
          <w:tcPr>
            <w:tcW w:w="2551" w:type="dxa"/>
            <w:vAlign w:val="center"/>
          </w:tcPr>
          <w:p>
            <w:pPr>
              <w:pStyle w:val="12"/>
            </w:pPr>
            <w:r>
              <w:t>11.00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1.60</w:t>
            </w:r>
          </w:p>
        </w:tc>
        <w:tc>
          <w:tcPr>
            <w:tcW w:w="2551" w:type="dxa"/>
            <w:vAlign w:val="center"/>
          </w:tcPr>
          <w:p>
            <w:pPr>
              <w:pStyle w:val="12"/>
            </w:pPr>
            <w:r>
              <w:t>1.60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17.40</w:t>
            </w:r>
          </w:p>
        </w:tc>
        <w:tc>
          <w:tcPr>
            <w:tcW w:w="2551" w:type="dxa"/>
            <w:vAlign w:val="center"/>
          </w:tcPr>
          <w:p>
            <w:pPr>
              <w:pStyle w:val="12"/>
            </w:pPr>
            <w:r>
              <w:t>17.40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23.20</w:t>
            </w:r>
          </w:p>
        </w:tc>
        <w:tc>
          <w:tcPr>
            <w:tcW w:w="2551" w:type="dxa"/>
            <w:vAlign w:val="center"/>
          </w:tcPr>
          <w:p>
            <w:pPr>
              <w:pStyle w:val="12"/>
            </w:pPr>
          </w:p>
        </w:tc>
        <w:tc>
          <w:tcPr>
            <w:tcW w:w="2551" w:type="dxa"/>
            <w:vAlign w:val="center"/>
          </w:tcPr>
          <w:p>
            <w:pPr>
              <w:pStyle w:val="12"/>
            </w:pPr>
            <w:r>
              <w:t>23.20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9.70</w:t>
            </w:r>
          </w:p>
        </w:tc>
        <w:tc>
          <w:tcPr>
            <w:tcW w:w="2551" w:type="dxa"/>
            <w:vAlign w:val="center"/>
          </w:tcPr>
          <w:p>
            <w:pPr>
              <w:pStyle w:val="12"/>
            </w:pPr>
          </w:p>
        </w:tc>
        <w:tc>
          <w:tcPr>
            <w:tcW w:w="2551" w:type="dxa"/>
            <w:vAlign w:val="center"/>
          </w:tcPr>
          <w:p>
            <w:pPr>
              <w:pStyle w:val="12"/>
            </w:pPr>
            <w:r>
              <w:t>9.70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10.60</w:t>
            </w:r>
          </w:p>
        </w:tc>
        <w:tc>
          <w:tcPr>
            <w:tcW w:w="2551" w:type="dxa"/>
            <w:vAlign w:val="center"/>
          </w:tcPr>
          <w:p>
            <w:pPr>
              <w:pStyle w:val="12"/>
            </w:pPr>
          </w:p>
        </w:tc>
        <w:tc>
          <w:tcPr>
            <w:tcW w:w="2551" w:type="dxa"/>
            <w:vAlign w:val="center"/>
          </w:tcPr>
          <w:p>
            <w:pPr>
              <w:pStyle w:val="12"/>
            </w:pPr>
            <w:r>
              <w:t>10.60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2.90</w:t>
            </w:r>
          </w:p>
        </w:tc>
        <w:tc>
          <w:tcPr>
            <w:tcW w:w="2551" w:type="dxa"/>
            <w:vAlign w:val="center"/>
          </w:tcPr>
          <w:p>
            <w:pPr>
              <w:pStyle w:val="12"/>
            </w:pPr>
          </w:p>
        </w:tc>
        <w:tc>
          <w:tcPr>
            <w:tcW w:w="2551" w:type="dxa"/>
            <w:vAlign w:val="center"/>
          </w:tcPr>
          <w:p>
            <w:pPr>
              <w:pStyle w:val="12"/>
            </w:pPr>
            <w:r>
              <w:t>2.90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225中共巨鹿县委机构编制委员会办公室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225中共巨鹿县委机构编制委员会办公室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225中共巨鹿县委机构编制委员会办公室</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中共巨鹿县委机构编制委员会办公室2026年部门预算信息公开情况说明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中共巨鹿县委机构编制委员会办公室2026年部门预算信息公开情况说明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按照《中华人民共和国预算法》、《地方预决算公开操作规程》和《关于进一步推进预算公开工作的实施意见》规定，现将中共巨鹿县委机构编制委员会办公室2026年部门预算公开如下：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贯彻落实党中央、国务院和省委、省政府关于行政管理体制和机构改革以及机构编制管理的政策法规，组织拟订全县行政管理体制和机构改革以及机构编制管理的政策措施并监督实施；管理和指导各级党政机关，人大、政协、法院、检察院机关，各民主党派、人民团体机关的机构编制工作；管理和指导全县事业单位机构编制工作。 2、组织拟订全县行政管理体制和机构改革总体方案并组织实施。拟订县委、县政府机构改革方案。审核县委、县政府各部门职能配置、机构设置、人员编制和领导职数。审核乡（镇）的行政管理体制和机构改革方案。审核并管理全县各级各类人员编制总额。指导、协调乡（镇）行政管理体制和机构改革以及机构编制管理工作。负责综合行政执法试点工作。 3、协调县委、县政府各部门的职能配置及其调整。协调县委各部门之间、县政府各部门之间、县委各部门与县政府各部门之间以及县直各部门与乡（镇）之间的职责分工。研究提出参照公务员法管理事业单位的行政管理职能认定意见。 4、审核或审批县委、县政府及各部门和群团机关的派出机构的职能配置、机构设置、人员编制和领导职数。审核或审批县、乡（镇）机构编制分类。负责省垂直管理部门或双重管理部门需要承办的机构编制有关事宜。 5、审核县人大、县政协、县法院、县检察院、县级各民主党派、人民团体机关的职能配置、机构设置、人员编制和领导职数。审核县人大、政协、法院、检察院和各民主党派、人民团体机关股级以上机构设置和调整事宜。审核因特殊需要设置的相当于股级法院、检察院机构编制事宜。 6、组织拟订全县事业单位管理体制和机构改革方案。落实事业单位机构编制标准，组织拟订全县各类事业单位分类管理办法。负责全县事业单位法人登记管理和监督检查工作。 7、指导全县开发区（园区）行政管理体制改革工作，组织拟订县级以上开发区（园区）机构编制管理办法并组织实施。审核开发区（园区）职能配置、机构设置、人员编制和领导职数。 8、负责机构编制日常管理。负责对全县机构编制的总量控制、动态管理和机构编制标准化工作。负责机构编制实名制管理，以及编制使用核准等工作。建立健全机构编制部门与有关部门的配合制约机制。 9、负责对各级行政、事业单位管理体制和机构改革及机构编制执行情况的跟踪评估和监督检查。负责受理违反机构编制法规、纪律的检举、控告和投诉，对违反机构编制法规、纪律问题进行调查处理。 10、负责全县机构编制信息管理系统、电子政务和机构编制网站的建设和管理。负责全县机构编制统计工作。指导全县党政群机关、事业单位和其他非营利性单位网上名称管理工作。 11、承办县委、县政府和县机构编制委员会交办的其他事项。 12、加强行政管理体制改革和重点领域体制改革的政策研究和指导职能。 13、加强机构编制实名制管理的职能。 14、加强对机构编制执行情况跟踪评估和监督检查职能。</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中共巨鹿县委机构编制委员会办公室本级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按照预算管理有关规定，目前部门预算的编制实行综合预算管理，即全部收入和支出都反映在预算中。中共巨鹿县委机构编制委员会办公室机关及所属事业单位的收支包含在部门预算中。</w:t>
      </w:r>
    </w:p>
    <w:p>
      <w:pPr>
        <w:pStyle w:val="19"/>
      </w:pPr>
      <w:r>
        <w:t>1、收入说明</w:t>
      </w:r>
    </w:p>
    <w:p>
      <w:pPr>
        <w:pStyle w:val="19"/>
      </w:pPr>
      <w:r>
        <w:t>反映本部门当年全部收入。2025年预算收入235.02万元，其中：一般公共预算收入235.02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巨鹿县委机构编制委员会办公室年度部门预算中支出预算的总体情况。2025年支出预算235.02万元，其中基本支出215.50万元，包括人员经费185.70万元和日常公用经费29.80万元；项目支出19.52万元，主要为保障单位人员的工资福利发放，各类保险的缴纳，单位日常业务的正常运转及机关后勤服务工作。</w:t>
      </w:r>
    </w:p>
    <w:p>
      <w:pPr>
        <w:pStyle w:val="19"/>
      </w:pPr>
      <w:r>
        <w:t>3、比上年增减情况</w:t>
      </w:r>
    </w:p>
    <w:p>
      <w:pPr>
        <w:pStyle w:val="19"/>
      </w:pPr>
      <w:r>
        <w:t>2025年预算收支安排235.02万元，较2024年预算减少29.31万元，其中：基本支出减少24.43万元，主要为按照“从严控制，只减不增”的原则，在保证完成工作的前提下，坚持做紧日子，做好经费管理，减少经费支出。项目支出减少4.88万元，主要为按照“从严控制，只减不增”的原则，在保证完成工作的前提下，减少经费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2025年，我部门机关运行经费共计安排29.80万元，主要用于日常维修、办公用房水电费、办公用房取暖费、办公用房物业管理费等日常运行支出。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新时代中国特色社会主义思想为指导，围绕县委、县政府安排部署，我办组织全体工作人员对省市的安排部署，积极创新编制管理，探索建立统筹使用各类编制资源的制度规定。加大机构编制资源挖潜创新和统筹调剂力度，重点保障义务教育、基层卫生等基本公共服务需要。</w:t>
      </w:r>
    </w:p>
    <w:p>
      <w:pPr>
        <w:pStyle w:val="22"/>
      </w:pPr>
      <w:r>
        <w:t>开展深化事业单位改革试点工作。我县深化事业单位改革试点实施方案批复后，组织召开全县深化事业单位改革试点动员部署会，对组织实施阶段工作进行安排部署。研究拟订事业单位机构职能编制规定。完成事业单位机构和人员转隶、集中办公、挂牌、公章收缴封存、公章统一刻制等相关工作。</w:t>
      </w:r>
    </w:p>
    <w:p>
      <w:pPr>
        <w:pStyle w:val="22"/>
      </w:pPr>
      <w:r>
        <w:t>着力推进机构编制法定化。严格执行《中国共产党机构编制工作条例》动议、论证和审议决定等要求，全面落实机构编制审核审批、统筹调配、动态调整、实名制管理、报告备案和监督检查制度，推动机构、职能、权限、程序、责任法定化， 维护“ 三定 “规定和机构编制管理规定的权威</w:t>
      </w:r>
    </w:p>
    <w:p>
      <w:pPr>
        <w:pStyle w:val="22"/>
      </w:pPr>
      <w:r>
        <w:t>性和严肃性。从严从紧，严格把握部门单位机构编制调整事宜，部门单位确需调整事宜按程序办理。</w:t>
      </w:r>
    </w:p>
    <w:p>
      <w:pPr>
        <w:pStyle w:val="22"/>
      </w:pPr>
    </w:p>
    <w:p>
      <w:pPr>
        <w:pStyle w:val="22"/>
      </w:pPr>
    </w:p>
    <w:p>
      <w:pPr>
        <w:pStyle w:val="22"/>
      </w:pPr>
    </w:p>
    <w:p>
      <w:pPr>
        <w:pStyle w:val="22"/>
      </w:pPr>
    </w:p>
    <w:p>
      <w:pPr>
        <w:pStyle w:val="22"/>
      </w:pP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（一）科学盘活机构编制资源绩</w:t>
      </w:r>
    </w:p>
    <w:p>
      <w:pPr>
        <w:pStyle w:val="23"/>
      </w:pPr>
      <w:r>
        <w:t>绩效目标：结合机构改革、行业体制改革，进一步精简收回各类编制。加大动态调整力度；推动编制资源向重点领域和基层倾斜。</w:t>
      </w:r>
    </w:p>
    <w:p>
      <w:pPr>
        <w:pStyle w:val="23"/>
      </w:pPr>
      <w:r>
        <w:t>绩效指标：按照省市安排部署，积极创新编制管理，探索建立统筹使用各类编制资源的制度规定。加大机构编制资源挖潜创新和统筹调剂力度，保障重点领域机构编制需求。</w:t>
      </w:r>
    </w:p>
    <w:p>
      <w:pPr>
        <w:pStyle w:val="23"/>
      </w:pPr>
      <w:r>
        <w:t>（二）搞好党政机构改革评估工作绩效目标：按照部门新“三定”规定，对各部门职责运行情况，重点是新调整的职责和部门间职责调整衔接情况进行科学评估；积极主动与省市沟通，进一步做好部门领导职数核定工作，争取最大领导职数限额。</w:t>
      </w:r>
    </w:p>
    <w:p>
      <w:pPr>
        <w:pStyle w:val="23"/>
      </w:pPr>
      <w:r>
        <w:t>绩效指标：盘活机构编制资源，根据职责确定机构和编制，科学增减，确保重要领域机构编制需求。</w:t>
      </w:r>
    </w:p>
    <w:p>
      <w:pPr>
        <w:pStyle w:val="23"/>
      </w:pPr>
      <w:r>
        <w:t>（三）抓紧推进乡镇治理能力提升工作</w:t>
      </w:r>
    </w:p>
    <w:p>
      <w:pPr>
        <w:pStyle w:val="23"/>
      </w:pPr>
      <w:r>
        <w:t>绩效目标：明晰县乡职责，规范“属地管理”办法，出台符合我县实际的工作机制。</w:t>
      </w:r>
    </w:p>
    <w:p>
      <w:pPr>
        <w:pStyle w:val="23"/>
      </w:pPr>
      <w:r>
        <w:t>绩效指标：一是编制涉及自然资源、生态环境、城乡建设、应急管理、市场监管、综合执法等领域主体责任和配合责任事项清单。二是依托大数据平台或智慧党建平台等建立覆盖县直职能部门、延伸至乡镇的治理体系运转平台。三是制定清单事项动态管理、部门考核评价制度等相关配套制度。</w:t>
      </w:r>
    </w:p>
    <w:p>
      <w:pPr>
        <w:pStyle w:val="23"/>
      </w:pPr>
    </w:p>
    <w:p>
      <w:pPr>
        <w:pStyle w:val="23"/>
      </w:pPr>
    </w:p>
    <w:p>
      <w:pPr>
        <w:pStyle w:val="23"/>
      </w:pPr>
    </w:p>
    <w:p>
      <w:pPr>
        <w:pStyle w:val="23"/>
      </w:pPr>
    </w:p>
    <w:p>
      <w:pPr>
        <w:pStyle w:val="23"/>
      </w:pP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（一）加强组织领导</w:t>
      </w:r>
    </w:p>
    <w:p>
      <w:pPr>
        <w:pStyle w:val="24"/>
      </w:pPr>
      <w:r>
        <w:t>将事前评估、目标管理、运行监控、绩效评价、结果应用等各项改革措施，有效融入预算管理的全过程，建立健全编制预算绩效管理统筹协调、分工协作、合力推进的工作机制。围绕年度总体绩效目标和分类绩效目标，细化工作方案，明确责任主体、实施进度要求，确保如期完成。</w:t>
      </w:r>
    </w:p>
    <w:p>
      <w:pPr>
        <w:pStyle w:val="24"/>
      </w:pPr>
      <w:r>
        <w:t xml:space="preserve">（二） 狠抓任务落实 </w:t>
      </w:r>
    </w:p>
    <w:p>
      <w:pPr>
        <w:pStyle w:val="24"/>
      </w:pPr>
      <w:r>
        <w:t>按照“谁负责，谁主责”的原则，明确业务科室预算绩效管理职责。确保财务与业务工作紧密衔接。</w:t>
      </w:r>
    </w:p>
    <w:p>
      <w:pPr>
        <w:pStyle w:val="24"/>
      </w:pPr>
      <w:r>
        <w:t xml:space="preserve">（三）强化预算执行   </w:t>
      </w:r>
    </w:p>
    <w:p>
      <w:pPr>
        <w:pStyle w:val="24"/>
      </w:pPr>
      <w:r>
        <w:t xml:space="preserve">强化财政预算执行的刚性约束，及时启动项目和支付资金，优化部门预算支出结构，创新财政资金支出思路，合理改进支出方式，确保按照时间节点完成支出任务。规范财政资金使用和管理，更好地发挥财政资金的使用效益。 </w:t>
      </w:r>
    </w:p>
    <w:p>
      <w:pPr>
        <w:pStyle w:val="24"/>
      </w:pPr>
      <w:r>
        <w:t>（四）健全评价机制</w:t>
      </w:r>
    </w:p>
    <w:p>
      <w:pPr>
        <w:pStyle w:val="24"/>
      </w:pPr>
      <w:r>
        <w:t>成立专门的评价工作小组，由主任任组长，副主任为副组长，财务人员和各科室股长为成员，及时发现实施中存在的问题，并研究解决对策。评价过程最大程度信息公开，规范管理和保障预算绩效工作的有效推进，做到程序规范、方法合理、结果可信。</w:t>
      </w:r>
    </w:p>
    <w:p>
      <w:pPr>
        <w:pStyle w:val="24"/>
      </w:pPr>
      <w:r>
        <w:t>（五）强化宣传引导</w:t>
      </w:r>
    </w:p>
    <w:p>
      <w:pPr>
        <w:pStyle w:val="24"/>
      </w:pPr>
      <w:r>
        <w:t>组织开展业务培训，使全办工作人员树立绩效理念，熟悉管理流程，掌握工作方法，提升管理能力。各处室积极探索工作经验，及时总结预算绩效管理经验，营造良好的舆论氛围。积极学习先进单位经验，提升预算绩效管理科学水平。</w:t>
      </w:r>
    </w:p>
    <w:p>
      <w:pPr>
        <w:pStyle w:val="24"/>
      </w:pPr>
    </w:p>
    <w:p>
      <w:pPr>
        <w:pStyle w:val="24"/>
      </w:pPr>
    </w:p>
    <w:p>
      <w:pPr>
        <w:pStyle w:val="24"/>
      </w:pPr>
    </w:p>
    <w:p>
      <w:pPr>
        <w:pStyle w:val="24"/>
        <w:sectPr>
          <w:pgSz w:w="16840" w:h="11900" w:orient="landscape"/>
          <w:pgMar w:top="1361" w:right="1020" w:bottom="1361" w:left="1020" w:header="720" w:footer="720" w:gutter="0"/>
        </w:sectPr>
      </w:pP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1、“一网通”系统维护经费绩效目标表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13052926P00005510549B</w:t>
            </w:r>
          </w:p>
        </w:tc>
        <w:tc>
          <w:tcPr>
            <w:tcW w:w="2835" w:type="dxa"/>
            <w:vAlign w:val="center"/>
          </w:tcPr>
          <w:p>
            <w:pPr>
              <w:pStyle w:val="11"/>
            </w:pPr>
            <w:r>
              <w:t>项目名称</w:t>
            </w:r>
          </w:p>
        </w:tc>
        <w:tc>
          <w:tcPr>
            <w:tcW w:w="6095" w:type="dxa"/>
            <w:gridSpan w:val="3"/>
            <w:vAlign w:val="center"/>
          </w:tcPr>
          <w:p>
            <w:pPr>
              <w:pStyle w:val="13"/>
            </w:pPr>
            <w:r>
              <w:t>“一网通”系统维护经费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开展机构编制实名制管理，加快电子政务内网建设及维护，保障单位网络畅通。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0.40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持续发展电子政务，时时对机构编制执行情况跟踪评估和监督检查。</w:t>
            </w:r>
          </w:p>
          <w:p>
            <w:pPr>
              <w:pStyle w:val="13"/>
            </w:pPr>
            <w:r>
              <w:t>2. 确保资金充分，保障我单位“一网通”运行工作顺利开展。</w:t>
            </w:r>
          </w:p>
          <w:p>
            <w:pPr>
              <w:pStyle w:val="13"/>
            </w:pPr>
            <w:r>
              <w:t>3. 审核管理全县各类人员编制总额，开展机构编制实名制管理和编制使用核准全面推进机关事业单位人事管理，加快电子政务内网建设及维护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运行维护系统数量</w:t>
            </w:r>
          </w:p>
        </w:tc>
        <w:tc>
          <w:tcPr>
            <w:tcW w:w="5386" w:type="dxa"/>
            <w:vAlign w:val="center"/>
          </w:tcPr>
          <w:p>
            <w:pPr>
              <w:pStyle w:val="13"/>
            </w:pPr>
            <w:r>
              <w:t>运行维护系统数量</w:t>
            </w:r>
          </w:p>
        </w:tc>
        <w:tc>
          <w:tcPr>
            <w:tcW w:w="2268" w:type="dxa"/>
            <w:vAlign w:val="center"/>
          </w:tcPr>
          <w:p>
            <w:pPr>
              <w:pStyle w:val="13"/>
            </w:pPr>
            <w:r>
              <w:t>≥1套</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运行覆盖率</w:t>
            </w:r>
          </w:p>
        </w:tc>
        <w:tc>
          <w:tcPr>
            <w:tcW w:w="5386" w:type="dxa"/>
            <w:vAlign w:val="center"/>
          </w:tcPr>
          <w:p>
            <w:pPr>
              <w:pStyle w:val="13"/>
            </w:pPr>
            <w:r>
              <w:t>电子政务运行覆盖率</w:t>
            </w:r>
          </w:p>
        </w:tc>
        <w:tc>
          <w:tcPr>
            <w:tcW w:w="2268" w:type="dxa"/>
            <w:vAlign w:val="center"/>
          </w:tcPr>
          <w:p>
            <w:pPr>
              <w:pStyle w:val="13"/>
            </w:pPr>
            <w:r>
              <w:t>≥97%</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工作任务完成时限</w:t>
            </w:r>
          </w:p>
        </w:tc>
        <w:tc>
          <w:tcPr>
            <w:tcW w:w="5386" w:type="dxa"/>
            <w:vAlign w:val="center"/>
          </w:tcPr>
          <w:p>
            <w:pPr>
              <w:pStyle w:val="13"/>
            </w:pPr>
            <w:r>
              <w:t>各项工作完成时间</w:t>
            </w:r>
          </w:p>
        </w:tc>
        <w:tc>
          <w:tcPr>
            <w:tcW w:w="2268" w:type="dxa"/>
            <w:vAlign w:val="center"/>
          </w:tcPr>
          <w:p>
            <w:pPr>
              <w:pStyle w:val="13"/>
            </w:pPr>
            <w:r>
              <w:t>12月底前</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保证电子政务工作运转正常，维护维修系统的正常使用，购置急需工作的办公用品</w:t>
            </w:r>
          </w:p>
        </w:tc>
        <w:tc>
          <w:tcPr>
            <w:tcW w:w="5386" w:type="dxa"/>
            <w:vAlign w:val="center"/>
          </w:tcPr>
          <w:p>
            <w:pPr>
              <w:pStyle w:val="13"/>
            </w:pPr>
            <w:r>
              <w:t xml:space="preserve"> 保障工作完成的成本</w:t>
            </w:r>
          </w:p>
        </w:tc>
        <w:tc>
          <w:tcPr>
            <w:tcW w:w="2268" w:type="dxa"/>
            <w:vAlign w:val="center"/>
          </w:tcPr>
          <w:p>
            <w:pPr>
              <w:pStyle w:val="13"/>
            </w:pPr>
            <w:r>
              <w:t>≤4万元</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完成率</w:t>
            </w:r>
          </w:p>
        </w:tc>
        <w:tc>
          <w:tcPr>
            <w:tcW w:w="5386" w:type="dxa"/>
            <w:vAlign w:val="center"/>
          </w:tcPr>
          <w:p>
            <w:pPr>
              <w:pStyle w:val="13"/>
            </w:pPr>
            <w:r>
              <w:t>全县各单位机构编制实名制工作网络运行正常</w:t>
            </w:r>
          </w:p>
        </w:tc>
        <w:tc>
          <w:tcPr>
            <w:tcW w:w="2268" w:type="dxa"/>
            <w:vAlign w:val="center"/>
          </w:tcPr>
          <w:p>
            <w:pPr>
              <w:pStyle w:val="13"/>
            </w:pPr>
            <w:r>
              <w:t>≥99%</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完成率</w:t>
            </w:r>
          </w:p>
        </w:tc>
        <w:tc>
          <w:tcPr>
            <w:tcW w:w="5386" w:type="dxa"/>
            <w:vAlign w:val="center"/>
          </w:tcPr>
          <w:p>
            <w:pPr>
              <w:pStyle w:val="13"/>
            </w:pPr>
            <w:r>
              <w:t>审核全县人员编制总额，盘活编制总量，更好的为县委县政府做好决策服务</w:t>
            </w:r>
          </w:p>
        </w:tc>
        <w:tc>
          <w:tcPr>
            <w:tcW w:w="2268" w:type="dxa"/>
            <w:vAlign w:val="center"/>
          </w:tcPr>
          <w:p>
            <w:pPr>
              <w:pStyle w:val="13"/>
            </w:pPr>
            <w:r>
              <w:t>≥99%</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单位正常运转率</w:t>
            </w:r>
          </w:p>
        </w:tc>
        <w:tc>
          <w:tcPr>
            <w:tcW w:w="5386" w:type="dxa"/>
            <w:vAlign w:val="center"/>
          </w:tcPr>
          <w:p>
            <w:pPr>
              <w:pStyle w:val="13"/>
            </w:pPr>
            <w:r>
              <w:t>单位正常运转率</w:t>
            </w:r>
          </w:p>
        </w:tc>
        <w:tc>
          <w:tcPr>
            <w:tcW w:w="2268" w:type="dxa"/>
            <w:vAlign w:val="center"/>
          </w:tcPr>
          <w:p>
            <w:pPr>
              <w:pStyle w:val="13"/>
            </w:pPr>
            <w:r>
              <w:t>100%</w:t>
            </w:r>
          </w:p>
        </w:tc>
        <w:tc>
          <w:tcPr>
            <w:tcW w:w="1276" w:type="dxa"/>
            <w:vAlign w:val="center"/>
          </w:tcPr>
          <w:p>
            <w:pPr>
              <w:pStyle w:val="13"/>
            </w:pPr>
            <w:r>
              <w:t xml:space="preserve"> 统计调查</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2、事业单位登记工作经费绩效目标表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13052926P00005510548P</w:t>
            </w:r>
          </w:p>
        </w:tc>
        <w:tc>
          <w:tcPr>
            <w:tcW w:w="2835" w:type="dxa"/>
            <w:vAlign w:val="center"/>
          </w:tcPr>
          <w:p>
            <w:pPr>
              <w:pStyle w:val="11"/>
            </w:pPr>
            <w:r>
              <w:t>项目名称</w:t>
            </w:r>
          </w:p>
        </w:tc>
        <w:tc>
          <w:tcPr>
            <w:tcW w:w="6095" w:type="dxa"/>
            <w:gridSpan w:val="3"/>
            <w:vAlign w:val="center"/>
          </w:tcPr>
          <w:p>
            <w:pPr>
              <w:pStyle w:val="13"/>
            </w:pPr>
            <w:r>
              <w:t>事业单位登记工作经费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保障全县事业单位登记、变更、注销工作顺利开展.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0.20</w:t>
            </w:r>
          </w:p>
        </w:tc>
        <w:tc>
          <w:tcPr>
            <w:tcW w:w="2835" w:type="dxa"/>
            <w:vAlign w:val="center"/>
          </w:tcPr>
          <w:p>
            <w:pPr>
              <w:pStyle w:val="14"/>
            </w:pPr>
            <w:r>
              <w:t>1.00</w:t>
            </w:r>
          </w:p>
        </w:tc>
        <w:tc>
          <w:tcPr>
            <w:tcW w:w="2551" w:type="dxa"/>
            <w:vAlign w:val="center"/>
          </w:tcPr>
          <w:p>
            <w:pPr>
              <w:pStyle w:val="14"/>
            </w:pPr>
            <w:r>
              <w:t>1.60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1.对登记的事业单位履职情况进行跟踪评估和监督检查，开展双随机一公开工作。</w:t>
            </w:r>
          </w:p>
          <w:p>
            <w:pPr>
              <w:pStyle w:val="13"/>
            </w:pPr>
            <w:r>
              <w:t>2.确保资金充分，保障全县事业单位登记、变更、注销工作顺利开展.</w:t>
            </w:r>
          </w:p>
          <w:p>
            <w:pPr>
              <w:pStyle w:val="13"/>
            </w:pPr>
            <w:r>
              <w:t>3.通过开展全县事业单位登记、变更、注销工作，确保登记事业单位工作顺利开展。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覆盖单位数量</w:t>
            </w:r>
          </w:p>
        </w:tc>
        <w:tc>
          <w:tcPr>
            <w:tcW w:w="5386" w:type="dxa"/>
            <w:vAlign w:val="center"/>
          </w:tcPr>
          <w:p>
            <w:pPr>
              <w:pStyle w:val="13"/>
            </w:pPr>
            <w:r>
              <w:t>事业单位登记单位数量</w:t>
            </w:r>
          </w:p>
        </w:tc>
        <w:tc>
          <w:tcPr>
            <w:tcW w:w="2268" w:type="dxa"/>
            <w:vAlign w:val="center"/>
          </w:tcPr>
          <w:p>
            <w:pPr>
              <w:pStyle w:val="13"/>
            </w:pPr>
            <w:r>
              <w:t>≥223个</w:t>
            </w:r>
          </w:p>
        </w:tc>
        <w:tc>
          <w:tcPr>
            <w:tcW w:w="1276" w:type="dxa"/>
            <w:vAlign w:val="center"/>
          </w:tcPr>
          <w:p>
            <w:pPr>
              <w:pStyle w:val="13"/>
            </w:pPr>
            <w:r>
              <w:t xml:space="preserve"> 冀机编办【2010】195号文、冀机编办【2008】108号文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工作完成率</w:t>
            </w:r>
          </w:p>
        </w:tc>
        <w:tc>
          <w:tcPr>
            <w:tcW w:w="5386" w:type="dxa"/>
            <w:vAlign w:val="center"/>
          </w:tcPr>
          <w:p>
            <w:pPr>
              <w:pStyle w:val="13"/>
            </w:pPr>
            <w:r>
              <w:t xml:space="preserve"> 事业单位登记、变更、注销成功率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工作任务完成时限</w:t>
            </w:r>
          </w:p>
        </w:tc>
        <w:tc>
          <w:tcPr>
            <w:tcW w:w="5386" w:type="dxa"/>
            <w:vAlign w:val="center"/>
          </w:tcPr>
          <w:p>
            <w:pPr>
              <w:pStyle w:val="13"/>
            </w:pPr>
            <w:r>
              <w:t>事业单位登记工作支出完毕时限</w:t>
            </w:r>
          </w:p>
        </w:tc>
        <w:tc>
          <w:tcPr>
            <w:tcW w:w="2268" w:type="dxa"/>
            <w:vAlign w:val="center"/>
          </w:tcPr>
          <w:p>
            <w:pPr>
              <w:pStyle w:val="13"/>
            </w:pPr>
            <w:r>
              <w:t xml:space="preserve"> 12月底前</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事业单位登记、变更、注销工作成本</w:t>
            </w:r>
          </w:p>
        </w:tc>
        <w:tc>
          <w:tcPr>
            <w:tcW w:w="5386" w:type="dxa"/>
            <w:vAlign w:val="center"/>
          </w:tcPr>
          <w:p>
            <w:pPr>
              <w:pStyle w:val="13"/>
            </w:pPr>
            <w:r>
              <w:t xml:space="preserve"> 保障每个事业单位登记、变更、注销正常运行所需要的成本</w:t>
            </w:r>
          </w:p>
        </w:tc>
        <w:tc>
          <w:tcPr>
            <w:tcW w:w="2268" w:type="dxa"/>
            <w:vAlign w:val="center"/>
          </w:tcPr>
          <w:p>
            <w:pPr>
              <w:pStyle w:val="13"/>
            </w:pPr>
            <w:r>
              <w:t>≤2万</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 事业单位登记工作完成率</w:t>
            </w:r>
          </w:p>
        </w:tc>
        <w:tc>
          <w:tcPr>
            <w:tcW w:w="5386" w:type="dxa"/>
            <w:vAlign w:val="center"/>
          </w:tcPr>
          <w:p>
            <w:pPr>
              <w:pStyle w:val="13"/>
            </w:pPr>
            <w:r>
              <w:t>事业单位登记工作完成率</w:t>
            </w:r>
          </w:p>
        </w:tc>
        <w:tc>
          <w:tcPr>
            <w:tcW w:w="2268" w:type="dxa"/>
            <w:vAlign w:val="center"/>
          </w:tcPr>
          <w:p>
            <w:pPr>
              <w:pStyle w:val="13"/>
            </w:pPr>
            <w:r>
              <w:t>≥99 %</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事业单位登记单位的满意度</w:t>
            </w:r>
          </w:p>
        </w:tc>
        <w:tc>
          <w:tcPr>
            <w:tcW w:w="5386" w:type="dxa"/>
            <w:vAlign w:val="center"/>
          </w:tcPr>
          <w:p>
            <w:pPr>
              <w:pStyle w:val="13"/>
            </w:pPr>
            <w:r>
              <w:t xml:space="preserve"> 事业单位登记单位的满意度</w:t>
            </w:r>
          </w:p>
        </w:tc>
        <w:tc>
          <w:tcPr>
            <w:tcW w:w="2268" w:type="dxa"/>
            <w:vAlign w:val="center"/>
          </w:tcPr>
          <w:p>
            <w:pPr>
              <w:pStyle w:val="13"/>
            </w:pPr>
            <w:r>
              <w:t>≥99 %</w:t>
            </w:r>
          </w:p>
        </w:tc>
        <w:tc>
          <w:tcPr>
            <w:tcW w:w="1276" w:type="dxa"/>
            <w:vAlign w:val="center"/>
          </w:tcPr>
          <w:p>
            <w:pPr>
              <w:pStyle w:val="13"/>
            </w:pPr>
            <w:r>
              <w:t xml:space="preserve"> 统计调查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3、事业单位改革工作经费绩效目标表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13052926P00005510551A</w:t>
            </w:r>
          </w:p>
        </w:tc>
        <w:tc>
          <w:tcPr>
            <w:tcW w:w="2835" w:type="dxa"/>
            <w:vAlign w:val="center"/>
          </w:tcPr>
          <w:p>
            <w:pPr>
              <w:pStyle w:val="11"/>
            </w:pPr>
            <w:r>
              <w:t>项目名称</w:t>
            </w:r>
          </w:p>
        </w:tc>
        <w:tc>
          <w:tcPr>
            <w:tcW w:w="6095" w:type="dxa"/>
            <w:gridSpan w:val="3"/>
            <w:vAlign w:val="center"/>
          </w:tcPr>
          <w:p>
            <w:pPr>
              <w:pStyle w:val="13"/>
            </w:pPr>
            <w:r>
              <w:t>事业单位改革工作经费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按照省市机构改革安排，筹备谋划全县事业单位改革工作，保障事业单位改革工作顺利开展。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0.20</w:t>
            </w:r>
          </w:p>
        </w:tc>
        <w:tc>
          <w:tcPr>
            <w:tcW w:w="2835" w:type="dxa"/>
            <w:vAlign w:val="center"/>
          </w:tcPr>
          <w:p>
            <w:pPr>
              <w:pStyle w:val="14"/>
            </w:pPr>
            <w:r>
              <w:t>1.00</w:t>
            </w:r>
          </w:p>
        </w:tc>
        <w:tc>
          <w:tcPr>
            <w:tcW w:w="2551" w:type="dxa"/>
            <w:vAlign w:val="center"/>
          </w:tcPr>
          <w:p>
            <w:pPr>
              <w:pStyle w:val="14"/>
            </w:pPr>
            <w:r>
              <w:t>1.60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按照省市机构改革安排，筹备全县事业单位改革工作</w:t>
            </w:r>
          </w:p>
          <w:p>
            <w:pPr>
              <w:pStyle w:val="13"/>
            </w:pPr>
            <w:r>
              <w:t>2. 确保资金充分，保障事业单位改革工作顺利开展。</w:t>
            </w:r>
          </w:p>
          <w:p>
            <w:pPr>
              <w:pStyle w:val="13"/>
            </w:pPr>
            <w:r>
              <w:t>3. 谋划全县事业单位改革准备工作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覆盖单位数量</w:t>
            </w:r>
          </w:p>
        </w:tc>
        <w:tc>
          <w:tcPr>
            <w:tcW w:w="5386" w:type="dxa"/>
            <w:vAlign w:val="center"/>
          </w:tcPr>
          <w:p>
            <w:pPr>
              <w:pStyle w:val="13"/>
            </w:pPr>
            <w:r>
              <w:t xml:space="preserve"> 覆盖单位数量</w:t>
            </w:r>
          </w:p>
        </w:tc>
        <w:tc>
          <w:tcPr>
            <w:tcW w:w="2268" w:type="dxa"/>
            <w:vAlign w:val="center"/>
          </w:tcPr>
          <w:p>
            <w:pPr>
              <w:pStyle w:val="13"/>
            </w:pPr>
            <w:r>
              <w:t>≥336 家</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工作完成率</w:t>
            </w:r>
          </w:p>
        </w:tc>
        <w:tc>
          <w:tcPr>
            <w:tcW w:w="5386" w:type="dxa"/>
            <w:vAlign w:val="center"/>
          </w:tcPr>
          <w:p>
            <w:pPr>
              <w:pStyle w:val="13"/>
            </w:pPr>
            <w:r>
              <w:t xml:space="preserve"> 工作完成率</w:t>
            </w:r>
          </w:p>
        </w:tc>
        <w:tc>
          <w:tcPr>
            <w:tcW w:w="2268" w:type="dxa"/>
            <w:vAlign w:val="center"/>
          </w:tcPr>
          <w:p>
            <w:pPr>
              <w:pStyle w:val="13"/>
            </w:pPr>
            <w:r>
              <w:t>100%</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工作完成及时率</w:t>
            </w:r>
          </w:p>
        </w:tc>
        <w:tc>
          <w:tcPr>
            <w:tcW w:w="5386" w:type="dxa"/>
            <w:vAlign w:val="center"/>
          </w:tcPr>
          <w:p>
            <w:pPr>
              <w:pStyle w:val="13"/>
            </w:pPr>
            <w:r>
              <w:t>工作完成及时率</w:t>
            </w:r>
          </w:p>
        </w:tc>
        <w:tc>
          <w:tcPr>
            <w:tcW w:w="2268" w:type="dxa"/>
            <w:vAlign w:val="center"/>
          </w:tcPr>
          <w:p>
            <w:pPr>
              <w:pStyle w:val="13"/>
            </w:pPr>
            <w:r>
              <w:t>100%</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机构改革工作成本</w:t>
            </w:r>
          </w:p>
        </w:tc>
        <w:tc>
          <w:tcPr>
            <w:tcW w:w="5386" w:type="dxa"/>
            <w:vAlign w:val="center"/>
          </w:tcPr>
          <w:p>
            <w:pPr>
              <w:pStyle w:val="13"/>
            </w:pPr>
            <w:r>
              <w:t>机构改革工作成本</w:t>
            </w:r>
          </w:p>
        </w:tc>
        <w:tc>
          <w:tcPr>
            <w:tcW w:w="2268" w:type="dxa"/>
            <w:vAlign w:val="center"/>
          </w:tcPr>
          <w:p>
            <w:pPr>
              <w:pStyle w:val="13"/>
            </w:pPr>
            <w:r>
              <w:t>≤2万元</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完成率</w:t>
            </w:r>
          </w:p>
        </w:tc>
        <w:tc>
          <w:tcPr>
            <w:tcW w:w="5386" w:type="dxa"/>
            <w:vAlign w:val="center"/>
          </w:tcPr>
          <w:p>
            <w:pPr>
              <w:pStyle w:val="13"/>
            </w:pPr>
            <w:r>
              <w:t>全县涉改事业单位制定事业单位方案</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改革后，各事业单位职责更加明确，更利于开展工作</w:t>
            </w:r>
          </w:p>
        </w:tc>
        <w:tc>
          <w:tcPr>
            <w:tcW w:w="2268" w:type="dxa"/>
            <w:vAlign w:val="center"/>
          </w:tcPr>
          <w:p>
            <w:pPr>
              <w:pStyle w:val="13"/>
            </w:pPr>
            <w:r>
              <w:t>≥96%</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全县事业单位涉改部门</w:t>
            </w:r>
          </w:p>
        </w:tc>
        <w:tc>
          <w:tcPr>
            <w:tcW w:w="2268" w:type="dxa"/>
            <w:vAlign w:val="center"/>
          </w:tcPr>
          <w:p>
            <w:pPr>
              <w:pStyle w:val="13"/>
            </w:pPr>
            <w:r>
              <w:t>≥96%</w:t>
            </w:r>
          </w:p>
        </w:tc>
        <w:tc>
          <w:tcPr>
            <w:tcW w:w="1276" w:type="dxa"/>
            <w:vAlign w:val="center"/>
          </w:tcPr>
          <w:p>
            <w:pPr>
              <w:pStyle w:val="13"/>
            </w:pPr>
            <w:r>
              <w:t>统计调查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4、运转经费绩效目标表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13052926P00005510550N</w:t>
            </w:r>
          </w:p>
        </w:tc>
        <w:tc>
          <w:tcPr>
            <w:tcW w:w="2835" w:type="dxa"/>
            <w:vAlign w:val="center"/>
          </w:tcPr>
          <w:p>
            <w:pPr>
              <w:pStyle w:val="11"/>
            </w:pPr>
            <w:r>
              <w:t>项目名称</w:t>
            </w:r>
          </w:p>
        </w:tc>
        <w:tc>
          <w:tcPr>
            <w:tcW w:w="6095" w:type="dxa"/>
            <w:gridSpan w:val="3"/>
            <w:vAlign w:val="center"/>
          </w:tcPr>
          <w:p>
            <w:pPr>
              <w:pStyle w:val="13"/>
            </w:pPr>
            <w:r>
              <w:t>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11.52</w:t>
            </w:r>
          </w:p>
        </w:tc>
        <w:tc>
          <w:tcPr>
            <w:tcW w:w="2835" w:type="dxa"/>
            <w:vAlign w:val="center"/>
          </w:tcPr>
          <w:p>
            <w:pPr>
              <w:pStyle w:val="11"/>
            </w:pPr>
            <w:r>
              <w:t>其中：财政    资金</w:t>
            </w:r>
          </w:p>
        </w:tc>
        <w:tc>
          <w:tcPr>
            <w:tcW w:w="2551" w:type="dxa"/>
            <w:vAlign w:val="center"/>
          </w:tcPr>
          <w:p>
            <w:pPr>
              <w:pStyle w:val="13"/>
            </w:pPr>
            <w:r>
              <w:t>11.52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保障我单位机构编制管理运行工作的开展及办公院落内产生的用水费用，保障各项工作的顺利完成。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1.20</w:t>
            </w:r>
          </w:p>
        </w:tc>
        <w:tc>
          <w:tcPr>
            <w:tcW w:w="2835" w:type="dxa"/>
            <w:vAlign w:val="center"/>
          </w:tcPr>
          <w:p>
            <w:pPr>
              <w:pStyle w:val="14"/>
            </w:pPr>
            <w:r>
              <w:t>6.00</w:t>
            </w:r>
          </w:p>
        </w:tc>
        <w:tc>
          <w:tcPr>
            <w:tcW w:w="2551" w:type="dxa"/>
            <w:vAlign w:val="center"/>
          </w:tcPr>
          <w:p>
            <w:pPr>
              <w:pStyle w:val="14"/>
            </w:pPr>
            <w:r>
              <w:t>9.00</w:t>
            </w:r>
          </w:p>
        </w:tc>
        <w:tc>
          <w:tcPr>
            <w:tcW w:w="3544" w:type="dxa"/>
            <w:gridSpan w:val="2"/>
            <w:vAlign w:val="center"/>
          </w:tcPr>
          <w:p>
            <w:pPr>
              <w:pStyle w:val="14"/>
            </w:pPr>
            <w:r>
              <w:t>11.52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对机构编制执行情况跟踪评估和监督检查；保障各项工作的顺利完成。</w:t>
            </w:r>
          </w:p>
          <w:p>
            <w:pPr>
              <w:pStyle w:val="13"/>
            </w:pPr>
            <w:r>
              <w:t>2. 确保资金充分，保障我单位机构编制管理运行工作顺利开展及办公院落内产生的用水费用。</w:t>
            </w:r>
          </w:p>
          <w:p>
            <w:pPr>
              <w:pStyle w:val="13"/>
            </w:pPr>
            <w:r>
              <w:t>3. 审核管理全县各类人员编制总额，开展机构编制实名制管理和编制使用核准；保障我单位机构编制管理运行工作顺利开展及办公院落内产生的用水费用；维护维修购置办公设施。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使用年限</w:t>
            </w:r>
          </w:p>
        </w:tc>
        <w:tc>
          <w:tcPr>
            <w:tcW w:w="5386" w:type="dxa"/>
            <w:vAlign w:val="center"/>
          </w:tcPr>
          <w:p>
            <w:pPr>
              <w:pStyle w:val="13"/>
            </w:pPr>
            <w:r>
              <w:t xml:space="preserve"> 运转经费支出完成时间</w:t>
            </w:r>
          </w:p>
        </w:tc>
        <w:tc>
          <w:tcPr>
            <w:tcW w:w="2268" w:type="dxa"/>
            <w:vAlign w:val="center"/>
          </w:tcPr>
          <w:p>
            <w:pPr>
              <w:pStyle w:val="13"/>
            </w:pPr>
            <w:r>
              <w:t>1年</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后勤保障工作完成率</w:t>
            </w:r>
          </w:p>
        </w:tc>
        <w:tc>
          <w:tcPr>
            <w:tcW w:w="5386" w:type="dxa"/>
            <w:vAlign w:val="center"/>
          </w:tcPr>
          <w:p>
            <w:pPr>
              <w:pStyle w:val="13"/>
            </w:pPr>
            <w:r>
              <w:t xml:space="preserve"> 覆盖单位后勤保障工作完成率</w:t>
            </w:r>
          </w:p>
        </w:tc>
        <w:tc>
          <w:tcPr>
            <w:tcW w:w="2268" w:type="dxa"/>
            <w:vAlign w:val="center"/>
          </w:tcPr>
          <w:p>
            <w:pPr>
              <w:pStyle w:val="13"/>
            </w:pPr>
            <w:r>
              <w:t>≥90 %</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工作任务完成时限</w:t>
            </w:r>
          </w:p>
        </w:tc>
        <w:tc>
          <w:tcPr>
            <w:tcW w:w="5386" w:type="dxa"/>
            <w:vAlign w:val="center"/>
          </w:tcPr>
          <w:p>
            <w:pPr>
              <w:pStyle w:val="13"/>
            </w:pPr>
            <w:r>
              <w:t xml:space="preserve"> 后勤保障工作完成时限</w:t>
            </w:r>
          </w:p>
        </w:tc>
        <w:tc>
          <w:tcPr>
            <w:tcW w:w="2268" w:type="dxa"/>
            <w:vAlign w:val="center"/>
          </w:tcPr>
          <w:p>
            <w:pPr>
              <w:pStyle w:val="13"/>
            </w:pPr>
            <w:r>
              <w:t xml:space="preserve"> 12月底前</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保障单位工作运转成本</w:t>
            </w:r>
          </w:p>
        </w:tc>
        <w:tc>
          <w:tcPr>
            <w:tcW w:w="5386" w:type="dxa"/>
            <w:vAlign w:val="center"/>
          </w:tcPr>
          <w:p>
            <w:pPr>
              <w:pStyle w:val="13"/>
            </w:pPr>
            <w:r>
              <w:t xml:space="preserve"> 保障各项工作正常运行</w:t>
            </w:r>
          </w:p>
        </w:tc>
        <w:tc>
          <w:tcPr>
            <w:tcW w:w="2268" w:type="dxa"/>
            <w:vAlign w:val="center"/>
          </w:tcPr>
          <w:p>
            <w:pPr>
              <w:pStyle w:val="13"/>
            </w:pPr>
            <w:r>
              <w:t>≤11.52万元</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单位正常运转率</w:t>
            </w:r>
          </w:p>
        </w:tc>
        <w:tc>
          <w:tcPr>
            <w:tcW w:w="5386" w:type="dxa"/>
            <w:vAlign w:val="center"/>
          </w:tcPr>
          <w:p>
            <w:pPr>
              <w:pStyle w:val="13"/>
            </w:pPr>
            <w:r>
              <w:t xml:space="preserve"> 单位正常运转率</w:t>
            </w:r>
          </w:p>
        </w:tc>
        <w:tc>
          <w:tcPr>
            <w:tcW w:w="2268" w:type="dxa"/>
            <w:vAlign w:val="center"/>
          </w:tcPr>
          <w:p>
            <w:pPr>
              <w:pStyle w:val="13"/>
            </w:pPr>
            <w:r>
              <w:t>100 %</w:t>
            </w:r>
          </w:p>
        </w:tc>
        <w:tc>
          <w:tcPr>
            <w:tcW w:w="1276" w:type="dxa"/>
            <w:vAlign w:val="center"/>
          </w:tcPr>
          <w:p>
            <w:pPr>
              <w:pStyle w:val="13"/>
            </w:pPr>
            <w:r>
              <w:t xml:space="preserve">  工作计划</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225中共巨鹿县委机构编制委员会办公室</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0.50</w:t>
            </w:r>
          </w:p>
        </w:tc>
        <w:tc>
          <w:tcPr>
            <w:tcW w:w="964" w:type="dxa"/>
            <w:vAlign w:val="center"/>
          </w:tcPr>
          <w:p>
            <w:pPr>
              <w:pStyle w:val="16"/>
            </w:pPr>
            <w:r>
              <w:t>0.50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中共巨鹿县委机构编制委员会办公室本级小计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0.50</w:t>
            </w:r>
          </w:p>
        </w:tc>
        <w:tc>
          <w:tcPr>
            <w:tcW w:w="964" w:type="dxa"/>
            <w:vAlign w:val="center"/>
          </w:tcPr>
          <w:p>
            <w:pPr>
              <w:pStyle w:val="16"/>
            </w:pPr>
            <w:r>
              <w:t>0.50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运转经费</w:t>
            </w:r>
          </w:p>
        </w:tc>
        <w:tc>
          <w:tcPr>
            <w:tcW w:w="964" w:type="dxa"/>
            <w:vAlign w:val="center"/>
          </w:tcPr>
          <w:p>
            <w:pPr>
              <w:pStyle w:val="12"/>
            </w:pPr>
            <w:r>
              <w:t>11.52</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中共巨鹿县委机构编制委员会办公室（含所属单位）上年末固定资产金额为33.19万元（详见下表）。本年度拟购置固定资产总额为2.00万元，已按要求列入政府采购预算，详见政府采购预算表。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225中共巨鹿县委机构编制委员会办公室</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161</w:t>
            </w:r>
          </w:p>
        </w:tc>
        <w:tc>
          <w:tcPr>
            <w:tcW w:w="2835" w:type="dxa"/>
            <w:vAlign w:val="center"/>
          </w:tcPr>
          <w:p>
            <w:pPr>
              <w:pStyle w:val="12"/>
            </w:pPr>
            <w:r>
              <w:t>33.19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EED1B1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TotalTime>5</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2026-02-10T10:54:00Z</dcterms:created>
  <dc:creator>pc</dc:creator>
  <cp:lastModifiedBy>pc</cp:lastModifiedBy>
  <dcterms:modified xsi:type="dcterms:W3CDTF">2026-02-10T03:09:47Z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