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bookmarkStart w:id="20" w:name="_GoBack"/>
      <w:bookmarkEnd w:id="20"/>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318巨鹿县财政局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1115.36</w:t>
            </w:r>
          </w:p>
        </w:tc>
        <w:tc>
          <w:tcPr>
            <w:tcW w:w="4535" w:type="dxa"/>
            <w:vAlign w:val="center"/>
          </w:tcPr>
          <w:p>
            <w:pPr>
              <w:pStyle w:val="13"/>
            </w:pPr>
            <w:r>
              <w:t>一、一般公共服务支出</w:t>
            </w:r>
          </w:p>
        </w:tc>
        <w:tc>
          <w:tcPr>
            <w:tcW w:w="2126" w:type="dxa"/>
            <w:vAlign w:val="center"/>
          </w:tcPr>
          <w:p>
            <w:pPr>
              <w:pStyle w:val="12"/>
            </w:pPr>
            <w:r>
              <w:t>1081.22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1115.36</w:t>
            </w:r>
          </w:p>
        </w:tc>
        <w:tc>
          <w:tcPr>
            <w:tcW w:w="4535" w:type="dxa"/>
            <w:vAlign w:val="center"/>
          </w:tcPr>
          <w:p>
            <w:pPr>
              <w:pStyle w:val="15"/>
            </w:pPr>
            <w:r>
              <w:t>本年支出合计</w:t>
            </w:r>
          </w:p>
        </w:tc>
        <w:tc>
          <w:tcPr>
            <w:tcW w:w="2126" w:type="dxa"/>
            <w:vAlign w:val="center"/>
          </w:tcPr>
          <w:p>
            <w:pPr>
              <w:pStyle w:val="16"/>
            </w:pPr>
            <w:r>
              <w:t>1532.11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416.74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1532.11</w:t>
            </w:r>
          </w:p>
        </w:tc>
        <w:tc>
          <w:tcPr>
            <w:tcW w:w="4535" w:type="dxa"/>
            <w:vAlign w:val="center"/>
          </w:tcPr>
          <w:p>
            <w:pPr>
              <w:pStyle w:val="15"/>
            </w:pPr>
            <w:r>
              <w:t>支出总计</w:t>
            </w:r>
          </w:p>
        </w:tc>
        <w:tc>
          <w:tcPr>
            <w:tcW w:w="2126" w:type="dxa"/>
            <w:vAlign w:val="center"/>
          </w:tcPr>
          <w:p>
            <w:pPr>
              <w:pStyle w:val="16"/>
            </w:pPr>
            <w:r>
              <w:t>1532.11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318巨鹿县财政局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1532.11</w:t>
            </w:r>
          </w:p>
        </w:tc>
        <w:tc>
          <w:tcPr>
            <w:tcW w:w="1134" w:type="dxa"/>
            <w:vAlign w:val="center"/>
          </w:tcPr>
          <w:p>
            <w:pPr>
              <w:pStyle w:val="16"/>
            </w:pPr>
            <w:r>
              <w:t>1115.36</w:t>
            </w:r>
          </w:p>
        </w:tc>
        <w:tc>
          <w:tcPr>
            <w:tcW w:w="1134" w:type="dxa"/>
            <w:vAlign w:val="center"/>
          </w:tcPr>
          <w:p>
            <w:pPr>
              <w:pStyle w:val="16"/>
            </w:pPr>
            <w:r>
              <w:t>1115.36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r>
              <w:t>1081.22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792.89</w:t>
            </w:r>
          </w:p>
        </w:tc>
        <w:tc>
          <w:tcPr>
            <w:tcW w:w="1134" w:type="dxa"/>
            <w:vAlign w:val="center"/>
          </w:tcPr>
          <w:p>
            <w:pPr>
              <w:pStyle w:val="12"/>
            </w:pPr>
            <w:r>
              <w:t>792.89</w:t>
            </w:r>
          </w:p>
        </w:tc>
        <w:tc>
          <w:tcPr>
            <w:tcW w:w="1134" w:type="dxa"/>
            <w:vAlign w:val="center"/>
          </w:tcPr>
          <w:p>
            <w:pPr>
              <w:pStyle w:val="12"/>
            </w:pPr>
            <w:r>
              <w:t>792.89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2010602</w:t>
            </w:r>
          </w:p>
        </w:tc>
        <w:tc>
          <w:tcPr>
            <w:tcW w:w="1559" w:type="dxa"/>
            <w:vAlign w:val="center"/>
          </w:tcPr>
          <w:p>
            <w:pPr>
              <w:pStyle w:val="13"/>
            </w:pPr>
            <w:r>
              <w:t>一般行政管理事务</w:t>
            </w:r>
          </w:p>
        </w:tc>
        <w:tc>
          <w:tcPr>
            <w:tcW w:w="1134" w:type="dxa"/>
            <w:vAlign w:val="center"/>
          </w:tcPr>
          <w:p>
            <w:pPr>
              <w:pStyle w:val="12"/>
            </w:pPr>
            <w:r>
              <w:t>268.33</w:t>
            </w:r>
          </w:p>
        </w:tc>
        <w:tc>
          <w:tcPr>
            <w:tcW w:w="1134" w:type="dxa"/>
            <w:vAlign w:val="center"/>
          </w:tcPr>
          <w:p>
            <w:pPr>
              <w:pStyle w:val="12"/>
            </w:pPr>
            <w:r>
              <w:t>268.33</w:t>
            </w:r>
          </w:p>
        </w:tc>
        <w:tc>
          <w:tcPr>
            <w:tcW w:w="1134" w:type="dxa"/>
            <w:vAlign w:val="center"/>
          </w:tcPr>
          <w:p>
            <w:pPr>
              <w:pStyle w:val="12"/>
            </w:pPr>
            <w:r>
              <w:t>268.33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2010607</w:t>
            </w:r>
          </w:p>
        </w:tc>
        <w:tc>
          <w:tcPr>
            <w:tcW w:w="1559" w:type="dxa"/>
            <w:vAlign w:val="center"/>
          </w:tcPr>
          <w:p>
            <w:pPr>
              <w:pStyle w:val="13"/>
            </w:pPr>
            <w:r>
              <w:t>信息化建设</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r>
              <w:t>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446.74</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446.74</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2130707</w:t>
            </w:r>
          </w:p>
        </w:tc>
        <w:tc>
          <w:tcPr>
            <w:tcW w:w="1559" w:type="dxa"/>
            <w:vAlign w:val="center"/>
          </w:tcPr>
          <w:p>
            <w:pPr>
              <w:pStyle w:val="13"/>
            </w:pPr>
            <w:r>
              <w:t>农村综合改革示范试点补助</w:t>
            </w:r>
          </w:p>
        </w:tc>
        <w:tc>
          <w:tcPr>
            <w:tcW w:w="1134" w:type="dxa"/>
            <w:vAlign w:val="center"/>
          </w:tcPr>
          <w:p>
            <w:pPr>
              <w:pStyle w:val="12"/>
            </w:pPr>
            <w:r>
              <w:t>416.74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2130799</w:t>
            </w:r>
          </w:p>
        </w:tc>
        <w:tc>
          <w:tcPr>
            <w:tcW w:w="1559" w:type="dxa"/>
            <w:vAlign w:val="center"/>
          </w:tcPr>
          <w:p>
            <w:pPr>
              <w:pStyle w:val="13"/>
            </w:pPr>
            <w:r>
              <w:t>其他农村综合改革支出</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1532.11</w:t>
            </w:r>
          </w:p>
        </w:tc>
        <w:tc>
          <w:tcPr>
            <w:tcW w:w="1361" w:type="dxa"/>
            <w:vAlign w:val="center"/>
          </w:tcPr>
          <w:p>
            <w:pPr>
              <w:pStyle w:val="16"/>
            </w:pPr>
            <w:r>
              <w:t>792.89</w:t>
            </w:r>
          </w:p>
        </w:tc>
        <w:tc>
          <w:tcPr>
            <w:tcW w:w="1361" w:type="dxa"/>
            <w:vAlign w:val="center"/>
          </w:tcPr>
          <w:p>
            <w:pPr>
              <w:pStyle w:val="16"/>
            </w:pPr>
            <w:r>
              <w:t>739.22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1081.22</w:t>
            </w:r>
          </w:p>
        </w:tc>
        <w:tc>
          <w:tcPr>
            <w:tcW w:w="1361" w:type="dxa"/>
            <w:vAlign w:val="center"/>
          </w:tcPr>
          <w:p>
            <w:pPr>
              <w:pStyle w:val="12"/>
            </w:pPr>
            <w:r>
              <w:t>792.89</w:t>
            </w:r>
          </w:p>
        </w:tc>
        <w:tc>
          <w:tcPr>
            <w:tcW w:w="1361" w:type="dxa"/>
            <w:vAlign w:val="center"/>
          </w:tcPr>
          <w:p>
            <w:pPr>
              <w:pStyle w:val="12"/>
            </w:pPr>
            <w:r>
              <w:t>288.33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1081.22</w:t>
            </w:r>
          </w:p>
        </w:tc>
        <w:tc>
          <w:tcPr>
            <w:tcW w:w="1361" w:type="dxa"/>
            <w:vAlign w:val="center"/>
          </w:tcPr>
          <w:p>
            <w:pPr>
              <w:pStyle w:val="12"/>
            </w:pPr>
            <w:r>
              <w:t>792.89</w:t>
            </w:r>
          </w:p>
        </w:tc>
        <w:tc>
          <w:tcPr>
            <w:tcW w:w="1361" w:type="dxa"/>
            <w:vAlign w:val="center"/>
          </w:tcPr>
          <w:p>
            <w:pPr>
              <w:pStyle w:val="12"/>
            </w:pPr>
            <w:r>
              <w:t>288.33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792.89</w:t>
            </w:r>
          </w:p>
        </w:tc>
        <w:tc>
          <w:tcPr>
            <w:tcW w:w="1361" w:type="dxa"/>
            <w:vAlign w:val="center"/>
          </w:tcPr>
          <w:p>
            <w:pPr>
              <w:pStyle w:val="12"/>
            </w:pPr>
            <w:r>
              <w:t>792.89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2010602</w:t>
            </w:r>
          </w:p>
        </w:tc>
        <w:tc>
          <w:tcPr>
            <w:tcW w:w="4535" w:type="dxa"/>
            <w:vAlign w:val="center"/>
          </w:tcPr>
          <w:p>
            <w:pPr>
              <w:pStyle w:val="13"/>
            </w:pPr>
            <w:r>
              <w:t>一般行政管理事务</w:t>
            </w:r>
          </w:p>
        </w:tc>
        <w:tc>
          <w:tcPr>
            <w:tcW w:w="1361" w:type="dxa"/>
            <w:vAlign w:val="center"/>
          </w:tcPr>
          <w:p>
            <w:pPr>
              <w:pStyle w:val="12"/>
            </w:pPr>
            <w:r>
              <w:t>268.33</w:t>
            </w:r>
          </w:p>
        </w:tc>
        <w:tc>
          <w:tcPr>
            <w:tcW w:w="1361" w:type="dxa"/>
            <w:vAlign w:val="center"/>
          </w:tcPr>
          <w:p>
            <w:pPr>
              <w:pStyle w:val="12"/>
            </w:pPr>
          </w:p>
        </w:tc>
        <w:tc>
          <w:tcPr>
            <w:tcW w:w="1361" w:type="dxa"/>
            <w:vAlign w:val="center"/>
          </w:tcPr>
          <w:p>
            <w:pPr>
              <w:pStyle w:val="12"/>
            </w:pPr>
            <w:r>
              <w:t>268.33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2010607</w:t>
            </w:r>
          </w:p>
        </w:tc>
        <w:tc>
          <w:tcPr>
            <w:tcW w:w="4535" w:type="dxa"/>
            <w:vAlign w:val="center"/>
          </w:tcPr>
          <w:p>
            <w:pPr>
              <w:pStyle w:val="13"/>
            </w:pPr>
            <w:r>
              <w:t>信息化建设</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r>
              <w:t>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r>
              <w:t>446.74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2130707</w:t>
            </w:r>
          </w:p>
        </w:tc>
        <w:tc>
          <w:tcPr>
            <w:tcW w:w="4535" w:type="dxa"/>
            <w:vAlign w:val="center"/>
          </w:tcPr>
          <w:p>
            <w:pPr>
              <w:pStyle w:val="13"/>
            </w:pPr>
            <w:r>
              <w:t>农村综合改革示范试点补助</w:t>
            </w:r>
          </w:p>
        </w:tc>
        <w:tc>
          <w:tcPr>
            <w:tcW w:w="1361" w:type="dxa"/>
            <w:vAlign w:val="center"/>
          </w:tcPr>
          <w:p>
            <w:pPr>
              <w:pStyle w:val="12"/>
            </w:pPr>
            <w:r>
              <w:t>416.74</w:t>
            </w:r>
          </w:p>
        </w:tc>
        <w:tc>
          <w:tcPr>
            <w:tcW w:w="1361" w:type="dxa"/>
            <w:vAlign w:val="center"/>
          </w:tcPr>
          <w:p>
            <w:pPr>
              <w:pStyle w:val="12"/>
            </w:pPr>
          </w:p>
        </w:tc>
        <w:tc>
          <w:tcPr>
            <w:tcW w:w="1361" w:type="dxa"/>
            <w:vAlign w:val="center"/>
          </w:tcPr>
          <w:p>
            <w:pPr>
              <w:pStyle w:val="12"/>
            </w:pPr>
            <w:r>
              <w:t>416.74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2130799</w:t>
            </w:r>
          </w:p>
        </w:tc>
        <w:tc>
          <w:tcPr>
            <w:tcW w:w="4535" w:type="dxa"/>
            <w:vAlign w:val="center"/>
          </w:tcPr>
          <w:p>
            <w:pPr>
              <w:pStyle w:val="13"/>
            </w:pPr>
            <w:r>
              <w:t>其他农村综合改革支出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1115.36</w:t>
            </w:r>
          </w:p>
        </w:tc>
        <w:tc>
          <w:tcPr>
            <w:tcW w:w="3402" w:type="dxa"/>
            <w:vAlign w:val="center"/>
          </w:tcPr>
          <w:p>
            <w:pPr>
              <w:pStyle w:val="13"/>
            </w:pPr>
            <w:r>
              <w:t>一、一般公共服务支出</w:t>
            </w:r>
          </w:p>
        </w:tc>
        <w:tc>
          <w:tcPr>
            <w:tcW w:w="1474" w:type="dxa"/>
            <w:vAlign w:val="center"/>
          </w:tcPr>
          <w:p>
            <w:pPr>
              <w:pStyle w:val="12"/>
            </w:pPr>
            <w:r>
              <w:t>1081.22</w:t>
            </w:r>
          </w:p>
        </w:tc>
        <w:tc>
          <w:tcPr>
            <w:tcW w:w="1474" w:type="dxa"/>
            <w:vAlign w:val="center"/>
          </w:tcPr>
          <w:p>
            <w:pPr>
              <w:pStyle w:val="12"/>
            </w:pPr>
            <w:r>
              <w:t>1081.22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4.14</w:t>
            </w:r>
          </w:p>
        </w:tc>
        <w:tc>
          <w:tcPr>
            <w:tcW w:w="1474" w:type="dxa"/>
            <w:vAlign w:val="center"/>
          </w:tcPr>
          <w:p>
            <w:pPr>
              <w:pStyle w:val="12"/>
            </w:pPr>
            <w:r>
              <w:t>4.14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446.74</w:t>
            </w:r>
          </w:p>
        </w:tc>
        <w:tc>
          <w:tcPr>
            <w:tcW w:w="1474" w:type="dxa"/>
            <w:vAlign w:val="center"/>
          </w:tcPr>
          <w:p>
            <w:pPr>
              <w:pStyle w:val="12"/>
            </w:pPr>
            <w:r>
              <w:t>446.74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1115.36</w:t>
            </w:r>
          </w:p>
        </w:tc>
        <w:tc>
          <w:tcPr>
            <w:tcW w:w="3402" w:type="dxa"/>
            <w:vAlign w:val="center"/>
          </w:tcPr>
          <w:p>
            <w:pPr>
              <w:pStyle w:val="15"/>
            </w:pPr>
            <w:r>
              <w:t>本年支出合计</w:t>
            </w:r>
          </w:p>
        </w:tc>
        <w:tc>
          <w:tcPr>
            <w:tcW w:w="1474" w:type="dxa"/>
            <w:vAlign w:val="center"/>
          </w:tcPr>
          <w:p>
            <w:pPr>
              <w:pStyle w:val="16"/>
            </w:pPr>
            <w:r>
              <w:t>1532.11</w:t>
            </w:r>
          </w:p>
        </w:tc>
        <w:tc>
          <w:tcPr>
            <w:tcW w:w="1474" w:type="dxa"/>
            <w:vAlign w:val="center"/>
          </w:tcPr>
          <w:p>
            <w:pPr>
              <w:pStyle w:val="16"/>
            </w:pPr>
            <w:r>
              <w:t>1532.11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416.74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416.74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1532.11</w:t>
            </w:r>
          </w:p>
        </w:tc>
        <w:tc>
          <w:tcPr>
            <w:tcW w:w="3402" w:type="dxa"/>
            <w:vAlign w:val="center"/>
          </w:tcPr>
          <w:p>
            <w:pPr>
              <w:pStyle w:val="15"/>
            </w:pPr>
            <w:r>
              <w:t>支出总计</w:t>
            </w:r>
          </w:p>
        </w:tc>
        <w:tc>
          <w:tcPr>
            <w:tcW w:w="1474" w:type="dxa"/>
            <w:vAlign w:val="center"/>
          </w:tcPr>
          <w:p>
            <w:pPr>
              <w:pStyle w:val="16"/>
            </w:pPr>
            <w:r>
              <w:t>1532.11</w:t>
            </w:r>
          </w:p>
        </w:tc>
        <w:tc>
          <w:tcPr>
            <w:tcW w:w="1474" w:type="dxa"/>
            <w:vAlign w:val="center"/>
          </w:tcPr>
          <w:p>
            <w:pPr>
              <w:pStyle w:val="16"/>
            </w:pPr>
            <w:r>
              <w:t>1532.11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1532.11</w:t>
            </w:r>
          </w:p>
        </w:tc>
        <w:tc>
          <w:tcPr>
            <w:tcW w:w="2551" w:type="dxa"/>
            <w:vAlign w:val="center"/>
          </w:tcPr>
          <w:p>
            <w:pPr>
              <w:pStyle w:val="16"/>
            </w:pPr>
            <w:r>
              <w:t>792.89</w:t>
            </w:r>
          </w:p>
        </w:tc>
        <w:tc>
          <w:tcPr>
            <w:tcW w:w="2551" w:type="dxa"/>
            <w:vAlign w:val="center"/>
          </w:tcPr>
          <w:p>
            <w:pPr>
              <w:pStyle w:val="16"/>
            </w:pPr>
            <w:r>
              <w:t>739.22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1081.22</w:t>
            </w:r>
          </w:p>
        </w:tc>
        <w:tc>
          <w:tcPr>
            <w:tcW w:w="2551" w:type="dxa"/>
            <w:vAlign w:val="center"/>
          </w:tcPr>
          <w:p>
            <w:pPr>
              <w:pStyle w:val="12"/>
            </w:pPr>
            <w:r>
              <w:t>792.89</w:t>
            </w:r>
          </w:p>
        </w:tc>
        <w:tc>
          <w:tcPr>
            <w:tcW w:w="2551" w:type="dxa"/>
            <w:vAlign w:val="center"/>
          </w:tcPr>
          <w:p>
            <w:pPr>
              <w:pStyle w:val="12"/>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1081.22</w:t>
            </w:r>
          </w:p>
        </w:tc>
        <w:tc>
          <w:tcPr>
            <w:tcW w:w="2551" w:type="dxa"/>
            <w:vAlign w:val="center"/>
          </w:tcPr>
          <w:p>
            <w:pPr>
              <w:pStyle w:val="12"/>
            </w:pPr>
            <w:r>
              <w:t>792.89</w:t>
            </w:r>
          </w:p>
        </w:tc>
        <w:tc>
          <w:tcPr>
            <w:tcW w:w="2551" w:type="dxa"/>
            <w:vAlign w:val="center"/>
          </w:tcPr>
          <w:p>
            <w:pPr>
              <w:pStyle w:val="12"/>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792.89</w:t>
            </w:r>
          </w:p>
        </w:tc>
        <w:tc>
          <w:tcPr>
            <w:tcW w:w="2551" w:type="dxa"/>
            <w:vAlign w:val="center"/>
          </w:tcPr>
          <w:p>
            <w:pPr>
              <w:pStyle w:val="12"/>
            </w:pPr>
            <w:r>
              <w:t>792.89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2010602</w:t>
            </w:r>
          </w:p>
        </w:tc>
        <w:tc>
          <w:tcPr>
            <w:tcW w:w="4535" w:type="dxa"/>
            <w:vAlign w:val="center"/>
          </w:tcPr>
          <w:p>
            <w:pPr>
              <w:pStyle w:val="13"/>
            </w:pPr>
            <w:r>
              <w:t>一般行政管理事务</w:t>
            </w:r>
          </w:p>
        </w:tc>
        <w:tc>
          <w:tcPr>
            <w:tcW w:w="2551" w:type="dxa"/>
            <w:vAlign w:val="center"/>
          </w:tcPr>
          <w:p>
            <w:pPr>
              <w:pStyle w:val="12"/>
            </w:pPr>
            <w:r>
              <w:t>268.33</w:t>
            </w:r>
          </w:p>
        </w:tc>
        <w:tc>
          <w:tcPr>
            <w:tcW w:w="2551" w:type="dxa"/>
            <w:vAlign w:val="center"/>
          </w:tcPr>
          <w:p>
            <w:pPr>
              <w:pStyle w:val="12"/>
            </w:pPr>
          </w:p>
        </w:tc>
        <w:tc>
          <w:tcPr>
            <w:tcW w:w="2551" w:type="dxa"/>
            <w:vAlign w:val="center"/>
          </w:tcPr>
          <w:p>
            <w:pPr>
              <w:pStyle w:val="12"/>
            </w:pPr>
            <w:r>
              <w:t>268.33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2010607</w:t>
            </w:r>
          </w:p>
        </w:tc>
        <w:tc>
          <w:tcPr>
            <w:tcW w:w="4535" w:type="dxa"/>
            <w:vAlign w:val="center"/>
          </w:tcPr>
          <w:p>
            <w:pPr>
              <w:pStyle w:val="13"/>
            </w:pPr>
            <w:r>
              <w:t>信息化建设</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446.74</w:t>
            </w:r>
          </w:p>
        </w:tc>
        <w:tc>
          <w:tcPr>
            <w:tcW w:w="2551" w:type="dxa"/>
            <w:vAlign w:val="center"/>
          </w:tcPr>
          <w:p>
            <w:pPr>
              <w:pStyle w:val="12"/>
            </w:pPr>
          </w:p>
        </w:tc>
        <w:tc>
          <w:tcPr>
            <w:tcW w:w="2551"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446.74</w:t>
            </w:r>
          </w:p>
        </w:tc>
        <w:tc>
          <w:tcPr>
            <w:tcW w:w="2551" w:type="dxa"/>
            <w:vAlign w:val="center"/>
          </w:tcPr>
          <w:p>
            <w:pPr>
              <w:pStyle w:val="12"/>
            </w:pPr>
          </w:p>
        </w:tc>
        <w:tc>
          <w:tcPr>
            <w:tcW w:w="2551" w:type="dxa"/>
            <w:vAlign w:val="center"/>
          </w:tcPr>
          <w:p>
            <w:pPr>
              <w:pStyle w:val="12"/>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2130707</w:t>
            </w:r>
          </w:p>
        </w:tc>
        <w:tc>
          <w:tcPr>
            <w:tcW w:w="4535" w:type="dxa"/>
            <w:vAlign w:val="center"/>
          </w:tcPr>
          <w:p>
            <w:pPr>
              <w:pStyle w:val="13"/>
            </w:pPr>
            <w:r>
              <w:t>农村综合改革示范试点补助</w:t>
            </w:r>
          </w:p>
        </w:tc>
        <w:tc>
          <w:tcPr>
            <w:tcW w:w="2551" w:type="dxa"/>
            <w:vAlign w:val="center"/>
          </w:tcPr>
          <w:p>
            <w:pPr>
              <w:pStyle w:val="12"/>
            </w:pPr>
            <w:r>
              <w:t>416.74</w:t>
            </w:r>
          </w:p>
        </w:tc>
        <w:tc>
          <w:tcPr>
            <w:tcW w:w="2551" w:type="dxa"/>
            <w:vAlign w:val="center"/>
          </w:tcPr>
          <w:p>
            <w:pPr>
              <w:pStyle w:val="12"/>
            </w:pPr>
          </w:p>
        </w:tc>
        <w:tc>
          <w:tcPr>
            <w:tcW w:w="2551" w:type="dxa"/>
            <w:vAlign w:val="center"/>
          </w:tcPr>
          <w:p>
            <w:pPr>
              <w:pStyle w:val="12"/>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2130799</w:t>
            </w:r>
          </w:p>
        </w:tc>
        <w:tc>
          <w:tcPr>
            <w:tcW w:w="4535" w:type="dxa"/>
            <w:vAlign w:val="center"/>
          </w:tcPr>
          <w:p>
            <w:pPr>
              <w:pStyle w:val="13"/>
            </w:pPr>
            <w:r>
              <w:t>其他农村综合改革支出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792.89</w:t>
            </w:r>
          </w:p>
        </w:tc>
        <w:tc>
          <w:tcPr>
            <w:tcW w:w="2551" w:type="dxa"/>
            <w:vAlign w:val="center"/>
          </w:tcPr>
          <w:p>
            <w:pPr>
              <w:pStyle w:val="16"/>
            </w:pPr>
            <w:r>
              <w:t>753.95</w:t>
            </w:r>
          </w:p>
        </w:tc>
        <w:tc>
          <w:tcPr>
            <w:tcW w:w="2551" w:type="dxa"/>
            <w:vAlign w:val="center"/>
          </w:tcPr>
          <w:p>
            <w:pPr>
              <w:pStyle w:val="16"/>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706.80</w:t>
            </w:r>
          </w:p>
        </w:tc>
        <w:tc>
          <w:tcPr>
            <w:tcW w:w="2551" w:type="dxa"/>
            <w:vAlign w:val="center"/>
          </w:tcPr>
          <w:p>
            <w:pPr>
              <w:pStyle w:val="12"/>
            </w:pPr>
            <w:r>
              <w:t>706.80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480.80</w:t>
            </w:r>
          </w:p>
        </w:tc>
        <w:tc>
          <w:tcPr>
            <w:tcW w:w="2551" w:type="dxa"/>
            <w:vAlign w:val="center"/>
          </w:tcPr>
          <w:p>
            <w:pPr>
              <w:pStyle w:val="12"/>
            </w:pPr>
            <w:r>
              <w:t>480.80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14.50</w:t>
            </w:r>
          </w:p>
        </w:tc>
        <w:tc>
          <w:tcPr>
            <w:tcW w:w="2551" w:type="dxa"/>
            <w:vAlign w:val="center"/>
          </w:tcPr>
          <w:p>
            <w:pPr>
              <w:pStyle w:val="12"/>
            </w:pPr>
            <w:r>
              <w:t>14.50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58.70</w:t>
            </w:r>
          </w:p>
        </w:tc>
        <w:tc>
          <w:tcPr>
            <w:tcW w:w="2551" w:type="dxa"/>
            <w:vAlign w:val="center"/>
          </w:tcPr>
          <w:p>
            <w:pPr>
              <w:pStyle w:val="12"/>
            </w:pPr>
            <w:r>
              <w:t>58.70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47.40</w:t>
            </w:r>
          </w:p>
        </w:tc>
        <w:tc>
          <w:tcPr>
            <w:tcW w:w="2551" w:type="dxa"/>
            <w:vAlign w:val="center"/>
          </w:tcPr>
          <w:p>
            <w:pPr>
              <w:pStyle w:val="12"/>
            </w:pPr>
            <w:r>
              <w:t>47.40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23.80</w:t>
            </w:r>
          </w:p>
        </w:tc>
        <w:tc>
          <w:tcPr>
            <w:tcW w:w="2551" w:type="dxa"/>
            <w:vAlign w:val="center"/>
          </w:tcPr>
          <w:p>
            <w:pPr>
              <w:pStyle w:val="12"/>
            </w:pPr>
            <w:r>
              <w:t>23.80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66.00</w:t>
            </w:r>
          </w:p>
        </w:tc>
        <w:tc>
          <w:tcPr>
            <w:tcW w:w="2551" w:type="dxa"/>
            <w:vAlign w:val="center"/>
          </w:tcPr>
          <w:p>
            <w:pPr>
              <w:pStyle w:val="12"/>
            </w:pPr>
            <w:r>
              <w:t>66.00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38.94</w:t>
            </w:r>
          </w:p>
        </w:tc>
        <w:tc>
          <w:tcPr>
            <w:tcW w:w="2551" w:type="dxa"/>
            <w:vAlign w:val="center"/>
          </w:tcPr>
          <w:p>
            <w:pPr>
              <w:pStyle w:val="12"/>
            </w:pPr>
          </w:p>
        </w:tc>
        <w:tc>
          <w:tcPr>
            <w:tcW w:w="2551" w:type="dxa"/>
            <w:vAlign w:val="center"/>
          </w:tcPr>
          <w:p>
            <w:pPr>
              <w:pStyle w:val="12"/>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8.94</w:t>
            </w:r>
          </w:p>
        </w:tc>
        <w:tc>
          <w:tcPr>
            <w:tcW w:w="2551" w:type="dxa"/>
            <w:vAlign w:val="center"/>
          </w:tcPr>
          <w:p>
            <w:pPr>
              <w:pStyle w:val="12"/>
            </w:pPr>
          </w:p>
        </w:tc>
        <w:tc>
          <w:tcPr>
            <w:tcW w:w="2551" w:type="dxa"/>
            <w:vAlign w:val="center"/>
          </w:tcPr>
          <w:p>
            <w:pPr>
              <w:pStyle w:val="12"/>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47.15</w:t>
            </w:r>
          </w:p>
        </w:tc>
        <w:tc>
          <w:tcPr>
            <w:tcW w:w="2551" w:type="dxa"/>
            <w:vAlign w:val="center"/>
          </w:tcPr>
          <w:p>
            <w:pPr>
              <w:pStyle w:val="12"/>
            </w:pPr>
            <w:r>
              <w:t>47.15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45.15</w:t>
            </w:r>
          </w:p>
        </w:tc>
        <w:tc>
          <w:tcPr>
            <w:tcW w:w="2551" w:type="dxa"/>
            <w:vAlign w:val="center"/>
          </w:tcPr>
          <w:p>
            <w:pPr>
              <w:pStyle w:val="12"/>
            </w:pPr>
            <w:r>
              <w:t>45.15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3.00</w:t>
            </w:r>
          </w:p>
        </w:tc>
        <w:tc>
          <w:tcPr>
            <w:tcW w:w="2381" w:type="dxa"/>
            <w:vAlign w:val="center"/>
          </w:tcPr>
          <w:p>
            <w:pPr>
              <w:pStyle w:val="16"/>
            </w:pPr>
            <w:r>
              <w:t>3.00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2.70</w:t>
            </w:r>
          </w:p>
        </w:tc>
        <w:tc>
          <w:tcPr>
            <w:tcW w:w="2381" w:type="dxa"/>
            <w:vAlign w:val="center"/>
          </w:tcPr>
          <w:p>
            <w:pPr>
              <w:pStyle w:val="12"/>
            </w:pPr>
            <w:r>
              <w:t>2.70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2.70</w:t>
            </w:r>
          </w:p>
        </w:tc>
        <w:tc>
          <w:tcPr>
            <w:tcW w:w="2381" w:type="dxa"/>
            <w:vAlign w:val="center"/>
          </w:tcPr>
          <w:p>
            <w:pPr>
              <w:pStyle w:val="12"/>
            </w:pPr>
            <w:r>
              <w:t>2.70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巨鹿县财政局2026年部门预算信息公开情况说明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巨鹿县财政局2026年部门预算信息公开情况说明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按照《中华人民共和国预算法》、《地方预决算公开操作规程》和《关于进一步推进预算公开工作的实施意见》规定，现将巨鹿县财政局2026年部门预算公开如下：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8"/>
      </w:pPr>
      <w:r>
        <w:t>二、贯彻执行财政、财务、会计管理的法律、行政法规、规章，按规定起草相关的地方性政策制度，并监督执行。</w:t>
      </w:r>
    </w:p>
    <w:p>
      <w:pPr>
        <w:pStyle w:val="18"/>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8"/>
      </w:pPr>
      <w:r>
        <w:t>四、贯彻执行税收法律、法规、政府规章及实施细则和税收政策调整方案。配合提出省授权税目税率调整、减免和地方税收政策等重大事项的建议。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六、贯彻执行国库管理制度、国库集中收付制度，指导和监督县级国库业务，按规定开展国库现金管理工作。组织实施政府财务报告编制办法。制定政府采购制度并监督管理。</w:t>
      </w:r>
    </w:p>
    <w:p>
      <w:pPr>
        <w:pStyle w:val="18"/>
      </w:pPr>
      <w:r>
        <w:t>七、执行政府债务管理制度和政策，拟定具体办法。负责政府债务限额管理、债券发行和还本付息等工作。执行国家外债管理政策，拟定具体办法，管理县政府国外债权、债务。开展对外财经交流。</w:t>
      </w:r>
    </w:p>
    <w:p>
      <w:pPr>
        <w:pStyle w:val="18"/>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8"/>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8"/>
      </w:pPr>
      <w:r>
        <w:t>十、负责审核并汇总编制全县社会保险基金预决算草案，执行有关资金（基金）财务管理制度。承担社会保险基金财政监管工作。</w:t>
      </w:r>
    </w:p>
    <w:p>
      <w:pPr>
        <w:pStyle w:val="18"/>
      </w:pPr>
      <w:r>
        <w:t>十一、负责办理和监督县级财政的经济发展支出、县级政府性投资项目的财政拨款，参与拟定县级建设投资的有关政策，执行基建财务管理制度。负责财政预算评审管理。</w:t>
      </w:r>
    </w:p>
    <w:p>
      <w:pPr>
        <w:pStyle w:val="18"/>
      </w:pPr>
      <w:r>
        <w:t>十二、负责管理全县会计工作，监督和规范会计行为，组织实施会计制度。依法管理资产评估有关工作。</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巨鹿县财政局本级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按照预算管理有关规定，目前部门预算的编制实行综合预算管理，即全部收入和支出都反映在预算中。巨鹿县财政局机关及所属事业单位的收支包含在部门预算中。</w:t>
      </w:r>
    </w:p>
    <w:p>
      <w:pPr>
        <w:pStyle w:val="19"/>
      </w:pPr>
      <w:r>
        <w:t>1、收入说明</w:t>
      </w:r>
    </w:p>
    <w:p>
      <w:pPr>
        <w:pStyle w:val="19"/>
      </w:pPr>
      <w:r>
        <w:t>反映本部门当年全部收入。2026年预算收入1532.11万元，其中：一般公共预算收入1115.36万元，基金预算收入0.00万元，国有资本经营预算收入0.00万元，财政专户核拨收入0.00万元，单位资金收入0.00万元，上年结转结余416.74万元。</w:t>
      </w:r>
    </w:p>
    <w:p>
      <w:pPr>
        <w:pStyle w:val="19"/>
      </w:pPr>
      <w:r>
        <w:t>2、支出说明</w:t>
      </w:r>
    </w:p>
    <w:p>
      <w:pPr>
        <w:pStyle w:val="19"/>
      </w:pPr>
      <w:r>
        <w:t>收支预算总表支出栏、基本支出表、项目支出表按经济分类和支出功能分类科目编制，反映巨鹿县财政局年度部门预算中支出预算的总体情况。2026年支出预算1532.11万元，其中基本支出792.89万元，包括人员经费753.95万元和日常公用经费38.94万元；项目支出739.22万元，主要为项目支出主要为冀财农2023年95号2023年中央农村综合改革转移支付资金-农村综合性改革试点试验、冀财农2023年149号提前下达2024年中央农村综合改革转移支付资金项目与单位重点工作；预计下年使用的单位资金结余0.00万元。委托业务费共计安排97.65万元，主要用于因技术原因确需对外委托的辅助性工作和确有必要对外委托开展咨询、评审、规划等工作。</w:t>
      </w:r>
    </w:p>
    <w:p>
      <w:pPr>
        <w:pStyle w:val="19"/>
      </w:pPr>
      <w:r>
        <w:t>3、比上年增减情况</w:t>
      </w:r>
    </w:p>
    <w:p>
      <w:pPr>
        <w:pStyle w:val="19"/>
      </w:pPr>
      <w:r>
        <w:t>2026年预算收支安排1532.11万元，较2025年预算减少2664.76万元，其中：基本支出减少29.21万元，主要为我单位2025年遵循开支节约减少日常开支项目支出减少2635.55万元，主要为农村综合性改革试点试验项目在2023年、2024年已支出大部分资金，根据合同要求与实际工程进度截止2025年还有少部分资金未支出，因此项目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3.00万元，其中因公出国（境）费0.00万元；公务用车购置及运维费2.70万元（其中：公务用车购置费为0.00万元，公务用车运维费2.70万元)；公务接待费0.30万元。与2025年相比减少0.10万元，增减变化的主要原因是遵循过紧日子思想，单位减少“三公”经费相关支出。主要减少公务用车运行与维护经费的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pPr>
      <w:r>
        <w:t>6、规范财务资产管理。完善财务管理制度，严格审批程序，加</w:t>
      </w:r>
    </w:p>
    <w:p>
      <w:pPr>
        <w:pStyle w:val="24"/>
        <w:sectPr>
          <w:pgSz w:w="16840" w:h="11900" w:orient="landscape"/>
          <w:pgMar w:top="1361" w:right="1020" w:bottom="1361" w:left="1020" w:header="720" w:footer="720" w:gutter="0"/>
        </w:sectPr>
      </w:pPr>
      <w:r>
        <w:t>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1、财政监控系统专项建设经费绩效目标表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13052926P00005510530Y</w:t>
            </w:r>
          </w:p>
        </w:tc>
        <w:tc>
          <w:tcPr>
            <w:tcW w:w="2835" w:type="dxa"/>
            <w:vAlign w:val="center"/>
          </w:tcPr>
          <w:p>
            <w:pPr>
              <w:pStyle w:val="11"/>
            </w:pPr>
            <w:r>
              <w:t>项目名称</w:t>
            </w:r>
          </w:p>
        </w:tc>
        <w:tc>
          <w:tcPr>
            <w:tcW w:w="6095" w:type="dxa"/>
            <w:gridSpan w:val="3"/>
            <w:vAlign w:val="center"/>
          </w:tcPr>
          <w:p>
            <w:pPr>
              <w:pStyle w:val="13"/>
            </w:pPr>
            <w:r>
              <w:t>财政监控系统专项建设经费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用于购买1套资金运行监控系统软件，确保对全县106个预算单位预算资金运行实行监控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1.确保对全县106个预算单位预算资金运行实行监控，加强风险预警和防控能力。</w:t>
            </w:r>
          </w:p>
          <w:p>
            <w:pPr>
              <w:pStyle w:val="13"/>
            </w:pPr>
            <w:r>
              <w:t>2.系统利用率达90%以上，建立财政监控系统，为进一步建立财政资金全流程追踪机制。</w:t>
            </w:r>
          </w:p>
          <w:p>
            <w:pPr>
              <w:pStyle w:val="13"/>
            </w:pPr>
            <w:r>
              <w:t>3.用于购买1套资金运行监控系统软件，加强各预算单位资金利用率。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购置软件数量</w:t>
            </w:r>
          </w:p>
        </w:tc>
        <w:tc>
          <w:tcPr>
            <w:tcW w:w="5386" w:type="dxa"/>
            <w:vAlign w:val="center"/>
          </w:tcPr>
          <w:p>
            <w:pPr>
              <w:pStyle w:val="13"/>
            </w:pPr>
            <w:r>
              <w:t>购置软件数量</w:t>
            </w:r>
          </w:p>
        </w:tc>
        <w:tc>
          <w:tcPr>
            <w:tcW w:w="2268" w:type="dxa"/>
            <w:vAlign w:val="center"/>
          </w:tcPr>
          <w:p>
            <w:pPr>
              <w:pStyle w:val="13"/>
            </w:pPr>
            <w:r>
              <w:t>≥1套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系统利用率</w:t>
            </w:r>
          </w:p>
        </w:tc>
        <w:tc>
          <w:tcPr>
            <w:tcW w:w="5386" w:type="dxa"/>
            <w:vAlign w:val="center"/>
          </w:tcPr>
          <w:p>
            <w:pPr>
              <w:pStyle w:val="13"/>
            </w:pPr>
            <w:r>
              <w:t>购置资金运行监控系统软件利用率</w:t>
            </w:r>
          </w:p>
        </w:tc>
        <w:tc>
          <w:tcPr>
            <w:tcW w:w="2268" w:type="dxa"/>
            <w:vAlign w:val="center"/>
          </w:tcPr>
          <w:p>
            <w:pPr>
              <w:pStyle w:val="13"/>
            </w:pPr>
            <w:r>
              <w:t>≥90%</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项目完成时效</w:t>
            </w:r>
          </w:p>
        </w:tc>
        <w:tc>
          <w:tcPr>
            <w:tcW w:w="5386" w:type="dxa"/>
            <w:vAlign w:val="center"/>
          </w:tcPr>
          <w:p>
            <w:pPr>
              <w:pStyle w:val="13"/>
            </w:pPr>
            <w:r>
              <w:t>资金运行监控系统软件完成投入使用时效</w:t>
            </w:r>
          </w:p>
        </w:tc>
        <w:tc>
          <w:tcPr>
            <w:tcW w:w="2268" w:type="dxa"/>
            <w:vAlign w:val="center"/>
          </w:tcPr>
          <w:p>
            <w:pPr>
              <w:pStyle w:val="13"/>
            </w:pPr>
            <w:r>
              <w:t>合同要求日期前</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软件购置成本</w:t>
            </w:r>
          </w:p>
        </w:tc>
        <w:tc>
          <w:tcPr>
            <w:tcW w:w="5386" w:type="dxa"/>
            <w:vAlign w:val="center"/>
          </w:tcPr>
          <w:p>
            <w:pPr>
              <w:pStyle w:val="13"/>
            </w:pPr>
            <w:r>
              <w:t>购置此软件预算成本</w:t>
            </w:r>
          </w:p>
        </w:tc>
        <w:tc>
          <w:tcPr>
            <w:tcW w:w="2268" w:type="dxa"/>
            <w:vAlign w:val="center"/>
          </w:tcPr>
          <w:p>
            <w:pPr>
              <w:pStyle w:val="13"/>
            </w:pPr>
            <w:r>
              <w:t>≤20万元</w:t>
            </w:r>
          </w:p>
        </w:tc>
        <w:tc>
          <w:tcPr>
            <w:tcW w:w="1276" w:type="dxa"/>
            <w:vAlign w:val="center"/>
          </w:tcPr>
          <w:p>
            <w:pPr>
              <w:pStyle w:val="13"/>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软件使用监控单位数量</w:t>
            </w:r>
          </w:p>
        </w:tc>
        <w:tc>
          <w:tcPr>
            <w:tcW w:w="5386" w:type="dxa"/>
            <w:vAlign w:val="center"/>
          </w:tcPr>
          <w:p>
            <w:pPr>
              <w:pStyle w:val="13"/>
            </w:pPr>
            <w:r>
              <w:t>软件使用监控单位数量</w:t>
            </w:r>
          </w:p>
        </w:tc>
        <w:tc>
          <w:tcPr>
            <w:tcW w:w="2268" w:type="dxa"/>
            <w:vAlign w:val="center"/>
          </w:tcPr>
          <w:p>
            <w:pPr>
              <w:pStyle w:val="13"/>
            </w:pPr>
            <w:r>
              <w:t>≥106个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软件可持续使用年限</w:t>
            </w:r>
          </w:p>
        </w:tc>
        <w:tc>
          <w:tcPr>
            <w:tcW w:w="5386" w:type="dxa"/>
            <w:vAlign w:val="center"/>
          </w:tcPr>
          <w:p>
            <w:pPr>
              <w:pStyle w:val="13"/>
            </w:pPr>
            <w:r>
              <w:t>新购置用于监控系统的软件可持续使用年限</w:t>
            </w:r>
          </w:p>
        </w:tc>
        <w:tc>
          <w:tcPr>
            <w:tcW w:w="2268" w:type="dxa"/>
            <w:vAlign w:val="center"/>
          </w:tcPr>
          <w:p>
            <w:pPr>
              <w:pStyle w:val="13"/>
            </w:pPr>
            <w:r>
              <w:t>≥10年</w:t>
            </w:r>
          </w:p>
        </w:tc>
        <w:tc>
          <w:tcPr>
            <w:tcW w:w="1276" w:type="dxa"/>
            <w:vAlign w:val="center"/>
          </w:tcPr>
          <w:p>
            <w:pPr>
              <w:pStyle w:val="13"/>
            </w:pPr>
            <w:r>
              <w:t>《企业会计准则第6号-无形资产》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预算单位满意程度</w:t>
            </w:r>
          </w:p>
        </w:tc>
        <w:tc>
          <w:tcPr>
            <w:tcW w:w="5386" w:type="dxa"/>
            <w:vAlign w:val="center"/>
          </w:tcPr>
          <w:p>
            <w:pPr>
              <w:pStyle w:val="13"/>
            </w:pPr>
            <w:r>
              <w:t>使用资金运行监控系统的预算单位满意程度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2、财政运行经费绩效目标表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13052926P000055105906</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95.00</w:t>
            </w:r>
          </w:p>
        </w:tc>
        <w:tc>
          <w:tcPr>
            <w:tcW w:w="2835" w:type="dxa"/>
            <w:vAlign w:val="center"/>
          </w:tcPr>
          <w:p>
            <w:pPr>
              <w:pStyle w:val="11"/>
            </w:pPr>
            <w:r>
              <w:t>其中：财政    资金</w:t>
            </w:r>
          </w:p>
        </w:tc>
        <w:tc>
          <w:tcPr>
            <w:tcW w:w="2551" w:type="dxa"/>
            <w:vAlign w:val="center"/>
          </w:tcPr>
          <w:p>
            <w:pPr>
              <w:pStyle w:val="13"/>
            </w:pPr>
            <w:r>
              <w:t>95.00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及时购买办公所需用品，按时缴纳物业管理费用，保障不少于13个部门必要的办公条件，及时完成后勤服务等工作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1.及时购买办公所需用品，保障不少于13个部门必要的办公条件，及时完成后勤服务等工作，控制成本支出金额不超过30万元，提高办公效率。</w:t>
            </w:r>
          </w:p>
          <w:p>
            <w:pPr>
              <w:pStyle w:val="13"/>
            </w:pPr>
            <w:r>
              <w:t>2.确保单位正常运转做好机关后勤服务等工作，保障单位85名工作人员的工作正常运转。</w:t>
            </w:r>
          </w:p>
          <w:p>
            <w:pPr>
              <w:pStyle w:val="13"/>
            </w:pPr>
            <w:r>
              <w:t>3.按时缴纳物业管理费用，年缴纳次数不少于12次，保障单位业务正常运转。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办公费用包含部门数</w:t>
            </w:r>
          </w:p>
        </w:tc>
        <w:tc>
          <w:tcPr>
            <w:tcW w:w="5386" w:type="dxa"/>
            <w:vAlign w:val="center"/>
          </w:tcPr>
          <w:p>
            <w:pPr>
              <w:pStyle w:val="13"/>
            </w:pPr>
            <w:r>
              <w:t>可使用办公费用的部门数</w:t>
            </w:r>
          </w:p>
        </w:tc>
        <w:tc>
          <w:tcPr>
            <w:tcW w:w="2268" w:type="dxa"/>
            <w:vAlign w:val="center"/>
          </w:tcPr>
          <w:p>
            <w:pPr>
              <w:pStyle w:val="13"/>
            </w:pPr>
            <w:r>
              <w:t>≥13个</w:t>
            </w:r>
          </w:p>
        </w:tc>
        <w:tc>
          <w:tcPr>
            <w:tcW w:w="1276" w:type="dxa"/>
            <w:vAlign w:val="center"/>
          </w:tcPr>
          <w:p>
            <w:pPr>
              <w:pStyle w:val="13"/>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物业管理费用缴纳次数</w:t>
            </w:r>
          </w:p>
        </w:tc>
        <w:tc>
          <w:tcPr>
            <w:tcW w:w="5386" w:type="dxa"/>
            <w:vAlign w:val="center"/>
          </w:tcPr>
          <w:p>
            <w:pPr>
              <w:pStyle w:val="13"/>
            </w:pPr>
            <w:r>
              <w:t>缴纳给物业管理公司用于日常工作的费用次数</w:t>
            </w:r>
          </w:p>
        </w:tc>
        <w:tc>
          <w:tcPr>
            <w:tcW w:w="2268" w:type="dxa"/>
            <w:vAlign w:val="center"/>
          </w:tcPr>
          <w:p>
            <w:pPr>
              <w:pStyle w:val="13"/>
            </w:pPr>
            <w:r>
              <w:t>≥12次</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购置的办公用品合格率</w:t>
            </w:r>
          </w:p>
        </w:tc>
        <w:tc>
          <w:tcPr>
            <w:tcW w:w="2268" w:type="dxa"/>
            <w:vAlign w:val="center"/>
          </w:tcPr>
          <w:p>
            <w:pPr>
              <w:pStyle w:val="13"/>
            </w:pPr>
            <w:r>
              <w:t>≥95%</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后勤服务质量合格率</w:t>
            </w:r>
          </w:p>
        </w:tc>
        <w:tc>
          <w:tcPr>
            <w:tcW w:w="5386" w:type="dxa"/>
            <w:vAlign w:val="center"/>
          </w:tcPr>
          <w:p>
            <w:pPr>
              <w:pStyle w:val="13"/>
            </w:pPr>
            <w:r>
              <w:t>后勤服务质量合格率</w:t>
            </w:r>
          </w:p>
        </w:tc>
        <w:tc>
          <w:tcPr>
            <w:tcW w:w="2268" w:type="dxa"/>
            <w:vAlign w:val="center"/>
          </w:tcPr>
          <w:p>
            <w:pPr>
              <w:pStyle w:val="13"/>
            </w:pPr>
            <w:r>
              <w:t>≥95%</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办公用品购买完成及时率</w:t>
            </w:r>
          </w:p>
        </w:tc>
        <w:tc>
          <w:tcPr>
            <w:tcW w:w="5386" w:type="dxa"/>
            <w:vAlign w:val="center"/>
          </w:tcPr>
          <w:p>
            <w:pPr>
              <w:pStyle w:val="13"/>
            </w:pPr>
            <w:r>
              <w:t>办公用品购买完成及时率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物理管理费用花费及时率</w:t>
            </w:r>
          </w:p>
        </w:tc>
        <w:tc>
          <w:tcPr>
            <w:tcW w:w="5386" w:type="dxa"/>
            <w:vAlign w:val="center"/>
          </w:tcPr>
          <w:p>
            <w:pPr>
              <w:pStyle w:val="13"/>
            </w:pPr>
            <w:r>
              <w:t>后勤服务等工作需支付物理管理费及时率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办公费用总成本</w:t>
            </w:r>
          </w:p>
        </w:tc>
        <w:tc>
          <w:tcPr>
            <w:tcW w:w="5386" w:type="dxa"/>
            <w:vAlign w:val="center"/>
          </w:tcPr>
          <w:p>
            <w:pPr>
              <w:pStyle w:val="13"/>
            </w:pPr>
            <w:r>
              <w:t>购买办公用品及用以日常办公所需支出的总费用</w:t>
            </w:r>
          </w:p>
        </w:tc>
        <w:tc>
          <w:tcPr>
            <w:tcW w:w="2268" w:type="dxa"/>
            <w:vAlign w:val="center"/>
          </w:tcPr>
          <w:p>
            <w:pPr>
              <w:pStyle w:val="13"/>
            </w:pPr>
            <w:r>
              <w:t>≤65万元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物业管理费用总成本</w:t>
            </w:r>
          </w:p>
        </w:tc>
        <w:tc>
          <w:tcPr>
            <w:tcW w:w="5386" w:type="dxa"/>
            <w:vAlign w:val="center"/>
          </w:tcPr>
          <w:p>
            <w:pPr>
              <w:pStyle w:val="13"/>
            </w:pPr>
            <w:r>
              <w:t>单位正常运转机关后勤服务等工作支出总成本</w:t>
            </w:r>
          </w:p>
        </w:tc>
        <w:tc>
          <w:tcPr>
            <w:tcW w:w="2268" w:type="dxa"/>
            <w:vAlign w:val="center"/>
          </w:tcPr>
          <w:p>
            <w:pPr>
              <w:pStyle w:val="13"/>
            </w:pPr>
            <w:r>
              <w:t>≤30万元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保障单位员工数量</w:t>
            </w:r>
          </w:p>
        </w:tc>
        <w:tc>
          <w:tcPr>
            <w:tcW w:w="5386" w:type="dxa"/>
            <w:vAlign w:val="center"/>
          </w:tcPr>
          <w:p>
            <w:pPr>
              <w:pStyle w:val="13"/>
            </w:pPr>
            <w:r>
              <w:t>保障单位员工数量</w:t>
            </w:r>
          </w:p>
        </w:tc>
        <w:tc>
          <w:tcPr>
            <w:tcW w:w="2268" w:type="dxa"/>
            <w:vAlign w:val="center"/>
          </w:tcPr>
          <w:p>
            <w:pPr>
              <w:pStyle w:val="13"/>
            </w:pPr>
            <w:r>
              <w:t>≥85名</w:t>
            </w:r>
          </w:p>
        </w:tc>
        <w:tc>
          <w:tcPr>
            <w:tcW w:w="1276" w:type="dxa"/>
            <w:vAlign w:val="center"/>
          </w:tcPr>
          <w:p>
            <w:pPr>
              <w:pStyle w:val="13"/>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后勤服务工作保障办公环境年限</w:t>
            </w:r>
          </w:p>
        </w:tc>
        <w:tc>
          <w:tcPr>
            <w:tcW w:w="5386" w:type="dxa"/>
            <w:vAlign w:val="center"/>
          </w:tcPr>
          <w:p>
            <w:pPr>
              <w:pStyle w:val="13"/>
            </w:pPr>
            <w:r>
              <w:t>后勤服务工作保障办公环境年限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单位办公人员满意度</w:t>
            </w:r>
          </w:p>
        </w:tc>
        <w:tc>
          <w:tcPr>
            <w:tcW w:w="5386" w:type="dxa"/>
            <w:vAlign w:val="center"/>
          </w:tcPr>
          <w:p>
            <w:pPr>
              <w:pStyle w:val="13"/>
            </w:pPr>
            <w:r>
              <w:t>调查中满意的人数占总调查人数的比例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3、机关建设经费绩效目标表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13052926P000055105255</w:t>
            </w:r>
          </w:p>
        </w:tc>
        <w:tc>
          <w:tcPr>
            <w:tcW w:w="2835" w:type="dxa"/>
            <w:vAlign w:val="center"/>
          </w:tcPr>
          <w:p>
            <w:pPr>
              <w:pStyle w:val="11"/>
            </w:pPr>
            <w:r>
              <w:t>项目名称</w:t>
            </w:r>
          </w:p>
        </w:tc>
        <w:tc>
          <w:tcPr>
            <w:tcW w:w="6095" w:type="dxa"/>
            <w:gridSpan w:val="3"/>
            <w:vAlign w:val="center"/>
          </w:tcPr>
          <w:p>
            <w:pPr>
              <w:pStyle w:val="13"/>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计划年度修缮工程数达到五个及以上，保障单位办公正常运转。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5.00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1.通过修缮工程的验收合格率达100%，稳定维持各项工程项目高质量完成。</w:t>
            </w:r>
          </w:p>
          <w:p>
            <w:pPr>
              <w:pStyle w:val="13"/>
            </w:pPr>
            <w:r>
              <w:t>2.确保修缮完工项目的综合利用率，保障单位85名工作人员的工作正常运转。</w:t>
            </w:r>
          </w:p>
          <w:p>
            <w:pPr>
              <w:pStyle w:val="13"/>
            </w:pPr>
            <w:r>
              <w:t>3.计划年度修缮工程数达到五个及以上，保障单位办公正常运转。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修缮工程计划数</w:t>
            </w:r>
          </w:p>
        </w:tc>
        <w:tc>
          <w:tcPr>
            <w:tcW w:w="5386" w:type="dxa"/>
            <w:vAlign w:val="center"/>
          </w:tcPr>
          <w:p>
            <w:pPr>
              <w:pStyle w:val="13"/>
            </w:pPr>
            <w:r>
              <w:t>修缮工程计划数</w:t>
            </w:r>
          </w:p>
        </w:tc>
        <w:tc>
          <w:tcPr>
            <w:tcW w:w="2268" w:type="dxa"/>
            <w:vAlign w:val="center"/>
          </w:tcPr>
          <w:p>
            <w:pPr>
              <w:pStyle w:val="13"/>
            </w:pPr>
            <w:r>
              <w:t>≥5个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修缮工程验收合格率</w:t>
            </w:r>
          </w:p>
        </w:tc>
        <w:tc>
          <w:tcPr>
            <w:tcW w:w="5386" w:type="dxa"/>
            <w:vAlign w:val="center"/>
          </w:tcPr>
          <w:p>
            <w:pPr>
              <w:pStyle w:val="13"/>
            </w:pPr>
            <w:r>
              <w:t>通过验收的工程量占修缮总量的比例</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修缮工程完成时限</w:t>
            </w:r>
          </w:p>
        </w:tc>
        <w:tc>
          <w:tcPr>
            <w:tcW w:w="5386" w:type="dxa"/>
            <w:vAlign w:val="center"/>
          </w:tcPr>
          <w:p>
            <w:pPr>
              <w:pStyle w:val="13"/>
            </w:pPr>
            <w:r>
              <w:t>修缮工程完成时限</w:t>
            </w:r>
          </w:p>
        </w:tc>
        <w:tc>
          <w:tcPr>
            <w:tcW w:w="2268" w:type="dxa"/>
            <w:vAlign w:val="center"/>
          </w:tcPr>
          <w:p>
            <w:pPr>
              <w:pStyle w:val="13"/>
            </w:pPr>
            <w:r>
              <w:t>按合同约定</w:t>
            </w:r>
          </w:p>
        </w:tc>
        <w:tc>
          <w:tcPr>
            <w:tcW w:w="1276" w:type="dxa"/>
            <w:vAlign w:val="center"/>
          </w:tcPr>
          <w:p>
            <w:pPr>
              <w:pStyle w:val="13"/>
            </w:pPr>
            <w:r>
              <w:t>按合同约定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修缮工程平均成本</w:t>
            </w:r>
          </w:p>
        </w:tc>
        <w:tc>
          <w:tcPr>
            <w:tcW w:w="5386" w:type="dxa"/>
            <w:vAlign w:val="center"/>
          </w:tcPr>
          <w:p>
            <w:pPr>
              <w:pStyle w:val="13"/>
            </w:pPr>
            <w:r>
              <w:t>修缮工程平均成本</w:t>
            </w:r>
          </w:p>
        </w:tc>
        <w:tc>
          <w:tcPr>
            <w:tcW w:w="2268" w:type="dxa"/>
            <w:vAlign w:val="center"/>
          </w:tcPr>
          <w:p>
            <w:pPr>
              <w:pStyle w:val="13"/>
            </w:pPr>
            <w:r>
              <w:t>≤2万/个</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修缮完工项目综合利用率</w:t>
            </w:r>
          </w:p>
        </w:tc>
        <w:tc>
          <w:tcPr>
            <w:tcW w:w="5386" w:type="dxa"/>
            <w:vAlign w:val="center"/>
          </w:tcPr>
          <w:p>
            <w:pPr>
              <w:pStyle w:val="13"/>
            </w:pPr>
            <w:r>
              <w:t>修缮完工项目综合利用率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修缮完工项目可持续使用年限</w:t>
            </w:r>
          </w:p>
        </w:tc>
        <w:tc>
          <w:tcPr>
            <w:tcW w:w="5386" w:type="dxa"/>
            <w:vAlign w:val="center"/>
          </w:tcPr>
          <w:p>
            <w:pPr>
              <w:pStyle w:val="13"/>
            </w:pPr>
            <w:r>
              <w:t>修缮完工项目可持续使用年限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4、冀财农2024年20号2024年省级农村综合改革转移支付资金-农村综合性改革试点试验绩效目标表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13052925P000008100570</w:t>
            </w:r>
          </w:p>
        </w:tc>
        <w:tc>
          <w:tcPr>
            <w:tcW w:w="2835" w:type="dxa"/>
            <w:vAlign w:val="center"/>
          </w:tcPr>
          <w:p>
            <w:pPr>
              <w:pStyle w:val="11"/>
            </w:pPr>
            <w:r>
              <w:t>项目名称</w:t>
            </w:r>
          </w:p>
        </w:tc>
        <w:tc>
          <w:tcPr>
            <w:tcW w:w="6095" w:type="dxa"/>
            <w:gridSpan w:val="3"/>
            <w:vAlign w:val="center"/>
          </w:tcPr>
          <w:p>
            <w:pPr>
              <w:pStyle w:val="13"/>
            </w:pPr>
            <w:r>
              <w:t>冀财农2024年20号2024年省级农村综合改革转移支付资金-农村综合性改革试点试验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416.74</w:t>
            </w:r>
          </w:p>
        </w:tc>
        <w:tc>
          <w:tcPr>
            <w:tcW w:w="2835" w:type="dxa"/>
            <w:vAlign w:val="center"/>
          </w:tcPr>
          <w:p>
            <w:pPr>
              <w:pStyle w:val="11"/>
            </w:pPr>
            <w:r>
              <w:t>其中：财政    资金</w:t>
            </w:r>
          </w:p>
        </w:tc>
        <w:tc>
          <w:tcPr>
            <w:tcW w:w="2551" w:type="dxa"/>
            <w:vAlign w:val="center"/>
          </w:tcPr>
          <w:p>
            <w:pPr>
              <w:pStyle w:val="13"/>
            </w:pPr>
            <w:r>
              <w:t>416.74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在控制预算416.75万元以内,按需求及时购置项目补充专业设备，保障项目及时开展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100.00</w:t>
            </w:r>
          </w:p>
        </w:tc>
        <w:tc>
          <w:tcPr>
            <w:tcW w:w="2835" w:type="dxa"/>
            <w:vAlign w:val="center"/>
          </w:tcPr>
          <w:p>
            <w:pPr>
              <w:pStyle w:val="14"/>
            </w:pPr>
            <w:r>
              <w:t>200.00</w:t>
            </w:r>
          </w:p>
        </w:tc>
        <w:tc>
          <w:tcPr>
            <w:tcW w:w="2551" w:type="dxa"/>
            <w:vAlign w:val="center"/>
          </w:tcPr>
          <w:p>
            <w:pPr>
              <w:pStyle w:val="14"/>
            </w:pPr>
            <w:r>
              <w:t>300.00</w:t>
            </w:r>
          </w:p>
        </w:tc>
        <w:tc>
          <w:tcPr>
            <w:tcW w:w="3544" w:type="dxa"/>
            <w:gridSpan w:val="2"/>
            <w:vAlign w:val="center"/>
          </w:tcPr>
          <w:p>
            <w:pPr>
              <w:pStyle w:val="14"/>
            </w:pPr>
            <w:r>
              <w:t>416.74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1.按需求及时购置项目补充专业设备，保障项目及时开展</w:t>
            </w:r>
          </w:p>
          <w:p>
            <w:pPr>
              <w:pStyle w:val="13"/>
            </w:pPr>
            <w:r>
              <w:t>2.在不超过建设成本的前提下，保障购置设备合格率与及时率，高效准确的推进项目进程</w:t>
            </w:r>
          </w:p>
          <w:p>
            <w:pPr>
              <w:pStyle w:val="13"/>
            </w:pPr>
            <w:r>
              <w:t>3.在控制预算416.75万元以内，最大程度推动当地农村经济的发展，提高当地居民的生活水平，提高满意度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购置设备数量</w:t>
            </w:r>
          </w:p>
        </w:tc>
        <w:tc>
          <w:tcPr>
            <w:tcW w:w="5386" w:type="dxa"/>
            <w:vAlign w:val="center"/>
          </w:tcPr>
          <w:p>
            <w:pPr>
              <w:pStyle w:val="13"/>
            </w:pPr>
            <w:r>
              <w:t>购置生产线补充专业设备数量</w:t>
            </w:r>
          </w:p>
        </w:tc>
        <w:tc>
          <w:tcPr>
            <w:tcW w:w="2268" w:type="dxa"/>
            <w:vAlign w:val="center"/>
          </w:tcPr>
          <w:p>
            <w:pPr>
              <w:pStyle w:val="13"/>
            </w:pPr>
            <w:r>
              <w:t>≥1件</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购置生产线补充专业设备合格率</w:t>
            </w:r>
          </w:p>
          <w:p>
            <w:pPr>
              <w:pStyle w:val="13"/>
            </w:pP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设备维保及时性</w:t>
            </w:r>
          </w:p>
        </w:tc>
        <w:tc>
          <w:tcPr>
            <w:tcW w:w="5386" w:type="dxa"/>
            <w:vAlign w:val="center"/>
          </w:tcPr>
          <w:p>
            <w:pPr>
              <w:pStyle w:val="13"/>
            </w:pPr>
            <w:r>
              <w:t>反映设备维保及时情况</w:t>
            </w: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购置设备项目总成本</w:t>
            </w:r>
          </w:p>
        </w:tc>
        <w:tc>
          <w:tcPr>
            <w:tcW w:w="2268" w:type="dxa"/>
            <w:vAlign w:val="center"/>
          </w:tcPr>
          <w:p>
            <w:pPr>
              <w:pStyle w:val="13"/>
            </w:pPr>
            <w:r>
              <w:t>≤416.75万元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对当地农村经济发展影响程度</w:t>
            </w:r>
          </w:p>
        </w:tc>
        <w:tc>
          <w:tcPr>
            <w:tcW w:w="5386" w:type="dxa"/>
            <w:vAlign w:val="center"/>
          </w:tcPr>
          <w:p>
            <w:pPr>
              <w:pStyle w:val="13"/>
            </w:pPr>
            <w:r>
              <w:t>此项目对当地农村经济发展与当地群众收入增加的影响程度</w:t>
            </w:r>
          </w:p>
          <w:p>
            <w:pPr>
              <w:pStyle w:val="13"/>
            </w:pPr>
          </w:p>
        </w:tc>
        <w:tc>
          <w:tcPr>
            <w:tcW w:w="2268" w:type="dxa"/>
            <w:vAlign w:val="center"/>
          </w:tcPr>
          <w:p>
            <w:pPr>
              <w:pStyle w:val="13"/>
            </w:pPr>
            <w:r>
              <w:t>≥90%</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设备投入运行对行业管理水平的持续提升率</w:t>
            </w:r>
          </w:p>
        </w:tc>
        <w:tc>
          <w:tcPr>
            <w:tcW w:w="5386" w:type="dxa"/>
            <w:vAlign w:val="center"/>
          </w:tcPr>
          <w:p>
            <w:pPr>
              <w:pStyle w:val="13"/>
            </w:pPr>
            <w:r>
              <w:t>反映设备投入运行后，对行业管理水平的可持续影响程度</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反映项目受益群众对该项目的认可程度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5、军队退役人员公益性岗位满三年2026年财政补贴绩效目标表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13052926P000014100738</w:t>
            </w:r>
          </w:p>
        </w:tc>
        <w:tc>
          <w:tcPr>
            <w:tcW w:w="2835" w:type="dxa"/>
            <w:vAlign w:val="center"/>
          </w:tcPr>
          <w:p>
            <w:pPr>
              <w:pStyle w:val="11"/>
            </w:pPr>
            <w:r>
              <w:t>项目名称</w:t>
            </w:r>
          </w:p>
        </w:tc>
        <w:tc>
          <w:tcPr>
            <w:tcW w:w="6095" w:type="dxa"/>
            <w:gridSpan w:val="3"/>
            <w:vAlign w:val="center"/>
          </w:tcPr>
          <w:p>
            <w:pPr>
              <w:pStyle w:val="13"/>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w:t>
            </w:r>
          </w:p>
        </w:tc>
        <w:tc>
          <w:tcPr>
            <w:tcW w:w="2835" w:type="dxa"/>
            <w:vAlign w:val="center"/>
          </w:tcPr>
          <w:p>
            <w:pPr>
              <w:pStyle w:val="11"/>
            </w:pPr>
            <w:r>
              <w:t>其中：财政    资金</w:t>
            </w:r>
          </w:p>
        </w:tc>
        <w:tc>
          <w:tcPr>
            <w:tcW w:w="2551" w:type="dxa"/>
            <w:vAlign w:val="center"/>
          </w:tcPr>
          <w:p>
            <w:pPr>
              <w:pStyle w:val="13"/>
            </w:pPr>
            <w:r>
              <w:t>4.14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保障军队退役公岗满三年人员共计1人生活补助顺利发放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2.00</w:t>
            </w:r>
          </w:p>
        </w:tc>
        <w:tc>
          <w:tcPr>
            <w:tcW w:w="2551" w:type="dxa"/>
            <w:vAlign w:val="center"/>
          </w:tcPr>
          <w:p>
            <w:pPr>
              <w:pStyle w:val="14"/>
            </w:pPr>
            <w:r>
              <w:t>3.00</w:t>
            </w:r>
          </w:p>
        </w:tc>
        <w:tc>
          <w:tcPr>
            <w:tcW w:w="3544" w:type="dxa"/>
            <w:gridSpan w:val="2"/>
            <w:vAlign w:val="center"/>
          </w:tcPr>
          <w:p>
            <w:pPr>
              <w:pStyle w:val="14"/>
            </w:pPr>
            <w:r>
              <w:t>4.14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1.提高受补贴人员工作积极性及满意度大于等于20%</w:t>
            </w:r>
          </w:p>
          <w:p>
            <w:pPr>
              <w:pStyle w:val="13"/>
            </w:pPr>
            <w:r>
              <w:t>2.保障军队退役公岗满三年人员共计1人生活补助顺利发放</w:t>
            </w:r>
          </w:p>
          <w:p>
            <w:pPr>
              <w:pStyle w:val="13"/>
            </w:pPr>
            <w:r>
              <w:t>3.保障军队退役公岗满三年人员社会保险费用每月25日前正常缴纳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保险缴纳人数</w:t>
            </w:r>
          </w:p>
        </w:tc>
        <w:tc>
          <w:tcPr>
            <w:tcW w:w="5386" w:type="dxa"/>
            <w:vAlign w:val="center"/>
          </w:tcPr>
          <w:p>
            <w:pPr>
              <w:pStyle w:val="13"/>
            </w:pPr>
            <w:r>
              <w:t>该补贴保障保险缴纳人数</w:t>
            </w:r>
          </w:p>
        </w:tc>
        <w:tc>
          <w:tcPr>
            <w:tcW w:w="2268" w:type="dxa"/>
            <w:vAlign w:val="center"/>
          </w:tcPr>
          <w:p>
            <w:pPr>
              <w:pStyle w:val="13"/>
            </w:pPr>
            <w:r>
              <w:t>1人</w:t>
            </w:r>
          </w:p>
        </w:tc>
        <w:tc>
          <w:tcPr>
            <w:tcW w:w="1276"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保险缴纳准确率</w:t>
            </w:r>
          </w:p>
        </w:tc>
        <w:tc>
          <w:tcPr>
            <w:tcW w:w="5386" w:type="dxa"/>
            <w:vAlign w:val="center"/>
          </w:tcPr>
          <w:p>
            <w:pPr>
              <w:pStyle w:val="13"/>
            </w:pPr>
            <w:r>
              <w:t>每月保险缴纳准确率</w:t>
            </w:r>
          </w:p>
        </w:tc>
        <w:tc>
          <w:tcPr>
            <w:tcW w:w="2268" w:type="dxa"/>
            <w:vAlign w:val="center"/>
          </w:tcPr>
          <w:p>
            <w:pPr>
              <w:pStyle w:val="13"/>
            </w:pPr>
            <w:r>
              <w:t>≥95%</w:t>
            </w:r>
          </w:p>
        </w:tc>
        <w:tc>
          <w:tcPr>
            <w:tcW w:w="1276" w:type="dxa"/>
            <w:vAlign w:val="center"/>
          </w:tcPr>
          <w:p>
            <w:pPr>
              <w:pStyle w:val="13"/>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社会保险按时缴纳完成时限</w:t>
            </w:r>
          </w:p>
        </w:tc>
        <w:tc>
          <w:tcPr>
            <w:tcW w:w="5386" w:type="dxa"/>
            <w:vAlign w:val="center"/>
          </w:tcPr>
          <w:p>
            <w:pPr>
              <w:pStyle w:val="13"/>
            </w:pPr>
            <w:r>
              <w:t>每月该退役军人社会保险按时缴纳完成时限</w:t>
            </w:r>
          </w:p>
        </w:tc>
        <w:tc>
          <w:tcPr>
            <w:tcW w:w="2268" w:type="dxa"/>
            <w:vAlign w:val="center"/>
          </w:tcPr>
          <w:p>
            <w:pPr>
              <w:pStyle w:val="13"/>
            </w:pPr>
            <w:r>
              <w:t>每月25日前</w:t>
            </w:r>
          </w:p>
        </w:tc>
        <w:tc>
          <w:tcPr>
            <w:tcW w:w="1276" w:type="dxa"/>
            <w:vAlign w:val="center"/>
          </w:tcPr>
          <w:p>
            <w:pPr>
              <w:pStyle w:val="13"/>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该退役军人保险缴纳年度总额</w:t>
            </w:r>
          </w:p>
        </w:tc>
        <w:tc>
          <w:tcPr>
            <w:tcW w:w="5386" w:type="dxa"/>
            <w:vAlign w:val="center"/>
          </w:tcPr>
          <w:p>
            <w:pPr>
              <w:pStyle w:val="13"/>
            </w:pPr>
            <w:r>
              <w:t>该退役军人保险缴纳年度总额</w:t>
            </w:r>
          </w:p>
        </w:tc>
        <w:tc>
          <w:tcPr>
            <w:tcW w:w="2268" w:type="dxa"/>
            <w:vAlign w:val="center"/>
          </w:tcPr>
          <w:p>
            <w:pPr>
              <w:pStyle w:val="13"/>
            </w:pPr>
            <w:r>
              <w:t>≤1.46万元</w:t>
            </w:r>
          </w:p>
        </w:tc>
        <w:tc>
          <w:tcPr>
            <w:tcW w:w="1276" w:type="dxa"/>
            <w:vAlign w:val="center"/>
          </w:tcPr>
          <w:p>
            <w:pPr>
              <w:pStyle w:val="13"/>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工作积极性提升率</w:t>
            </w:r>
          </w:p>
        </w:tc>
        <w:tc>
          <w:tcPr>
            <w:tcW w:w="5386" w:type="dxa"/>
            <w:vAlign w:val="center"/>
          </w:tcPr>
          <w:p>
            <w:pPr>
              <w:pStyle w:val="13"/>
            </w:pPr>
            <w:r>
              <w:t>项目实施后退役军人工作积极性提升率</w:t>
            </w:r>
          </w:p>
        </w:tc>
        <w:tc>
          <w:tcPr>
            <w:tcW w:w="2268" w:type="dxa"/>
            <w:vAlign w:val="center"/>
          </w:tcPr>
          <w:p>
            <w:pPr>
              <w:pStyle w:val="13"/>
            </w:pPr>
            <w:r>
              <w:t>≥20%</w:t>
            </w:r>
          </w:p>
        </w:tc>
        <w:tc>
          <w:tcPr>
            <w:tcW w:w="1276" w:type="dxa"/>
            <w:vAlign w:val="center"/>
          </w:tcPr>
          <w:p>
            <w:pPr>
              <w:pStyle w:val="13"/>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保障生活补助长期准时发放年限</w:t>
            </w:r>
          </w:p>
        </w:tc>
        <w:tc>
          <w:tcPr>
            <w:tcW w:w="5386" w:type="dxa"/>
            <w:vAlign w:val="center"/>
          </w:tcPr>
          <w:p>
            <w:pPr>
              <w:pStyle w:val="13"/>
            </w:pPr>
            <w:r>
              <w:t>保障生活补助长期准时发放年限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接受补贴人员满意度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6、农村综合改革工作经费绩效目标表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13052926P00000810010M</w:t>
            </w:r>
          </w:p>
        </w:tc>
        <w:tc>
          <w:tcPr>
            <w:tcW w:w="2835" w:type="dxa"/>
            <w:vAlign w:val="center"/>
          </w:tcPr>
          <w:p>
            <w:pPr>
              <w:pStyle w:val="11"/>
            </w:pPr>
            <w:r>
              <w:t>项目名称</w:t>
            </w:r>
          </w:p>
        </w:tc>
        <w:tc>
          <w:tcPr>
            <w:tcW w:w="6095" w:type="dxa"/>
            <w:gridSpan w:val="3"/>
            <w:vAlign w:val="center"/>
          </w:tcPr>
          <w:p>
            <w:pPr>
              <w:pStyle w:val="13"/>
            </w:pPr>
            <w:r>
              <w:t>农村综合改革工作经费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通过向项目管理公司咨询不少于1个业务，及时解决农村综合性改革项目中的问题，保障准时高效的完成。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1.根据项目管理公司勘察设计监理结果提出可行性方案，确保方案可实施率达95%以上，把握好项目总成本。</w:t>
            </w:r>
          </w:p>
          <w:p>
            <w:pPr>
              <w:pStyle w:val="13"/>
            </w:pPr>
            <w:r>
              <w:t>2.项目管理公司设计解答业务及时率达95%以上，确保各项工作正常开展。</w:t>
            </w:r>
          </w:p>
          <w:p>
            <w:pPr>
              <w:pStyle w:val="13"/>
            </w:pPr>
            <w:r>
              <w:t>3.通过向项目管理公司咨询不少于1个业务，及时解决农村综合性改革项目中的问题，保障准时高效的完成。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设计咨询业务数量</w:t>
            </w:r>
          </w:p>
        </w:tc>
        <w:tc>
          <w:tcPr>
            <w:tcW w:w="5386" w:type="dxa"/>
            <w:vAlign w:val="center"/>
          </w:tcPr>
          <w:p>
            <w:pPr>
              <w:pStyle w:val="13"/>
            </w:pPr>
            <w:r>
              <w:t>向项目管理公司咨询业务的数量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项目管理公司勘察设计结果可实施性</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第三方公司处理问题及时率</w:t>
            </w:r>
          </w:p>
        </w:tc>
        <w:tc>
          <w:tcPr>
            <w:tcW w:w="5386" w:type="dxa"/>
            <w:vAlign w:val="center"/>
          </w:tcPr>
          <w:p>
            <w:pPr>
              <w:pStyle w:val="13"/>
            </w:pPr>
            <w:r>
              <w:t>项目管理公司设计解答业务的及时率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项目实施成本</w:t>
            </w:r>
          </w:p>
        </w:tc>
        <w:tc>
          <w:tcPr>
            <w:tcW w:w="5386" w:type="dxa"/>
            <w:vAlign w:val="center"/>
          </w:tcPr>
          <w:p>
            <w:pPr>
              <w:pStyle w:val="13"/>
            </w:pPr>
            <w:r>
              <w:t>项目实施成本</w:t>
            </w:r>
          </w:p>
        </w:tc>
        <w:tc>
          <w:tcPr>
            <w:tcW w:w="2268" w:type="dxa"/>
            <w:vAlign w:val="center"/>
          </w:tcPr>
          <w:p>
            <w:pPr>
              <w:pStyle w:val="13"/>
            </w:pPr>
            <w:r>
              <w:t>≤30万元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各项工作正常运转率</w:t>
            </w:r>
          </w:p>
        </w:tc>
        <w:tc>
          <w:tcPr>
            <w:tcW w:w="5386" w:type="dxa"/>
            <w:vAlign w:val="center"/>
          </w:tcPr>
          <w:p>
            <w:pPr>
              <w:pStyle w:val="13"/>
            </w:pPr>
            <w:r>
              <w:t>各项工作正常运转率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设计的方案可持续使用年限</w:t>
            </w:r>
          </w:p>
        </w:tc>
        <w:tc>
          <w:tcPr>
            <w:tcW w:w="5386" w:type="dxa"/>
            <w:vAlign w:val="center"/>
          </w:tcPr>
          <w:p>
            <w:pPr>
              <w:pStyle w:val="13"/>
            </w:pPr>
            <w:r>
              <w:t>项目管理公司设计的方案可持续年限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主管部门满意度</w:t>
            </w:r>
          </w:p>
        </w:tc>
        <w:tc>
          <w:tcPr>
            <w:tcW w:w="5386" w:type="dxa"/>
            <w:vAlign w:val="center"/>
          </w:tcPr>
          <w:p>
            <w:pPr>
              <w:pStyle w:val="13"/>
            </w:pPr>
            <w:r>
              <w:t>主管部门满意度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7、信息化建设经费绩效目标表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13052926P00000210034R</w:t>
            </w:r>
          </w:p>
        </w:tc>
        <w:tc>
          <w:tcPr>
            <w:tcW w:w="2835" w:type="dxa"/>
            <w:vAlign w:val="center"/>
          </w:tcPr>
          <w:p>
            <w:pPr>
              <w:pStyle w:val="11"/>
            </w:pPr>
            <w:r>
              <w:t>项目名称</w:t>
            </w:r>
          </w:p>
        </w:tc>
        <w:tc>
          <w:tcPr>
            <w:tcW w:w="6095" w:type="dxa"/>
            <w:gridSpan w:val="3"/>
            <w:vAlign w:val="center"/>
          </w:tcPr>
          <w:p>
            <w:pPr>
              <w:pStyle w:val="13"/>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42.07</w:t>
            </w:r>
          </w:p>
        </w:tc>
        <w:tc>
          <w:tcPr>
            <w:tcW w:w="2835" w:type="dxa"/>
            <w:vAlign w:val="center"/>
          </w:tcPr>
          <w:p>
            <w:pPr>
              <w:pStyle w:val="11"/>
            </w:pPr>
            <w:r>
              <w:t>其中：财政    资金</w:t>
            </w:r>
          </w:p>
        </w:tc>
        <w:tc>
          <w:tcPr>
            <w:tcW w:w="2551" w:type="dxa"/>
            <w:vAlign w:val="center"/>
          </w:tcPr>
          <w:p>
            <w:pPr>
              <w:pStyle w:val="13"/>
            </w:pPr>
            <w:r>
              <w:t>42.07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保障网络系统完全运行，开展系统等保测评工作，确保信息系统安全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42.07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1.开展不少于1次等保测评工作，保障网络系统完全运行，单位工作正常开展。</w:t>
            </w:r>
          </w:p>
          <w:p>
            <w:pPr>
              <w:pStyle w:val="13"/>
            </w:pPr>
            <w:r>
              <w:t>2.开展系统等保测评工作，确保信息系统安全，为财政改革提质增效。</w:t>
            </w:r>
          </w:p>
          <w:p>
            <w:pPr>
              <w:pStyle w:val="13"/>
            </w:pPr>
            <w:r>
              <w:t>3.开展不少于110条网络线路租赁工作，财务软件顺利运行，保障单位工作正常运转。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租赁网络线路条数</w:t>
            </w:r>
          </w:p>
        </w:tc>
        <w:tc>
          <w:tcPr>
            <w:tcW w:w="5386" w:type="dxa"/>
            <w:vAlign w:val="center"/>
          </w:tcPr>
          <w:p>
            <w:pPr>
              <w:pStyle w:val="13"/>
            </w:pPr>
            <w:r>
              <w:t>租赁网络线路条数</w:t>
            </w:r>
          </w:p>
        </w:tc>
        <w:tc>
          <w:tcPr>
            <w:tcW w:w="2268" w:type="dxa"/>
            <w:vAlign w:val="center"/>
          </w:tcPr>
          <w:p>
            <w:pPr>
              <w:pStyle w:val="13"/>
            </w:pPr>
            <w:r>
              <w:t>≥110条</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开展等保测评次数</w:t>
            </w:r>
          </w:p>
        </w:tc>
        <w:tc>
          <w:tcPr>
            <w:tcW w:w="5386" w:type="dxa"/>
            <w:vAlign w:val="center"/>
          </w:tcPr>
          <w:p>
            <w:pPr>
              <w:pStyle w:val="13"/>
            </w:pPr>
            <w:r>
              <w:t>开展等保测评次数</w:t>
            </w:r>
          </w:p>
        </w:tc>
        <w:tc>
          <w:tcPr>
            <w:tcW w:w="2268" w:type="dxa"/>
            <w:vAlign w:val="center"/>
          </w:tcPr>
          <w:p>
            <w:pPr>
              <w:pStyle w:val="13"/>
            </w:pPr>
            <w:r>
              <w:t>≥1次</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软件维修维护验收合格率</w:t>
            </w:r>
          </w:p>
        </w:tc>
        <w:tc>
          <w:tcPr>
            <w:tcW w:w="5386" w:type="dxa"/>
            <w:vAlign w:val="center"/>
          </w:tcPr>
          <w:p>
            <w:pPr>
              <w:pStyle w:val="13"/>
            </w:pPr>
            <w:r>
              <w:t>软件维修维护验收合格率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等保测评工作完成率</w:t>
            </w:r>
          </w:p>
        </w:tc>
        <w:tc>
          <w:tcPr>
            <w:tcW w:w="5386" w:type="dxa"/>
            <w:vAlign w:val="center"/>
          </w:tcPr>
          <w:p>
            <w:pPr>
              <w:pStyle w:val="13"/>
            </w:pPr>
            <w:r>
              <w:t>等保测评工作完成率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线路租赁工作完成时限</w:t>
            </w:r>
          </w:p>
        </w:tc>
        <w:tc>
          <w:tcPr>
            <w:tcW w:w="5386" w:type="dxa"/>
            <w:vAlign w:val="center"/>
          </w:tcPr>
          <w:p>
            <w:pPr>
              <w:pStyle w:val="13"/>
            </w:pPr>
            <w:r>
              <w:t>线路租赁工作完成时限</w:t>
            </w:r>
          </w:p>
        </w:tc>
        <w:tc>
          <w:tcPr>
            <w:tcW w:w="2268" w:type="dxa"/>
            <w:vAlign w:val="center"/>
          </w:tcPr>
          <w:p>
            <w:pPr>
              <w:pStyle w:val="13"/>
            </w:pPr>
            <w:r>
              <w:t>3月底前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等保测评测评工作完成时间</w:t>
            </w:r>
          </w:p>
        </w:tc>
        <w:tc>
          <w:tcPr>
            <w:tcW w:w="5386" w:type="dxa"/>
            <w:vAlign w:val="center"/>
          </w:tcPr>
          <w:p>
            <w:pPr>
              <w:pStyle w:val="13"/>
            </w:pPr>
            <w:r>
              <w:t>等保测评测评工作完成时间</w:t>
            </w:r>
          </w:p>
        </w:tc>
        <w:tc>
          <w:tcPr>
            <w:tcW w:w="2268" w:type="dxa"/>
            <w:vAlign w:val="center"/>
          </w:tcPr>
          <w:p>
            <w:pPr>
              <w:pStyle w:val="13"/>
            </w:pPr>
            <w:r>
              <w:t>12月底前</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等保测评成本</w:t>
            </w:r>
          </w:p>
        </w:tc>
        <w:tc>
          <w:tcPr>
            <w:tcW w:w="5386" w:type="dxa"/>
            <w:vAlign w:val="center"/>
          </w:tcPr>
          <w:p>
            <w:pPr>
              <w:pStyle w:val="13"/>
            </w:pPr>
            <w:r>
              <w:t>等保测评成本</w:t>
            </w:r>
          </w:p>
        </w:tc>
        <w:tc>
          <w:tcPr>
            <w:tcW w:w="2268" w:type="dxa"/>
            <w:vAlign w:val="center"/>
          </w:tcPr>
          <w:p>
            <w:pPr>
              <w:pStyle w:val="13"/>
            </w:pPr>
            <w:r>
              <w:t>≤7.65万元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租赁网络成本</w:t>
            </w:r>
          </w:p>
        </w:tc>
        <w:tc>
          <w:tcPr>
            <w:tcW w:w="5386" w:type="dxa"/>
            <w:vAlign w:val="center"/>
          </w:tcPr>
          <w:p>
            <w:pPr>
              <w:pStyle w:val="13"/>
            </w:pPr>
            <w:r>
              <w:t>租赁网络成本</w:t>
            </w:r>
          </w:p>
        </w:tc>
        <w:tc>
          <w:tcPr>
            <w:tcW w:w="2268" w:type="dxa"/>
            <w:vAlign w:val="center"/>
          </w:tcPr>
          <w:p>
            <w:pPr>
              <w:pStyle w:val="13"/>
            </w:pPr>
            <w:r>
              <w:t>≤23.12万元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单位正常运转率</w:t>
            </w:r>
          </w:p>
        </w:tc>
        <w:tc>
          <w:tcPr>
            <w:tcW w:w="5386" w:type="dxa"/>
            <w:vAlign w:val="center"/>
          </w:tcPr>
          <w:p>
            <w:pPr>
              <w:pStyle w:val="13"/>
            </w:pPr>
            <w:r>
              <w:t>单位正常运转率</w:t>
            </w:r>
          </w:p>
        </w:tc>
        <w:tc>
          <w:tcPr>
            <w:tcW w:w="2268" w:type="dxa"/>
            <w:vAlign w:val="center"/>
          </w:tcPr>
          <w:p>
            <w:pPr>
              <w:pStyle w:val="13"/>
            </w:pPr>
            <w:r>
              <w:t>100%</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信息化平台可持续使用年限</w:t>
            </w:r>
          </w:p>
        </w:tc>
        <w:tc>
          <w:tcPr>
            <w:tcW w:w="5386" w:type="dxa"/>
            <w:vAlign w:val="center"/>
          </w:tcPr>
          <w:p>
            <w:pPr>
              <w:pStyle w:val="13"/>
            </w:pPr>
            <w:r>
              <w:t>信息化平台可持续使用年限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预算单位业务人员满意度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8、业务运转经费绩效目标表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13052926P00005510526Q</w:t>
            </w:r>
          </w:p>
        </w:tc>
        <w:tc>
          <w:tcPr>
            <w:tcW w:w="2835" w:type="dxa"/>
            <w:vAlign w:val="center"/>
          </w:tcPr>
          <w:p>
            <w:pPr>
              <w:pStyle w:val="11"/>
            </w:pPr>
            <w:r>
              <w:t>项目名称</w:t>
            </w:r>
          </w:p>
        </w:tc>
        <w:tc>
          <w:tcPr>
            <w:tcW w:w="6095" w:type="dxa"/>
            <w:gridSpan w:val="3"/>
            <w:vAlign w:val="center"/>
          </w:tcPr>
          <w:p>
            <w:pPr>
              <w:pStyle w:val="13"/>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42.13</w:t>
            </w:r>
          </w:p>
        </w:tc>
        <w:tc>
          <w:tcPr>
            <w:tcW w:w="2835" w:type="dxa"/>
            <w:vAlign w:val="center"/>
          </w:tcPr>
          <w:p>
            <w:pPr>
              <w:pStyle w:val="11"/>
            </w:pPr>
            <w:r>
              <w:t>其中：财政    资金</w:t>
            </w:r>
          </w:p>
        </w:tc>
        <w:tc>
          <w:tcPr>
            <w:tcW w:w="2551" w:type="dxa"/>
            <w:vAlign w:val="center"/>
          </w:tcPr>
          <w:p>
            <w:pPr>
              <w:pStyle w:val="13"/>
            </w:pPr>
            <w:r>
              <w:t>42.13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根据工作需要，合理购置办公设备，委托第三方开展业务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42.13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1.根据工作需要，合理购置办公设备，购置办公设备次数不超过6次，保障质量合格率达100%，提高工作效率</w:t>
            </w:r>
          </w:p>
          <w:p>
            <w:pPr>
              <w:pStyle w:val="13"/>
            </w:pPr>
            <w:r>
              <w:t>2.委托第三方开展业务，每年度委托第三方开展业务不超过5次，要求服务高质量高时效，确保各项工作正常开展</w:t>
            </w:r>
          </w:p>
          <w:p>
            <w:pPr>
              <w:pStyle w:val="13"/>
            </w:pPr>
            <w:r>
              <w:t>3.切实提高单位85名人员办公效率和单位各项工作稳定开展，提高工作完成质量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购置办公设备次数</w:t>
            </w:r>
          </w:p>
        </w:tc>
        <w:tc>
          <w:tcPr>
            <w:tcW w:w="5386" w:type="dxa"/>
            <w:vAlign w:val="center"/>
          </w:tcPr>
          <w:p>
            <w:pPr>
              <w:pStyle w:val="13"/>
            </w:pPr>
            <w:r>
              <w:t>购置办公设备次数</w:t>
            </w:r>
          </w:p>
        </w:tc>
        <w:tc>
          <w:tcPr>
            <w:tcW w:w="2268" w:type="dxa"/>
            <w:vAlign w:val="center"/>
          </w:tcPr>
          <w:p>
            <w:pPr>
              <w:pStyle w:val="13"/>
            </w:pPr>
            <w:r>
              <w:t>≤6次</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委托第三方开展业务次数</w:t>
            </w:r>
          </w:p>
        </w:tc>
        <w:tc>
          <w:tcPr>
            <w:tcW w:w="5386" w:type="dxa"/>
            <w:vAlign w:val="center"/>
          </w:tcPr>
          <w:p>
            <w:pPr>
              <w:pStyle w:val="13"/>
            </w:pPr>
            <w:r>
              <w:t>委托第三方开展业务次数</w:t>
            </w:r>
          </w:p>
        </w:tc>
        <w:tc>
          <w:tcPr>
            <w:tcW w:w="2268" w:type="dxa"/>
            <w:vAlign w:val="center"/>
          </w:tcPr>
          <w:p>
            <w:pPr>
              <w:pStyle w:val="13"/>
            </w:pPr>
            <w:r>
              <w:t>≤5次</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办公设备质量合格率</w:t>
            </w:r>
          </w:p>
        </w:tc>
        <w:tc>
          <w:tcPr>
            <w:tcW w:w="5386" w:type="dxa"/>
            <w:vAlign w:val="center"/>
          </w:tcPr>
          <w:p>
            <w:pPr>
              <w:pStyle w:val="13"/>
            </w:pPr>
            <w:r>
              <w:t>办公设备质量合格率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第三方机构服务质量合格率</w:t>
            </w:r>
          </w:p>
        </w:tc>
        <w:tc>
          <w:tcPr>
            <w:tcW w:w="5386" w:type="dxa"/>
            <w:vAlign w:val="center"/>
          </w:tcPr>
          <w:p>
            <w:pPr>
              <w:pStyle w:val="13"/>
            </w:pPr>
            <w:r>
              <w:t>委托第三方机构服务质量合格率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办公设备购置及时率</w:t>
            </w:r>
          </w:p>
        </w:tc>
        <w:tc>
          <w:tcPr>
            <w:tcW w:w="5386" w:type="dxa"/>
            <w:vAlign w:val="center"/>
          </w:tcPr>
          <w:p>
            <w:pPr>
              <w:pStyle w:val="13"/>
            </w:pPr>
            <w:r>
              <w:t>办公设备购置及时率</w:t>
            </w:r>
          </w:p>
        </w:tc>
        <w:tc>
          <w:tcPr>
            <w:tcW w:w="2268" w:type="dxa"/>
            <w:vAlign w:val="center"/>
          </w:tcPr>
          <w:p>
            <w:pPr>
              <w:pStyle w:val="13"/>
            </w:pPr>
            <w:r>
              <w:t>≥90%</w:t>
            </w:r>
          </w:p>
        </w:tc>
        <w:tc>
          <w:tcPr>
            <w:tcW w:w="1276" w:type="dxa"/>
            <w:vAlign w:val="center"/>
          </w:tcPr>
          <w:p>
            <w:pPr>
              <w:pStyle w:val="13"/>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委托第三方业务完成及时率</w:t>
            </w:r>
          </w:p>
        </w:tc>
        <w:tc>
          <w:tcPr>
            <w:tcW w:w="5386" w:type="dxa"/>
            <w:vAlign w:val="center"/>
          </w:tcPr>
          <w:p>
            <w:pPr>
              <w:pStyle w:val="13"/>
            </w:pPr>
            <w:r>
              <w:t>委托第三方业务完成及时率</w:t>
            </w:r>
          </w:p>
        </w:tc>
        <w:tc>
          <w:tcPr>
            <w:tcW w:w="2268" w:type="dxa"/>
            <w:vAlign w:val="center"/>
          </w:tcPr>
          <w:p>
            <w:pPr>
              <w:pStyle w:val="13"/>
            </w:pPr>
            <w:r>
              <w:t>≥90%</w:t>
            </w:r>
          </w:p>
        </w:tc>
        <w:tc>
          <w:tcPr>
            <w:tcW w:w="1276" w:type="dxa"/>
            <w:vAlign w:val="center"/>
          </w:tcPr>
          <w:p>
            <w:pPr>
              <w:pStyle w:val="13"/>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购置打印纸成本</w:t>
            </w:r>
          </w:p>
        </w:tc>
        <w:tc>
          <w:tcPr>
            <w:tcW w:w="5386" w:type="dxa"/>
            <w:vAlign w:val="center"/>
          </w:tcPr>
          <w:p>
            <w:pPr>
              <w:pStyle w:val="13"/>
            </w:pPr>
            <w:r>
              <w:t>购置办公所需打印纸总成本</w:t>
            </w:r>
          </w:p>
        </w:tc>
        <w:tc>
          <w:tcPr>
            <w:tcW w:w="2268" w:type="dxa"/>
            <w:vAlign w:val="center"/>
          </w:tcPr>
          <w:p>
            <w:pPr>
              <w:pStyle w:val="13"/>
            </w:pPr>
            <w:r>
              <w:t>≤2万元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委托第三方服务预算数</w:t>
            </w:r>
          </w:p>
        </w:tc>
        <w:tc>
          <w:tcPr>
            <w:tcW w:w="5386" w:type="dxa"/>
            <w:vAlign w:val="center"/>
          </w:tcPr>
          <w:p>
            <w:pPr>
              <w:pStyle w:val="13"/>
            </w:pPr>
            <w:r>
              <w:t>委托第三方服务预算数</w:t>
            </w:r>
          </w:p>
        </w:tc>
        <w:tc>
          <w:tcPr>
            <w:tcW w:w="2268" w:type="dxa"/>
            <w:vAlign w:val="center"/>
          </w:tcPr>
          <w:p>
            <w:pPr>
              <w:pStyle w:val="13"/>
            </w:pPr>
            <w:r>
              <w:t>≤33.23万元</w:t>
            </w:r>
          </w:p>
        </w:tc>
        <w:tc>
          <w:tcPr>
            <w:tcW w:w="1276" w:type="dxa"/>
            <w:vAlign w:val="center"/>
          </w:tcPr>
          <w:p>
            <w:pPr>
              <w:pStyle w:val="13"/>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办公效率提升率</w:t>
            </w:r>
          </w:p>
        </w:tc>
        <w:tc>
          <w:tcPr>
            <w:tcW w:w="5386" w:type="dxa"/>
            <w:vAlign w:val="center"/>
          </w:tcPr>
          <w:p>
            <w:pPr>
              <w:pStyle w:val="13"/>
            </w:pPr>
            <w:r>
              <w:t>办公设备购置后单位人员办公效率提升率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购置设备可持续使用年限</w:t>
            </w:r>
          </w:p>
        </w:tc>
        <w:tc>
          <w:tcPr>
            <w:tcW w:w="5386" w:type="dxa"/>
            <w:vAlign w:val="center"/>
          </w:tcPr>
          <w:p>
            <w:pPr>
              <w:pStyle w:val="13"/>
            </w:pPr>
            <w:r>
              <w:t>购置设备可持续使用年限</w:t>
            </w:r>
          </w:p>
        </w:tc>
        <w:tc>
          <w:tcPr>
            <w:tcW w:w="2268" w:type="dxa"/>
            <w:vAlign w:val="center"/>
          </w:tcPr>
          <w:p>
            <w:pPr>
              <w:pStyle w:val="13"/>
            </w:pPr>
            <w:r>
              <w:t>≥6年</w:t>
            </w:r>
          </w:p>
        </w:tc>
        <w:tc>
          <w:tcPr>
            <w:tcW w:w="1276" w:type="dxa"/>
            <w:vAlign w:val="center"/>
          </w:tcPr>
          <w:p>
            <w:pPr>
              <w:pStyle w:val="13"/>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调查中满意的人数占总调查人数的比例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9、预算绩效和财会监督业务经费绩效目标表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13052926P000005100047</w:t>
            </w:r>
          </w:p>
        </w:tc>
        <w:tc>
          <w:tcPr>
            <w:tcW w:w="2835" w:type="dxa"/>
            <w:vAlign w:val="center"/>
          </w:tcPr>
          <w:p>
            <w:pPr>
              <w:pStyle w:val="11"/>
            </w:pPr>
            <w:r>
              <w:t>项目名称</w:t>
            </w:r>
          </w:p>
        </w:tc>
        <w:tc>
          <w:tcPr>
            <w:tcW w:w="6095" w:type="dxa"/>
            <w:gridSpan w:val="3"/>
            <w:vAlign w:val="center"/>
          </w:tcPr>
          <w:p>
            <w:pPr>
              <w:pStyle w:val="13"/>
            </w:pPr>
            <w:r>
              <w:t>预算绩效和财会监督业务经费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通过开展不少于4个项目重点绩效评价和监督检查，切实规范预算单位的财务管理行为，为全县财政管理工作提质增效。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 xml:space="preserve"> </w:t>
            </w:r>
          </w:p>
        </w:tc>
        <w:tc>
          <w:tcPr>
            <w:tcW w:w="3544" w:type="dxa"/>
            <w:gridSpan w:val="2"/>
            <w:vAlign w:val="center"/>
          </w:tcPr>
          <w:p>
            <w:pPr>
              <w:pStyle w:val="14"/>
            </w:pPr>
            <w:r>
              <w:t>58.00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1.通过开展委托业务，保障绩效评价工作开展及时率达100%，保障各项工作顺利进行。</w:t>
            </w:r>
          </w:p>
          <w:p>
            <w:pPr>
              <w:pStyle w:val="13"/>
            </w:pPr>
            <w:r>
              <w:t>2.第三方服务机构实施期间流程合规性达100%，促进绩效评价工作更加高效，安全。</w:t>
            </w:r>
          </w:p>
          <w:p>
            <w:pPr>
              <w:pStyle w:val="13"/>
            </w:pPr>
            <w:r>
              <w:t>3.通过开展不少于4个项目重点绩效评价和监督检查，切实规范预算单位的财务管理行为，为全县财政管理工作提质增效。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开展项目数</w:t>
            </w:r>
          </w:p>
        </w:tc>
        <w:tc>
          <w:tcPr>
            <w:tcW w:w="5386" w:type="dxa"/>
            <w:vAlign w:val="center"/>
          </w:tcPr>
          <w:p>
            <w:pPr>
              <w:pStyle w:val="13"/>
            </w:pPr>
            <w:r>
              <w:t>年度开展重点绩效评价和监督检查项目数</w:t>
            </w:r>
          </w:p>
        </w:tc>
        <w:tc>
          <w:tcPr>
            <w:tcW w:w="2268" w:type="dxa"/>
            <w:vAlign w:val="center"/>
          </w:tcPr>
          <w:p>
            <w:pPr>
              <w:pStyle w:val="13"/>
            </w:pPr>
            <w:r>
              <w:t>≥4个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项目实施流程合规性</w:t>
            </w:r>
          </w:p>
        </w:tc>
        <w:tc>
          <w:tcPr>
            <w:tcW w:w="5386" w:type="dxa"/>
            <w:vAlign w:val="center"/>
          </w:tcPr>
          <w:p>
            <w:pPr>
              <w:pStyle w:val="13"/>
            </w:pPr>
            <w:r>
              <w:t>第三方服务机构实施期间流程合规性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委托第三方所需要的成本</w:t>
            </w:r>
          </w:p>
        </w:tc>
        <w:tc>
          <w:tcPr>
            <w:tcW w:w="5386" w:type="dxa"/>
            <w:vAlign w:val="center"/>
          </w:tcPr>
          <w:p>
            <w:pPr>
              <w:pStyle w:val="13"/>
            </w:pPr>
            <w:r>
              <w:t>委托第三方所需要的成本</w:t>
            </w:r>
          </w:p>
        </w:tc>
        <w:tc>
          <w:tcPr>
            <w:tcW w:w="2268" w:type="dxa"/>
            <w:vAlign w:val="center"/>
          </w:tcPr>
          <w:p>
            <w:pPr>
              <w:pStyle w:val="13"/>
            </w:pPr>
            <w:r>
              <w:t>≤58万元</w:t>
            </w:r>
          </w:p>
        </w:tc>
        <w:tc>
          <w:tcPr>
            <w:tcW w:w="1276" w:type="dxa"/>
            <w:vAlign w:val="center"/>
          </w:tcPr>
          <w:p>
            <w:pPr>
              <w:pStyle w:val="13"/>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绩效管理水平提升率</w:t>
            </w:r>
          </w:p>
        </w:tc>
        <w:tc>
          <w:tcPr>
            <w:tcW w:w="5386" w:type="dxa"/>
            <w:vAlign w:val="center"/>
          </w:tcPr>
          <w:p>
            <w:pPr>
              <w:pStyle w:val="13"/>
            </w:pPr>
            <w:r>
              <w:t>开展此项业务后绩效管理水平的提升率</w:t>
            </w:r>
          </w:p>
        </w:tc>
        <w:tc>
          <w:tcPr>
            <w:tcW w:w="2268" w:type="dxa"/>
            <w:vAlign w:val="center"/>
          </w:tcPr>
          <w:p>
            <w:pPr>
              <w:pStyle w:val="13"/>
            </w:pPr>
            <w:r>
              <w:t>≥50%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绩效管理水平长期稳定年限</w:t>
            </w:r>
          </w:p>
        </w:tc>
        <w:tc>
          <w:tcPr>
            <w:tcW w:w="5386" w:type="dxa"/>
            <w:vAlign w:val="center"/>
          </w:tcPr>
          <w:p>
            <w:pPr>
              <w:pStyle w:val="13"/>
            </w:pPr>
            <w:r>
              <w:t>开展项目绩效评价项目后保障绩效管理水平稳定提升年限</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项目单位满意度</w:t>
            </w:r>
          </w:p>
        </w:tc>
        <w:tc>
          <w:tcPr>
            <w:tcW w:w="5386" w:type="dxa"/>
            <w:vAlign w:val="center"/>
          </w:tcPr>
          <w:p>
            <w:pPr>
              <w:pStyle w:val="13"/>
            </w:pPr>
            <w:r>
              <w:t>项目单位对第三方工作的满意度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10、运转经费绩效目标表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13052926P000055105326</w:t>
            </w:r>
          </w:p>
        </w:tc>
        <w:tc>
          <w:tcPr>
            <w:tcW w:w="2835" w:type="dxa"/>
            <w:vAlign w:val="center"/>
          </w:tcPr>
          <w:p>
            <w:pPr>
              <w:pStyle w:val="11"/>
            </w:pPr>
            <w:r>
              <w:t>项目名称</w:t>
            </w:r>
          </w:p>
        </w:tc>
        <w:tc>
          <w:tcPr>
            <w:tcW w:w="6095" w:type="dxa"/>
            <w:gridSpan w:val="3"/>
            <w:vAlign w:val="center"/>
          </w:tcPr>
          <w:p>
            <w:pPr>
              <w:pStyle w:val="13"/>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21.13</w:t>
            </w:r>
          </w:p>
        </w:tc>
        <w:tc>
          <w:tcPr>
            <w:tcW w:w="2835" w:type="dxa"/>
            <w:vAlign w:val="center"/>
          </w:tcPr>
          <w:p>
            <w:pPr>
              <w:pStyle w:val="11"/>
            </w:pPr>
            <w:r>
              <w:t>其中：财政    资金</w:t>
            </w:r>
          </w:p>
        </w:tc>
        <w:tc>
          <w:tcPr>
            <w:tcW w:w="2551" w:type="dxa"/>
            <w:vAlign w:val="center"/>
          </w:tcPr>
          <w:p>
            <w:pPr>
              <w:pStyle w:val="13"/>
            </w:pPr>
            <w:r>
              <w:t>21.13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12月底前完成财政局办公楼租赁费的缴纳，保障正常的办公运转。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21.13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1.通过签订合同，确保单位重点工作的完成时效。</w:t>
            </w:r>
          </w:p>
          <w:p>
            <w:pPr>
              <w:pStyle w:val="13"/>
            </w:pPr>
            <w:r>
              <w:t>2.通过租赁办公用房，保障单位81名工作人员工作正常进行。</w:t>
            </w:r>
          </w:p>
          <w:p>
            <w:pPr>
              <w:pStyle w:val="13"/>
            </w:pPr>
            <w:r>
              <w:t>3.12月底前完成财政局办公楼租赁费的缴纳，保障正常的办公运转。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租赁办公用房面积</w:t>
            </w:r>
          </w:p>
        </w:tc>
        <w:tc>
          <w:tcPr>
            <w:tcW w:w="5386" w:type="dxa"/>
            <w:vAlign w:val="center"/>
          </w:tcPr>
          <w:p>
            <w:pPr>
              <w:pStyle w:val="13"/>
            </w:pPr>
            <w:r>
              <w:t>租赁办公用房面积</w:t>
            </w:r>
          </w:p>
        </w:tc>
        <w:tc>
          <w:tcPr>
            <w:tcW w:w="2268" w:type="dxa"/>
            <w:vAlign w:val="center"/>
          </w:tcPr>
          <w:p>
            <w:pPr>
              <w:pStyle w:val="13"/>
            </w:pPr>
            <w:r>
              <w:t>≥2113.24平方米</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办公用房功能设施完备率</w:t>
            </w:r>
          </w:p>
        </w:tc>
        <w:tc>
          <w:tcPr>
            <w:tcW w:w="5386" w:type="dxa"/>
            <w:vAlign w:val="center"/>
          </w:tcPr>
          <w:p>
            <w:pPr>
              <w:pStyle w:val="13"/>
            </w:pPr>
            <w:r>
              <w:t>办公用房功能设施完备率</w:t>
            </w:r>
          </w:p>
        </w:tc>
        <w:tc>
          <w:tcPr>
            <w:tcW w:w="2268" w:type="dxa"/>
            <w:vAlign w:val="center"/>
          </w:tcPr>
          <w:p>
            <w:pPr>
              <w:pStyle w:val="13"/>
            </w:pPr>
            <w:r>
              <w:t>100%</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租用办公用房合同签订时间</w:t>
            </w:r>
          </w:p>
        </w:tc>
        <w:tc>
          <w:tcPr>
            <w:tcW w:w="5386" w:type="dxa"/>
            <w:vAlign w:val="center"/>
          </w:tcPr>
          <w:p>
            <w:pPr>
              <w:pStyle w:val="13"/>
            </w:pPr>
            <w:r>
              <w:t>租用办公用房合同签订时间</w:t>
            </w:r>
          </w:p>
        </w:tc>
        <w:tc>
          <w:tcPr>
            <w:tcW w:w="2268" w:type="dxa"/>
            <w:vAlign w:val="center"/>
          </w:tcPr>
          <w:p>
            <w:pPr>
              <w:pStyle w:val="13"/>
            </w:pPr>
            <w:r>
              <w:t>12月底前</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租用办公用房单位面积租金</w:t>
            </w:r>
          </w:p>
        </w:tc>
        <w:tc>
          <w:tcPr>
            <w:tcW w:w="5386" w:type="dxa"/>
            <w:vAlign w:val="center"/>
          </w:tcPr>
          <w:p>
            <w:pPr>
              <w:pStyle w:val="13"/>
            </w:pPr>
            <w:r>
              <w:t>租赁办公楼资金成本</w:t>
            </w:r>
          </w:p>
        </w:tc>
        <w:tc>
          <w:tcPr>
            <w:tcW w:w="2268" w:type="dxa"/>
            <w:vAlign w:val="center"/>
          </w:tcPr>
          <w:p>
            <w:pPr>
              <w:pStyle w:val="13"/>
            </w:pPr>
            <w:r>
              <w:t>≤21.14万元</w:t>
            </w:r>
          </w:p>
        </w:tc>
        <w:tc>
          <w:tcPr>
            <w:tcW w:w="1276" w:type="dxa"/>
            <w:vAlign w:val="center"/>
          </w:tcPr>
          <w:p>
            <w:pPr>
              <w:pStyle w:val="13"/>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保障单位工作人员人数</w:t>
            </w:r>
          </w:p>
        </w:tc>
        <w:tc>
          <w:tcPr>
            <w:tcW w:w="5386" w:type="dxa"/>
            <w:vAlign w:val="center"/>
          </w:tcPr>
          <w:p>
            <w:pPr>
              <w:pStyle w:val="13"/>
            </w:pPr>
            <w:r>
              <w:t>保障人数</w:t>
            </w:r>
          </w:p>
        </w:tc>
        <w:tc>
          <w:tcPr>
            <w:tcW w:w="2268" w:type="dxa"/>
            <w:vAlign w:val="center"/>
          </w:tcPr>
          <w:p>
            <w:pPr>
              <w:pStyle w:val="13"/>
            </w:pPr>
            <w:r>
              <w:t>≥81人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单位正常运转时限</w:t>
            </w:r>
          </w:p>
        </w:tc>
        <w:tc>
          <w:tcPr>
            <w:tcW w:w="5386" w:type="dxa"/>
            <w:vAlign w:val="center"/>
          </w:tcPr>
          <w:p>
            <w:pPr>
              <w:pStyle w:val="13"/>
            </w:pPr>
            <w:r>
              <w:t>单位正常运转时限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满意和较满意数占总数的比率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318巨鹿县财政局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37.00</w:t>
            </w:r>
          </w:p>
        </w:tc>
        <w:tc>
          <w:tcPr>
            <w:tcW w:w="964" w:type="dxa"/>
            <w:vAlign w:val="center"/>
          </w:tcPr>
          <w:p>
            <w:pPr>
              <w:pStyle w:val="16"/>
            </w:pPr>
            <w:r>
              <w:t>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巨鹿县财政局本级小计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37.00</w:t>
            </w:r>
          </w:p>
        </w:tc>
        <w:tc>
          <w:tcPr>
            <w:tcW w:w="964" w:type="dxa"/>
            <w:vAlign w:val="center"/>
          </w:tcPr>
          <w:p>
            <w:pPr>
              <w:pStyle w:val="16"/>
            </w:pPr>
            <w:r>
              <w:t>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财政运行经费</w:t>
            </w:r>
          </w:p>
        </w:tc>
        <w:tc>
          <w:tcPr>
            <w:tcW w:w="964" w:type="dxa"/>
            <w:vAlign w:val="center"/>
          </w:tcPr>
          <w:p>
            <w:pPr>
              <w:pStyle w:val="12"/>
            </w:pPr>
            <w:r>
              <w:t>95.00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27.00</w:t>
            </w:r>
          </w:p>
        </w:tc>
        <w:tc>
          <w:tcPr>
            <w:tcW w:w="964" w:type="dxa"/>
            <w:vAlign w:val="center"/>
          </w:tcPr>
          <w:p>
            <w:pPr>
              <w:pStyle w:val="12"/>
            </w:pPr>
            <w:r>
              <w:t>27.00</w:t>
            </w:r>
          </w:p>
        </w:tc>
        <w:tc>
          <w:tcPr>
            <w:tcW w:w="964" w:type="dxa"/>
            <w:vAlign w:val="center"/>
          </w:tcPr>
          <w:p>
            <w:pPr>
              <w:pStyle w:val="12"/>
            </w:pPr>
            <w:r>
              <w:t>27.00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信息化建设经费</w:t>
            </w:r>
          </w:p>
        </w:tc>
        <w:tc>
          <w:tcPr>
            <w:tcW w:w="964" w:type="dxa"/>
            <w:vAlign w:val="center"/>
          </w:tcPr>
          <w:p>
            <w:pPr>
              <w:pStyle w:val="12"/>
            </w:pPr>
            <w:r>
              <w:t>42.07</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个</w:t>
            </w:r>
          </w:p>
        </w:tc>
        <w:tc>
          <w:tcPr>
            <w:tcW w:w="850" w:type="dxa"/>
            <w:vAlign w:val="center"/>
          </w:tcPr>
          <w:p>
            <w:pPr>
              <w:pStyle w:val="12"/>
            </w:pPr>
            <w:r>
              <w:t>25</w:t>
            </w:r>
          </w:p>
        </w:tc>
        <w:tc>
          <w:tcPr>
            <w:tcW w:w="850" w:type="dxa"/>
            <w:vAlign w:val="center"/>
          </w:tcPr>
          <w:p>
            <w:pPr>
              <w:pStyle w:val="12"/>
            </w:pPr>
            <w:r>
              <w:t>0.04</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0.33</w:t>
            </w:r>
          </w:p>
        </w:tc>
        <w:tc>
          <w:tcPr>
            <w:tcW w:w="964" w:type="dxa"/>
            <w:vAlign w:val="center"/>
          </w:tcPr>
          <w:p>
            <w:pPr>
              <w:pStyle w:val="12"/>
            </w:pPr>
            <w:r>
              <w:t>0.66</w:t>
            </w:r>
          </w:p>
        </w:tc>
        <w:tc>
          <w:tcPr>
            <w:tcW w:w="964" w:type="dxa"/>
            <w:vAlign w:val="center"/>
          </w:tcPr>
          <w:p>
            <w:pPr>
              <w:pStyle w:val="12"/>
            </w:pPr>
            <w:r>
              <w:t>0.66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其他用具</w:t>
            </w:r>
          </w:p>
        </w:tc>
        <w:tc>
          <w:tcPr>
            <w:tcW w:w="1134" w:type="dxa"/>
            <w:vAlign w:val="center"/>
          </w:tcPr>
          <w:p>
            <w:pPr>
              <w:pStyle w:val="13"/>
            </w:pPr>
            <w:r>
              <w:t>A05029900</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0.36</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业务运转经费</w:t>
            </w:r>
          </w:p>
        </w:tc>
        <w:tc>
          <w:tcPr>
            <w:tcW w:w="964" w:type="dxa"/>
            <w:vAlign w:val="center"/>
          </w:tcPr>
          <w:p>
            <w:pPr>
              <w:pStyle w:val="12"/>
            </w:pPr>
            <w:r>
              <w:t>42.13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w:t>
            </w:r>
          </w:p>
        </w:tc>
        <w:tc>
          <w:tcPr>
            <w:tcW w:w="850" w:type="dxa"/>
            <w:vAlign w:val="center"/>
          </w:tcPr>
          <w:p>
            <w:pPr>
              <w:pStyle w:val="12"/>
            </w:pPr>
            <w:r>
              <w:t>1.00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巨鹿县财政局（含所属单位）上年末固定资产金额为17.96万元（详见下表）。本年度拟购置固定资产总额为5.00万元，已按要求列入政府采购预算，详见政府采购预算表。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318巨鹿县财政局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E34F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3</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2026-02-13T10:14:00Z</dcterms:created>
  <dc:creator>Administrator</dc:creator>
  <cp:lastModifiedBy>Administrator</cp:lastModifiedBy>
  <dcterms:modified xsi:type="dcterms:W3CDTF">2026-02-13T02:28:24Z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