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1599.59</w:t>
            </w:r>
          </w:p>
        </w:tc>
        <w:tc>
          <w:tcPr>
            <w:tcW w:w="4535" w:type="dxa"/>
            <w:vAlign w:val="center"/>
          </w:tcPr>
          <w:p>
            <w:pPr>
              <w:pStyle w:val="13"/>
            </w:pPr>
            <w:r>
              <w:t>一、一般公共服务支出</w:t>
            </w:r>
          </w:p>
        </w:tc>
        <w:tc>
          <w:tcPr>
            <w:tcW w:w="2126" w:type="dxa"/>
            <w:vAlign w:val="center"/>
          </w:tcPr>
          <w:p>
            <w:pPr>
              <w:pStyle w:val="12"/>
            </w:pPr>
            <w:r>
              <w:t>1599.59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1599.59</w:t>
            </w:r>
          </w:p>
        </w:tc>
        <w:tc>
          <w:tcPr>
            <w:tcW w:w="4535" w:type="dxa"/>
            <w:vAlign w:val="center"/>
          </w:tcPr>
          <w:p>
            <w:pPr>
              <w:pStyle w:val="15"/>
            </w:pPr>
            <w:r>
              <w:t>本年支出合计</w:t>
            </w:r>
          </w:p>
        </w:tc>
        <w:tc>
          <w:tcPr>
            <w:tcW w:w="2126" w:type="dxa"/>
            <w:vAlign w:val="center"/>
          </w:tcPr>
          <w:p>
            <w:pPr>
              <w:pStyle w:val="16"/>
            </w:pPr>
            <w:r>
              <w:t>1599.59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1599.59</w:t>
            </w:r>
          </w:p>
        </w:tc>
        <w:tc>
          <w:tcPr>
            <w:tcW w:w="4535" w:type="dxa"/>
            <w:vAlign w:val="center"/>
          </w:tcPr>
          <w:p>
            <w:pPr>
              <w:pStyle w:val="15"/>
            </w:pPr>
            <w:r>
              <w:t>支出总计</w:t>
            </w:r>
          </w:p>
        </w:tc>
        <w:tc>
          <w:tcPr>
            <w:tcW w:w="2126" w:type="dxa"/>
            <w:vAlign w:val="center"/>
          </w:tcPr>
          <w:p>
            <w:pPr>
              <w:pStyle w:val="16"/>
            </w:pPr>
            <w:r>
              <w:t>1599.59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222中共巨鹿县纪律检查委员会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1599.59</w:t>
            </w:r>
          </w:p>
        </w:tc>
        <w:tc>
          <w:tcPr>
            <w:tcW w:w="1134" w:type="dxa"/>
            <w:vAlign w:val="center"/>
          </w:tcPr>
          <w:p>
            <w:pPr>
              <w:pStyle w:val="16"/>
            </w:pPr>
            <w:r>
              <w:t>1599.59</w:t>
            </w:r>
          </w:p>
        </w:tc>
        <w:tc>
          <w:tcPr>
            <w:tcW w:w="1134" w:type="dxa"/>
            <w:vAlign w:val="center"/>
          </w:tcPr>
          <w:p>
            <w:pPr>
              <w:pStyle w:val="16"/>
            </w:pPr>
            <w:r>
              <w:t>1599.59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1599.59</w:t>
            </w:r>
          </w:p>
        </w:tc>
        <w:tc>
          <w:tcPr>
            <w:tcW w:w="1134" w:type="dxa"/>
            <w:vAlign w:val="center"/>
          </w:tcPr>
          <w:p>
            <w:pPr>
              <w:pStyle w:val="12"/>
            </w:pPr>
            <w:r>
              <w:t>1599.59</w:t>
            </w:r>
          </w:p>
        </w:tc>
        <w:tc>
          <w:tcPr>
            <w:tcW w:w="1134" w:type="dxa"/>
            <w:vAlign w:val="center"/>
          </w:tcPr>
          <w:p>
            <w:pPr>
              <w:pStyle w:val="12"/>
            </w:pPr>
            <w:r>
              <w:t>1599.59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1599.59</w:t>
            </w:r>
          </w:p>
        </w:tc>
        <w:tc>
          <w:tcPr>
            <w:tcW w:w="1134" w:type="dxa"/>
            <w:vAlign w:val="center"/>
          </w:tcPr>
          <w:p>
            <w:pPr>
              <w:pStyle w:val="12"/>
            </w:pPr>
            <w:r>
              <w:t>1599.59</w:t>
            </w:r>
          </w:p>
        </w:tc>
        <w:tc>
          <w:tcPr>
            <w:tcW w:w="1134" w:type="dxa"/>
            <w:vAlign w:val="center"/>
          </w:tcPr>
          <w:p>
            <w:pPr>
              <w:pStyle w:val="12"/>
            </w:pPr>
            <w:r>
              <w:t>1599.59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2011101</w:t>
            </w:r>
          </w:p>
        </w:tc>
        <w:tc>
          <w:tcPr>
            <w:tcW w:w="1559" w:type="dxa"/>
            <w:vAlign w:val="center"/>
          </w:tcPr>
          <w:p>
            <w:pPr>
              <w:pStyle w:val="13"/>
            </w:pPr>
            <w:r>
              <w:t>行政运行</w:t>
            </w:r>
          </w:p>
        </w:tc>
        <w:tc>
          <w:tcPr>
            <w:tcW w:w="1134" w:type="dxa"/>
            <w:vAlign w:val="center"/>
          </w:tcPr>
          <w:p>
            <w:pPr>
              <w:pStyle w:val="12"/>
            </w:pPr>
            <w:r>
              <w:t>1270.39</w:t>
            </w:r>
          </w:p>
        </w:tc>
        <w:tc>
          <w:tcPr>
            <w:tcW w:w="1134" w:type="dxa"/>
            <w:vAlign w:val="center"/>
          </w:tcPr>
          <w:p>
            <w:pPr>
              <w:pStyle w:val="12"/>
            </w:pPr>
            <w:r>
              <w:t>1270.39</w:t>
            </w:r>
          </w:p>
        </w:tc>
        <w:tc>
          <w:tcPr>
            <w:tcW w:w="1134" w:type="dxa"/>
            <w:vAlign w:val="center"/>
          </w:tcPr>
          <w:p>
            <w:pPr>
              <w:pStyle w:val="12"/>
            </w:pPr>
            <w:r>
              <w:t>1270.39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308.00</w:t>
            </w:r>
          </w:p>
        </w:tc>
        <w:tc>
          <w:tcPr>
            <w:tcW w:w="1134" w:type="dxa"/>
            <w:vAlign w:val="center"/>
          </w:tcPr>
          <w:p>
            <w:pPr>
              <w:pStyle w:val="12"/>
            </w:pPr>
            <w:r>
              <w:t>308.00</w:t>
            </w:r>
          </w:p>
        </w:tc>
        <w:tc>
          <w:tcPr>
            <w:tcW w:w="1134" w:type="dxa"/>
            <w:vAlign w:val="center"/>
          </w:tcPr>
          <w:p>
            <w:pPr>
              <w:pStyle w:val="12"/>
            </w:pPr>
            <w:r>
              <w:t>308.00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2011199</w:t>
            </w:r>
          </w:p>
        </w:tc>
        <w:tc>
          <w:tcPr>
            <w:tcW w:w="1559" w:type="dxa"/>
            <w:vAlign w:val="center"/>
          </w:tcPr>
          <w:p>
            <w:pPr>
              <w:pStyle w:val="13"/>
            </w:pPr>
            <w:r>
              <w:t>其他纪检监察事务支出</w:t>
            </w:r>
          </w:p>
        </w:tc>
        <w:tc>
          <w:tcPr>
            <w:tcW w:w="1134" w:type="dxa"/>
            <w:vAlign w:val="center"/>
          </w:tcPr>
          <w:p>
            <w:pPr>
              <w:pStyle w:val="12"/>
            </w:pPr>
            <w:r>
              <w:t>21.20</w:t>
            </w:r>
          </w:p>
        </w:tc>
        <w:tc>
          <w:tcPr>
            <w:tcW w:w="1134" w:type="dxa"/>
            <w:vAlign w:val="center"/>
          </w:tcPr>
          <w:p>
            <w:pPr>
              <w:pStyle w:val="12"/>
            </w:pPr>
            <w:r>
              <w:t>21.20</w:t>
            </w:r>
          </w:p>
        </w:tc>
        <w:tc>
          <w:tcPr>
            <w:tcW w:w="1134" w:type="dxa"/>
            <w:vAlign w:val="center"/>
          </w:tcPr>
          <w:p>
            <w:pPr>
              <w:pStyle w:val="12"/>
            </w:pPr>
            <w:r>
              <w:t>21.20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1599.59</w:t>
            </w:r>
          </w:p>
        </w:tc>
        <w:tc>
          <w:tcPr>
            <w:tcW w:w="1361" w:type="dxa"/>
            <w:vAlign w:val="center"/>
          </w:tcPr>
          <w:p>
            <w:pPr>
              <w:pStyle w:val="16"/>
            </w:pPr>
            <w:r>
              <w:t>1265.15</w:t>
            </w:r>
          </w:p>
        </w:tc>
        <w:tc>
          <w:tcPr>
            <w:tcW w:w="1361" w:type="dxa"/>
            <w:vAlign w:val="center"/>
          </w:tcPr>
          <w:p>
            <w:pPr>
              <w:pStyle w:val="16"/>
            </w:pPr>
            <w:r>
              <w:t>334.44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1599.59</w:t>
            </w:r>
          </w:p>
        </w:tc>
        <w:tc>
          <w:tcPr>
            <w:tcW w:w="1361" w:type="dxa"/>
            <w:vAlign w:val="center"/>
          </w:tcPr>
          <w:p>
            <w:pPr>
              <w:pStyle w:val="12"/>
            </w:pPr>
            <w:r>
              <w:t>1265.15</w:t>
            </w:r>
          </w:p>
        </w:tc>
        <w:tc>
          <w:tcPr>
            <w:tcW w:w="1361" w:type="dxa"/>
            <w:vAlign w:val="center"/>
          </w:tcPr>
          <w:p>
            <w:pPr>
              <w:pStyle w:val="12"/>
            </w:pPr>
            <w:r>
              <w:t>334.44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1599.59</w:t>
            </w:r>
          </w:p>
        </w:tc>
        <w:tc>
          <w:tcPr>
            <w:tcW w:w="1361" w:type="dxa"/>
            <w:vAlign w:val="center"/>
          </w:tcPr>
          <w:p>
            <w:pPr>
              <w:pStyle w:val="12"/>
            </w:pPr>
            <w:r>
              <w:t>1265.15</w:t>
            </w:r>
          </w:p>
        </w:tc>
        <w:tc>
          <w:tcPr>
            <w:tcW w:w="1361" w:type="dxa"/>
            <w:vAlign w:val="center"/>
          </w:tcPr>
          <w:p>
            <w:pPr>
              <w:pStyle w:val="12"/>
            </w:pPr>
            <w:r>
              <w:t>334.44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2011101</w:t>
            </w:r>
          </w:p>
        </w:tc>
        <w:tc>
          <w:tcPr>
            <w:tcW w:w="4535" w:type="dxa"/>
            <w:vAlign w:val="center"/>
          </w:tcPr>
          <w:p>
            <w:pPr>
              <w:pStyle w:val="13"/>
            </w:pPr>
            <w:r>
              <w:t>行政运行</w:t>
            </w:r>
          </w:p>
        </w:tc>
        <w:tc>
          <w:tcPr>
            <w:tcW w:w="1361" w:type="dxa"/>
            <w:vAlign w:val="center"/>
          </w:tcPr>
          <w:p>
            <w:pPr>
              <w:pStyle w:val="12"/>
            </w:pPr>
            <w:r>
              <w:t>1270.39</w:t>
            </w:r>
          </w:p>
        </w:tc>
        <w:tc>
          <w:tcPr>
            <w:tcW w:w="1361" w:type="dxa"/>
            <w:vAlign w:val="center"/>
          </w:tcPr>
          <w:p>
            <w:pPr>
              <w:pStyle w:val="12"/>
            </w:pPr>
            <w:r>
              <w:t>1265.15</w:t>
            </w:r>
          </w:p>
        </w:tc>
        <w:tc>
          <w:tcPr>
            <w:tcW w:w="1361" w:type="dxa"/>
            <w:vAlign w:val="center"/>
          </w:tcPr>
          <w:p>
            <w:pPr>
              <w:pStyle w:val="12"/>
            </w:pPr>
            <w:r>
              <w:t>5.24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308.00</w:t>
            </w:r>
          </w:p>
        </w:tc>
        <w:tc>
          <w:tcPr>
            <w:tcW w:w="1361" w:type="dxa"/>
            <w:vAlign w:val="center"/>
          </w:tcPr>
          <w:p>
            <w:pPr>
              <w:pStyle w:val="12"/>
            </w:pPr>
          </w:p>
        </w:tc>
        <w:tc>
          <w:tcPr>
            <w:tcW w:w="1361" w:type="dxa"/>
            <w:vAlign w:val="center"/>
          </w:tcPr>
          <w:p>
            <w:pPr>
              <w:pStyle w:val="12"/>
            </w:pPr>
            <w:r>
              <w:t>308.00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2011199</w:t>
            </w:r>
          </w:p>
        </w:tc>
        <w:tc>
          <w:tcPr>
            <w:tcW w:w="4535" w:type="dxa"/>
            <w:vAlign w:val="center"/>
          </w:tcPr>
          <w:p>
            <w:pPr>
              <w:pStyle w:val="13"/>
            </w:pPr>
            <w:r>
              <w:t>其他纪检监察事务支出</w:t>
            </w:r>
          </w:p>
        </w:tc>
        <w:tc>
          <w:tcPr>
            <w:tcW w:w="1361" w:type="dxa"/>
            <w:vAlign w:val="center"/>
          </w:tcPr>
          <w:p>
            <w:pPr>
              <w:pStyle w:val="12"/>
            </w:pPr>
            <w:r>
              <w:t>21.20</w:t>
            </w:r>
          </w:p>
        </w:tc>
        <w:tc>
          <w:tcPr>
            <w:tcW w:w="1361" w:type="dxa"/>
            <w:vAlign w:val="center"/>
          </w:tcPr>
          <w:p>
            <w:pPr>
              <w:pStyle w:val="12"/>
            </w:pPr>
          </w:p>
        </w:tc>
        <w:tc>
          <w:tcPr>
            <w:tcW w:w="1361" w:type="dxa"/>
            <w:vAlign w:val="center"/>
          </w:tcPr>
          <w:p>
            <w:pPr>
              <w:pStyle w:val="12"/>
            </w:pPr>
            <w:r>
              <w:t>21.20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1599.59</w:t>
            </w:r>
          </w:p>
        </w:tc>
        <w:tc>
          <w:tcPr>
            <w:tcW w:w="3402" w:type="dxa"/>
            <w:vAlign w:val="center"/>
          </w:tcPr>
          <w:p>
            <w:pPr>
              <w:pStyle w:val="13"/>
            </w:pPr>
            <w:r>
              <w:t>一、一般公共服务支出</w:t>
            </w:r>
          </w:p>
        </w:tc>
        <w:tc>
          <w:tcPr>
            <w:tcW w:w="1474" w:type="dxa"/>
            <w:vAlign w:val="center"/>
          </w:tcPr>
          <w:p>
            <w:pPr>
              <w:pStyle w:val="12"/>
            </w:pPr>
            <w:r>
              <w:t>1599.59</w:t>
            </w:r>
          </w:p>
        </w:tc>
        <w:tc>
          <w:tcPr>
            <w:tcW w:w="1474" w:type="dxa"/>
            <w:vAlign w:val="center"/>
          </w:tcPr>
          <w:p>
            <w:pPr>
              <w:pStyle w:val="12"/>
            </w:pPr>
            <w:r>
              <w:t>1599.59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1599.59</w:t>
            </w:r>
          </w:p>
        </w:tc>
        <w:tc>
          <w:tcPr>
            <w:tcW w:w="3402" w:type="dxa"/>
            <w:vAlign w:val="center"/>
          </w:tcPr>
          <w:p>
            <w:pPr>
              <w:pStyle w:val="15"/>
            </w:pPr>
            <w:r>
              <w:t>本年支出合计</w:t>
            </w:r>
          </w:p>
        </w:tc>
        <w:tc>
          <w:tcPr>
            <w:tcW w:w="1474" w:type="dxa"/>
            <w:vAlign w:val="center"/>
          </w:tcPr>
          <w:p>
            <w:pPr>
              <w:pStyle w:val="16"/>
            </w:pPr>
            <w:r>
              <w:t>1599.59</w:t>
            </w:r>
          </w:p>
        </w:tc>
        <w:tc>
          <w:tcPr>
            <w:tcW w:w="1474" w:type="dxa"/>
            <w:vAlign w:val="center"/>
          </w:tcPr>
          <w:p>
            <w:pPr>
              <w:pStyle w:val="16"/>
            </w:pPr>
            <w:r>
              <w:t>1599.59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1599.59</w:t>
            </w:r>
          </w:p>
        </w:tc>
        <w:tc>
          <w:tcPr>
            <w:tcW w:w="3402" w:type="dxa"/>
            <w:vAlign w:val="center"/>
          </w:tcPr>
          <w:p>
            <w:pPr>
              <w:pStyle w:val="15"/>
            </w:pPr>
            <w:r>
              <w:t>支出总计</w:t>
            </w:r>
          </w:p>
        </w:tc>
        <w:tc>
          <w:tcPr>
            <w:tcW w:w="1474" w:type="dxa"/>
            <w:vAlign w:val="center"/>
          </w:tcPr>
          <w:p>
            <w:pPr>
              <w:pStyle w:val="16"/>
            </w:pPr>
            <w:r>
              <w:t>1599.59</w:t>
            </w:r>
          </w:p>
        </w:tc>
        <w:tc>
          <w:tcPr>
            <w:tcW w:w="1474" w:type="dxa"/>
            <w:vAlign w:val="center"/>
          </w:tcPr>
          <w:p>
            <w:pPr>
              <w:pStyle w:val="16"/>
            </w:pPr>
            <w:r>
              <w:t>1599.59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1599.59</w:t>
            </w:r>
          </w:p>
        </w:tc>
        <w:tc>
          <w:tcPr>
            <w:tcW w:w="2551" w:type="dxa"/>
            <w:vAlign w:val="center"/>
          </w:tcPr>
          <w:p>
            <w:pPr>
              <w:pStyle w:val="16"/>
            </w:pPr>
            <w:r>
              <w:t>1265.15</w:t>
            </w:r>
          </w:p>
        </w:tc>
        <w:tc>
          <w:tcPr>
            <w:tcW w:w="2551" w:type="dxa"/>
            <w:vAlign w:val="center"/>
          </w:tcPr>
          <w:p>
            <w:pPr>
              <w:pStyle w:val="16"/>
            </w:pPr>
            <w:r>
              <w:t>334.44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1599.59</w:t>
            </w:r>
          </w:p>
        </w:tc>
        <w:tc>
          <w:tcPr>
            <w:tcW w:w="2551" w:type="dxa"/>
            <w:vAlign w:val="center"/>
          </w:tcPr>
          <w:p>
            <w:pPr>
              <w:pStyle w:val="12"/>
            </w:pPr>
            <w:r>
              <w:t>1265.15</w:t>
            </w:r>
          </w:p>
        </w:tc>
        <w:tc>
          <w:tcPr>
            <w:tcW w:w="2551" w:type="dxa"/>
            <w:vAlign w:val="center"/>
          </w:tcPr>
          <w:p>
            <w:pPr>
              <w:pStyle w:val="12"/>
            </w:pPr>
            <w:r>
              <w:t>334.44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1599.59</w:t>
            </w:r>
          </w:p>
        </w:tc>
        <w:tc>
          <w:tcPr>
            <w:tcW w:w="2551" w:type="dxa"/>
            <w:vAlign w:val="center"/>
          </w:tcPr>
          <w:p>
            <w:pPr>
              <w:pStyle w:val="12"/>
            </w:pPr>
            <w:r>
              <w:t>1265.15</w:t>
            </w:r>
          </w:p>
        </w:tc>
        <w:tc>
          <w:tcPr>
            <w:tcW w:w="2551" w:type="dxa"/>
            <w:vAlign w:val="center"/>
          </w:tcPr>
          <w:p>
            <w:pPr>
              <w:pStyle w:val="12"/>
            </w:pPr>
            <w:r>
              <w:t>334.44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2011101</w:t>
            </w:r>
          </w:p>
        </w:tc>
        <w:tc>
          <w:tcPr>
            <w:tcW w:w="4535" w:type="dxa"/>
            <w:vAlign w:val="center"/>
          </w:tcPr>
          <w:p>
            <w:pPr>
              <w:pStyle w:val="13"/>
            </w:pPr>
            <w:r>
              <w:t>行政运行</w:t>
            </w:r>
          </w:p>
        </w:tc>
        <w:tc>
          <w:tcPr>
            <w:tcW w:w="2551" w:type="dxa"/>
            <w:vAlign w:val="center"/>
          </w:tcPr>
          <w:p>
            <w:pPr>
              <w:pStyle w:val="12"/>
            </w:pPr>
            <w:r>
              <w:t>1270.39</w:t>
            </w:r>
          </w:p>
        </w:tc>
        <w:tc>
          <w:tcPr>
            <w:tcW w:w="2551" w:type="dxa"/>
            <w:vAlign w:val="center"/>
          </w:tcPr>
          <w:p>
            <w:pPr>
              <w:pStyle w:val="12"/>
            </w:pPr>
            <w:r>
              <w:t>1265.15</w:t>
            </w:r>
          </w:p>
        </w:tc>
        <w:tc>
          <w:tcPr>
            <w:tcW w:w="2551" w:type="dxa"/>
            <w:vAlign w:val="center"/>
          </w:tcPr>
          <w:p>
            <w:pPr>
              <w:pStyle w:val="12"/>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308.00</w:t>
            </w:r>
          </w:p>
        </w:tc>
        <w:tc>
          <w:tcPr>
            <w:tcW w:w="2551" w:type="dxa"/>
            <w:vAlign w:val="center"/>
          </w:tcPr>
          <w:p>
            <w:pPr>
              <w:pStyle w:val="12"/>
            </w:pPr>
          </w:p>
        </w:tc>
        <w:tc>
          <w:tcPr>
            <w:tcW w:w="2551" w:type="dxa"/>
            <w:vAlign w:val="center"/>
          </w:tcPr>
          <w:p>
            <w:pPr>
              <w:pStyle w:val="12"/>
            </w:pPr>
            <w:r>
              <w:t>308.00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2011199</w:t>
            </w:r>
          </w:p>
        </w:tc>
        <w:tc>
          <w:tcPr>
            <w:tcW w:w="4535" w:type="dxa"/>
            <w:vAlign w:val="center"/>
          </w:tcPr>
          <w:p>
            <w:pPr>
              <w:pStyle w:val="13"/>
            </w:pPr>
            <w:r>
              <w:t>其他纪检监察事务支出</w:t>
            </w:r>
          </w:p>
        </w:tc>
        <w:tc>
          <w:tcPr>
            <w:tcW w:w="2551" w:type="dxa"/>
            <w:vAlign w:val="center"/>
          </w:tcPr>
          <w:p>
            <w:pPr>
              <w:pStyle w:val="12"/>
            </w:pPr>
            <w:r>
              <w:t>21.20</w:t>
            </w:r>
          </w:p>
        </w:tc>
        <w:tc>
          <w:tcPr>
            <w:tcW w:w="2551" w:type="dxa"/>
            <w:vAlign w:val="center"/>
          </w:tcPr>
          <w:p>
            <w:pPr>
              <w:pStyle w:val="12"/>
            </w:pPr>
          </w:p>
        </w:tc>
        <w:tc>
          <w:tcPr>
            <w:tcW w:w="2551" w:type="dxa"/>
            <w:vAlign w:val="center"/>
          </w:tcPr>
          <w:p>
            <w:pPr>
              <w:pStyle w:val="12"/>
            </w:pPr>
            <w:r>
              <w:t>21.20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1265.15</w:t>
            </w:r>
          </w:p>
        </w:tc>
        <w:tc>
          <w:tcPr>
            <w:tcW w:w="2551" w:type="dxa"/>
            <w:vAlign w:val="center"/>
          </w:tcPr>
          <w:p>
            <w:pPr>
              <w:pStyle w:val="16"/>
            </w:pPr>
            <w:r>
              <w:t>995.80</w:t>
            </w:r>
          </w:p>
        </w:tc>
        <w:tc>
          <w:tcPr>
            <w:tcW w:w="2551" w:type="dxa"/>
            <w:vAlign w:val="center"/>
          </w:tcPr>
          <w:p>
            <w:pPr>
              <w:pStyle w:val="16"/>
            </w:pPr>
            <w:r>
              <w:t>269.35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970.00</w:t>
            </w:r>
          </w:p>
        </w:tc>
        <w:tc>
          <w:tcPr>
            <w:tcW w:w="2551" w:type="dxa"/>
            <w:vAlign w:val="center"/>
          </w:tcPr>
          <w:p>
            <w:pPr>
              <w:pStyle w:val="12"/>
            </w:pPr>
            <w:r>
              <w:t>970.00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460.50</w:t>
            </w:r>
          </w:p>
        </w:tc>
        <w:tc>
          <w:tcPr>
            <w:tcW w:w="2551" w:type="dxa"/>
            <w:vAlign w:val="center"/>
          </w:tcPr>
          <w:p>
            <w:pPr>
              <w:pStyle w:val="12"/>
            </w:pPr>
            <w:r>
              <w:t>460.50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130.70</w:t>
            </w:r>
          </w:p>
        </w:tc>
        <w:tc>
          <w:tcPr>
            <w:tcW w:w="2551" w:type="dxa"/>
            <w:vAlign w:val="center"/>
          </w:tcPr>
          <w:p>
            <w:pPr>
              <w:pStyle w:val="12"/>
            </w:pPr>
            <w:r>
              <w:t>130.70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94.40</w:t>
            </w:r>
          </w:p>
        </w:tc>
        <w:tc>
          <w:tcPr>
            <w:tcW w:w="2551" w:type="dxa"/>
            <w:vAlign w:val="center"/>
          </w:tcPr>
          <w:p>
            <w:pPr>
              <w:pStyle w:val="12"/>
            </w:pPr>
            <w:r>
              <w:t>94.40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22.70</w:t>
            </w:r>
          </w:p>
        </w:tc>
        <w:tc>
          <w:tcPr>
            <w:tcW w:w="2551" w:type="dxa"/>
            <w:vAlign w:val="center"/>
          </w:tcPr>
          <w:p>
            <w:pPr>
              <w:pStyle w:val="12"/>
            </w:pPr>
            <w:r>
              <w:t>22.70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113.00</w:t>
            </w:r>
          </w:p>
        </w:tc>
        <w:tc>
          <w:tcPr>
            <w:tcW w:w="2551" w:type="dxa"/>
            <w:vAlign w:val="center"/>
          </w:tcPr>
          <w:p>
            <w:pPr>
              <w:pStyle w:val="12"/>
            </w:pPr>
            <w:r>
              <w:t>113.00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55.70</w:t>
            </w:r>
          </w:p>
        </w:tc>
        <w:tc>
          <w:tcPr>
            <w:tcW w:w="2551" w:type="dxa"/>
            <w:vAlign w:val="center"/>
          </w:tcPr>
          <w:p>
            <w:pPr>
              <w:pStyle w:val="12"/>
            </w:pPr>
            <w:r>
              <w:t>55.70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4.20</w:t>
            </w:r>
          </w:p>
        </w:tc>
        <w:tc>
          <w:tcPr>
            <w:tcW w:w="2551" w:type="dxa"/>
            <w:vAlign w:val="center"/>
          </w:tcPr>
          <w:p>
            <w:pPr>
              <w:pStyle w:val="12"/>
            </w:pPr>
            <w:r>
              <w:t>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88.80</w:t>
            </w:r>
          </w:p>
        </w:tc>
        <w:tc>
          <w:tcPr>
            <w:tcW w:w="2551" w:type="dxa"/>
            <w:vAlign w:val="center"/>
          </w:tcPr>
          <w:p>
            <w:pPr>
              <w:pStyle w:val="12"/>
            </w:pPr>
            <w:r>
              <w:t>88.80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269.35</w:t>
            </w:r>
          </w:p>
        </w:tc>
        <w:tc>
          <w:tcPr>
            <w:tcW w:w="2551" w:type="dxa"/>
            <w:vAlign w:val="center"/>
          </w:tcPr>
          <w:p>
            <w:pPr>
              <w:pStyle w:val="12"/>
            </w:pPr>
          </w:p>
        </w:tc>
        <w:tc>
          <w:tcPr>
            <w:tcW w:w="2551" w:type="dxa"/>
            <w:vAlign w:val="center"/>
          </w:tcPr>
          <w:p>
            <w:pPr>
              <w:pStyle w:val="12"/>
            </w:pPr>
            <w:r>
              <w:t>269.35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159.35</w:t>
            </w:r>
          </w:p>
        </w:tc>
        <w:tc>
          <w:tcPr>
            <w:tcW w:w="2551" w:type="dxa"/>
            <w:vAlign w:val="center"/>
          </w:tcPr>
          <w:p>
            <w:pPr>
              <w:pStyle w:val="12"/>
            </w:pPr>
          </w:p>
        </w:tc>
        <w:tc>
          <w:tcPr>
            <w:tcW w:w="2551" w:type="dxa"/>
            <w:vAlign w:val="center"/>
          </w:tcPr>
          <w:p>
            <w:pPr>
              <w:pStyle w:val="12"/>
            </w:pPr>
            <w:r>
              <w:t>159.35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4.65</w:t>
            </w:r>
          </w:p>
        </w:tc>
        <w:tc>
          <w:tcPr>
            <w:tcW w:w="2551" w:type="dxa"/>
            <w:vAlign w:val="center"/>
          </w:tcPr>
          <w:p>
            <w:pPr>
              <w:pStyle w:val="12"/>
            </w:pPr>
          </w:p>
        </w:tc>
        <w:tc>
          <w:tcPr>
            <w:tcW w:w="2551" w:type="dxa"/>
            <w:vAlign w:val="center"/>
          </w:tcPr>
          <w:p>
            <w:pPr>
              <w:pStyle w:val="12"/>
            </w:pPr>
            <w:r>
              <w:t>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24.25</w:t>
            </w:r>
          </w:p>
        </w:tc>
        <w:tc>
          <w:tcPr>
            <w:tcW w:w="2551" w:type="dxa"/>
            <w:vAlign w:val="center"/>
          </w:tcPr>
          <w:p>
            <w:pPr>
              <w:pStyle w:val="12"/>
            </w:pPr>
          </w:p>
        </w:tc>
        <w:tc>
          <w:tcPr>
            <w:tcW w:w="2551" w:type="dxa"/>
            <w:vAlign w:val="center"/>
          </w:tcPr>
          <w:p>
            <w:pPr>
              <w:pStyle w:val="12"/>
            </w:pPr>
            <w:r>
              <w:t>24.25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63.00</w:t>
            </w:r>
          </w:p>
        </w:tc>
        <w:tc>
          <w:tcPr>
            <w:tcW w:w="2551" w:type="dxa"/>
            <w:vAlign w:val="center"/>
          </w:tcPr>
          <w:p>
            <w:pPr>
              <w:pStyle w:val="12"/>
            </w:pPr>
          </w:p>
        </w:tc>
        <w:tc>
          <w:tcPr>
            <w:tcW w:w="2551" w:type="dxa"/>
            <w:vAlign w:val="center"/>
          </w:tcPr>
          <w:p>
            <w:pPr>
              <w:pStyle w:val="12"/>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18.10</w:t>
            </w:r>
          </w:p>
        </w:tc>
        <w:tc>
          <w:tcPr>
            <w:tcW w:w="2551" w:type="dxa"/>
            <w:vAlign w:val="center"/>
          </w:tcPr>
          <w:p>
            <w:pPr>
              <w:pStyle w:val="12"/>
            </w:pPr>
          </w:p>
        </w:tc>
        <w:tc>
          <w:tcPr>
            <w:tcW w:w="2551" w:type="dxa"/>
            <w:vAlign w:val="center"/>
          </w:tcPr>
          <w:p>
            <w:pPr>
              <w:pStyle w:val="12"/>
            </w:pPr>
            <w:r>
              <w:t>18.10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25.80</w:t>
            </w:r>
          </w:p>
        </w:tc>
        <w:tc>
          <w:tcPr>
            <w:tcW w:w="2551" w:type="dxa"/>
            <w:vAlign w:val="center"/>
          </w:tcPr>
          <w:p>
            <w:pPr>
              <w:pStyle w:val="12"/>
            </w:pPr>
            <w:r>
              <w:t>25.80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25.20</w:t>
            </w:r>
          </w:p>
        </w:tc>
        <w:tc>
          <w:tcPr>
            <w:tcW w:w="2551" w:type="dxa"/>
            <w:vAlign w:val="center"/>
          </w:tcPr>
          <w:p>
            <w:pPr>
              <w:pStyle w:val="12"/>
            </w:pPr>
            <w:r>
              <w:t>25.20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0.60</w:t>
            </w:r>
          </w:p>
        </w:tc>
        <w:tc>
          <w:tcPr>
            <w:tcW w:w="2551" w:type="dxa"/>
            <w:vAlign w:val="center"/>
          </w:tcPr>
          <w:p>
            <w:pPr>
              <w:pStyle w:val="12"/>
            </w:pPr>
            <w:r>
              <w:t>0.60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222中共巨鹿县纪律检查委员会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24.25</w:t>
            </w:r>
          </w:p>
        </w:tc>
        <w:tc>
          <w:tcPr>
            <w:tcW w:w="2381" w:type="dxa"/>
            <w:vAlign w:val="center"/>
          </w:tcPr>
          <w:p>
            <w:pPr>
              <w:pStyle w:val="16"/>
            </w:pPr>
            <w:r>
              <w:t>24.25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24.25</w:t>
            </w:r>
          </w:p>
        </w:tc>
        <w:tc>
          <w:tcPr>
            <w:tcW w:w="2381" w:type="dxa"/>
            <w:vAlign w:val="center"/>
          </w:tcPr>
          <w:p>
            <w:pPr>
              <w:pStyle w:val="12"/>
            </w:pPr>
            <w:r>
              <w:t>24.25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24.25</w:t>
            </w:r>
          </w:p>
        </w:tc>
        <w:tc>
          <w:tcPr>
            <w:tcW w:w="2381" w:type="dxa"/>
            <w:vAlign w:val="center"/>
          </w:tcPr>
          <w:p>
            <w:pPr>
              <w:pStyle w:val="12"/>
            </w:pPr>
            <w:r>
              <w:t>24.25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24.25</w:t>
            </w:r>
          </w:p>
        </w:tc>
        <w:tc>
          <w:tcPr>
            <w:tcW w:w="2381" w:type="dxa"/>
            <w:vAlign w:val="center"/>
          </w:tcPr>
          <w:p>
            <w:pPr>
              <w:pStyle w:val="12"/>
            </w:pPr>
            <w:r>
              <w:t>24.25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中共巨鹿县纪律检查委员会2026年部门预算信息公开情况说明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中共巨鹿县纪律检查委员会2026年部门预算信息公开情况说明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按照《中华人民共和国预算法》、《地方预决算公开操作规程》和《关于进一步推进预算公开工作的实施意见》规定，现将中共巨鹿县纪律检查委员会2026年部门预算公开如下：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w:t>
      </w:r>
    </w:p>
    <w:p>
      <w:pPr>
        <w:pStyle w:val="18"/>
      </w:pPr>
      <w:r>
        <w:t>(二）依照党的章程和其他党内法规履行监督、执纪、问责职责。负责经常对党员进行遵守纪律的教育，作出关于维护党纪的决定；进行问责或者提出责任追究的建议；受理党员的控告和申诉；保障党员的权利。</w:t>
      </w:r>
    </w:p>
    <w:p>
      <w:pPr>
        <w:pStyle w:val="18"/>
      </w:pPr>
      <w:r>
        <w:t>(三）支持配合巡视、巡察工作。承担巡视、巡察整改日常监督责任，做好巡视、巡察整改督查督办工作，依规依纪依法处置巡视、巡察移交的反映领导干部问题线索。</w:t>
      </w:r>
    </w:p>
    <w:p>
      <w:pPr>
        <w:pStyle w:val="18"/>
      </w:pPr>
      <w:r>
        <w:t>(四）负责全县监察工作。贯彻落实党中央、省委、市委和县委关于监察工作的决策部署，维护宪法法律，依法对县委管理的行使公权力的公职人员进行监察，调查职务违法和职务犯罪，开展廉政建设和反腐败工作。</w:t>
      </w:r>
    </w:p>
    <w:p>
      <w:pPr>
        <w:pStyle w:val="18"/>
      </w:pPr>
      <w:r>
        <w:t>(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涉嫌职务犯罪的，将调查结果移送人民检察院依法审查、提起公诉；向监察对象所在单位提出监察建议。</w:t>
      </w:r>
    </w:p>
    <w:p>
      <w:pPr>
        <w:pStyle w:val="18"/>
      </w:pPr>
      <w:r>
        <w:t>(六）负责组织协调全面从严治党、党风廉政建设和反腐败宣传教育工作。</w:t>
      </w:r>
    </w:p>
    <w:p>
      <w:pPr>
        <w:pStyle w:val="18"/>
      </w:pPr>
      <w:r>
        <w:t>(七）负责综合分析全面从严治党、党风廉政建设和反腐败工作情况，对纪检监察工作重要理论及实践问题进行调查研究；制定或者修改全县纪检监察制度，起草有关规范性文件。</w:t>
      </w:r>
    </w:p>
    <w:p>
      <w:pPr>
        <w:pStyle w:val="18"/>
      </w:pPr>
      <w:r>
        <w:t>(八）负责组织协调全县反腐败追逃追赃和防逃工作，督促有关单位做好相关工作。</w:t>
      </w:r>
    </w:p>
    <w:p>
      <w:pPr>
        <w:pStyle w:val="18"/>
      </w:pPr>
      <w:r>
        <w:t>(九）根据干部管理权限，负责全县纪检监察系统领导班子建设、干部队伍建设和组织建设的综合规划、政策研究、制度建设和业务指导；组织和指导全县纪检监察系统干部教育培训工作等。</w:t>
      </w:r>
    </w:p>
    <w:p>
      <w:pPr>
        <w:pStyle w:val="18"/>
      </w:pPr>
      <w:r>
        <w:t>(十）完成市纪委、市监委、县委交办的其他任务。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中共巨鹿县纪律检查委员会本级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按照预算管理有关规定，目前部门预算的编制实行综合预算管理，即全部收入和支出都反映在预算中。中共巨鹿县纪律检查委员会机关及所属事业单位的收支包含在部门预算中。</w:t>
      </w:r>
    </w:p>
    <w:p>
      <w:pPr>
        <w:pStyle w:val="19"/>
      </w:pPr>
      <w:r>
        <w:t>1、收入说明</w:t>
      </w:r>
    </w:p>
    <w:p>
      <w:pPr>
        <w:pStyle w:val="19"/>
      </w:pPr>
      <w:r>
        <w:t>反映本部门当年全部收入。2026年预算收入1599.59万元，其中：一般公共预算收入1599.59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巨鹿县纪律检查委员会年度部门预算中支出预算的总体情况。2026年支出预算1599.59万元，其中基本支出1265.15万元，包括人员经费995.80万元和日常公用经费269.35万元；项目支出334.44万元，主要为办案经费198万元，乡镇纪委经费30万元，巡察工作经费80万元，专项运转保障经费5.24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1599.59万元，较2025年预算增加69.15万元，其中：基本支出增加47.95万元，主要为日常公用经费、人员经费增加。项目支出增加21.20万元，主要为纪检监察转移支付资金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2026年，我部门机关运行经费共计安排269.35万元，主要用于日常维修、办公用房水电费、办公用房取暖费、办公用房物业管理费等日常运行支出。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24.25万元，其中因公出国（境）费0.00万元；公务用车购置及运维费24.25万元（其中：公务用车购置费为0.00万元，公务用车运维费24.25万元)；公务接待费0.00万元。与2025年相比减少0.75万元，增减变化的主要原因是落实过紧日子要求，压减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坚持以习近平新时代中国特色社会主义思想为指导，深入贯彻党的二十大精神，认真落实市纪委监委和县委各项决策部署，实现好纪委的监督、执纪、问责三项职责和监委的监督、调查、处置三项职责。加强监督执纪问责和职务违法案件的调查力度。发挥监督检查和巡察职能作用，全年监督巡察地方和部门数量≥18%；对于违纪违法案件的查办工作做到事实清楚，证据确凿、定性准确，全年错案率≤2%。改进我县纪委监委办案区域安全设施，完善“走读式”谈话设施和安全带，监督案件风险评估机制，保证全年办案安全≥100%；预防社会矛盾激化和发生，将案件办结后当事人的满意程度控制在80%以内；提高纪检监察干部整体素质，努力打造文明、高效的高素质干部队伍，让群众的满意度达到95%以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分项绩效目标</w:t>
      </w:r>
    </w:p>
    <w:p>
      <w:pPr>
        <w:pStyle w:val="23"/>
      </w:pPr>
      <w:r>
        <w:t>（一）深化运用监督执纪“四种形态”。</w:t>
      </w:r>
    </w:p>
    <w:p>
      <w:pPr>
        <w:pStyle w:val="23"/>
      </w:pPr>
      <w:r>
        <w:t>绩效目标：履行纪检、监察两项职能，依规依纪依法开展工作，深化运用监督执纪“四种形态”持续强化不敢、知止的氛围，实现减存量、遏增量全面推进，确保反腐斗争力度不减、节奏不变。</w:t>
      </w:r>
    </w:p>
    <w:p>
      <w:pPr>
        <w:pStyle w:val="23"/>
      </w:pPr>
      <w:r>
        <w:t>绩效指标：发挥第一种、第二种形态用到位，在“治未病”上积极作为。处置一种形态问题线索占总线索≥65%；处置二种形态问题线索占总线索≥30%。坚持纪严于法、纪在法前、有力消减存量、有效遏制增量，第三种形态处置问题线索占总线索≥3.5%。保持高压惩治不放松、深化运用第四种形态处置问题线索占总线索≥1.5%。</w:t>
      </w:r>
    </w:p>
    <w:p>
      <w:pPr>
        <w:pStyle w:val="23"/>
      </w:pPr>
      <w:r>
        <w:t>（二）完善工作机制，优化办案质量。</w:t>
      </w:r>
    </w:p>
    <w:p>
      <w:pPr>
        <w:pStyle w:val="23"/>
      </w:pPr>
      <w:r>
        <w:t>绩效目标：通过完善办案机制，把所办案件的质量和效率方面的优势发挥出来，打击职务违法、职务犯罪。全面审查案件事实，保证违纪违法证据链，依纪依法提出处置意见审查意见。加大办案力度，提高办案质量，要做到精准，抓好典型性、引领性案件的监督，做一件成一件、成一件影响一片，争取双赢多赢共赢效果。保障监督执纪问责和查办职务违法犯罪案件活动的依法有序进行。</w:t>
      </w:r>
    </w:p>
    <w:p>
      <w:pPr>
        <w:pStyle w:val="23"/>
      </w:pPr>
      <w:r>
        <w:t>绩效指标：信访案件法定期限内办结率≥90%，立案后查否案件占所有案件比例≤1%，延期查办案件率占全年案件数量≤1%，线索查结数量占全年的线索总数≥95%，被调查人对案件查办的满意程度占全年总线索大于等于90%，群众获得感满意程度达到≥95%，错案率占总查结案件数量的比率≤1%。提出复议案件率≤0.5%。</w:t>
      </w:r>
    </w:p>
    <w:p>
      <w:pPr>
        <w:pStyle w:val="23"/>
      </w:pPr>
      <w:r>
        <w:t>（三）持续深化政治巡察、高质量推进巡察全覆盖。</w:t>
      </w:r>
    </w:p>
    <w:p>
      <w:pPr>
        <w:pStyle w:val="23"/>
      </w:pPr>
      <w:r>
        <w:t>绩效目标：通过巡察工作，进一步推进巡察工作的制度化、规范化和程序化建设，充分发挥巡察干部在巡察工作全局中的重要作用，调动巡察干部履行巡察职能的积极性，充分发挥巡察利剑的震慑作用。</w:t>
      </w:r>
    </w:p>
    <w:p>
      <w:pPr>
        <w:pStyle w:val="23"/>
      </w:pPr>
      <w:r>
        <w:t>绩效指标：根据市委安排，配合市县统筹巡察，抽调本县巡察干部人次达到40人次；开展县级专项工作巡察次数≥10次；开展村级巡察次数≥20次；移交巡察问题线索≥100%，群众获得感、满意程度≥95%。</w:t>
      </w:r>
    </w:p>
    <w:p>
      <w:pPr>
        <w:pStyle w:val="23"/>
      </w:pPr>
      <w:r>
        <w:t>（四）不断提升乡镇纪委监督能力，持续深化群众身边不正之风和腐败问题集中整治。</w:t>
      </w:r>
    </w:p>
    <w:p>
      <w:pPr>
        <w:pStyle w:val="23"/>
      </w:pPr>
      <w:r>
        <w:t>绩效目标：落实乡镇党委的主体责任，积极支持乡镇纪委开展工作，完善基层党风廉政建设责任考核制度，解决乡镇对办案会影响“政绩”的顾虑；加强乡镇纪委干部办案协助机制，整合乡镇纪委力量，组成办案小组开展交叉、联合办案；加强乡镇纪委业务培训，提高办案能力。</w:t>
      </w:r>
    </w:p>
    <w:p>
      <w:pPr>
        <w:pStyle w:val="23"/>
      </w:pPr>
      <w:r>
        <w:t>绩效指标：完善乡镇党委党风廉政建设，使党员干部作风有效提高达到≥95%；乡镇处置问题线索占总线索≥95%；加强乡镇纪委干部培训次数≥20次。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r>
        <w:t>（一）加强组织领导</w:t>
      </w:r>
    </w:p>
    <w:p>
      <w:pPr>
        <w:pStyle w:val="24"/>
      </w:pPr>
      <w:r>
        <w:t>成立由县纪委监委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pPr>
        <w:pStyle w:val="24"/>
      </w:pPr>
      <w:r>
        <w:t>（二）狠抓任务落实</w:t>
      </w:r>
    </w:p>
    <w:p>
      <w:pPr>
        <w:pStyle w:val="24"/>
      </w:pPr>
      <w:r>
        <w:t>按照“谁花钱、谁负责，谁牵总、谁主责”的原则，明确业务部门预算绩效管理职责。主动协调并加快对监督执纪问责力度，顺利开展党风廉政建设工作，维护宪法和法律尊严，完善乡镇纪委“三转”职能和监督检查全覆盖等。按照领导小组指示，配合领导小组办公室开展项目及内容的预算绩效管理具体工作，实现定项目就要抓绩效、分资金就要管绩效，确保财务与业务工作紧密衔接。</w:t>
      </w:r>
    </w:p>
    <w:p>
      <w:pPr>
        <w:pStyle w:val="24"/>
      </w:pPr>
      <w:r>
        <w:t>（三）强化预算执行</w:t>
      </w:r>
    </w:p>
    <w:p>
      <w:pPr>
        <w:pStyle w:val="24"/>
      </w:pPr>
      <w:r>
        <w:t>落实过紧日子要求，强化财政预算执行的刚性约束，对纪检监察业务费开支范围严格把控，及时启动项目和支付资金，加快履行政府采购程序，优化部门预算支出结构，创新财政资金支出思路，合理改进支出方式，确保按照时间节点完成支出任务。</w:t>
      </w:r>
    </w:p>
    <w:p>
      <w:pPr>
        <w:pStyle w:val="24"/>
      </w:pPr>
      <w:r>
        <w:t>（四）健全评价机制</w:t>
      </w:r>
    </w:p>
    <w:p>
      <w:pPr>
        <w:pStyle w:val="24"/>
      </w:pPr>
      <w:r>
        <w:t>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pPr>
        <w:pStyle w:val="24"/>
      </w:pPr>
      <w:r>
        <w:t>（五）强化宣传引导</w:t>
      </w:r>
    </w:p>
    <w:p>
      <w:pPr>
        <w:pStyle w:val="24"/>
        <w:sectPr>
          <w:pgSz w:w="16840" w:h="11900" w:orient="landscape"/>
          <w:pgMar w:top="1361" w:right="1020" w:bottom="1361" w:left="1020" w:header="720" w:footer="720" w:gutter="0"/>
          <w:cols w:space="720" w:num="1"/>
        </w:sectPr>
      </w:pPr>
      <w:r>
        <w:t>组织开展多轮次、多角度的业务培训，使全部纪检监察干部牢固树立绩效理念，熟悉管理流程，掌握工作方法，提升管理能力。以制度为保障，建立“公平、透明、规范、高效”的财政预算管理机制。</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bookmarkStart w:id="20" w:name="_GoBack"/>
      <w:bookmarkEnd w:id="20"/>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13052926P00000710047W</w:t>
            </w:r>
          </w:p>
        </w:tc>
        <w:tc>
          <w:tcPr>
            <w:tcW w:w="2835" w:type="dxa"/>
            <w:vAlign w:val="center"/>
          </w:tcPr>
          <w:p>
            <w:pPr>
              <w:pStyle w:val="11"/>
            </w:pPr>
            <w:r>
              <w:t>项目名称</w:t>
            </w:r>
          </w:p>
        </w:tc>
        <w:tc>
          <w:tcPr>
            <w:tcW w:w="6095" w:type="dxa"/>
            <w:gridSpan w:val="3"/>
            <w:vAlign w:val="center"/>
          </w:tcPr>
          <w:p>
            <w:pPr>
              <w:pStyle w:val="13"/>
            </w:pPr>
            <w:r>
              <w:t>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198.00</w:t>
            </w:r>
          </w:p>
        </w:tc>
        <w:tc>
          <w:tcPr>
            <w:tcW w:w="2835" w:type="dxa"/>
            <w:vAlign w:val="center"/>
          </w:tcPr>
          <w:p>
            <w:pPr>
              <w:pStyle w:val="11"/>
            </w:pPr>
            <w:r>
              <w:t>其中：财政    资金</w:t>
            </w:r>
          </w:p>
        </w:tc>
        <w:tc>
          <w:tcPr>
            <w:tcW w:w="2551" w:type="dxa"/>
            <w:vAlign w:val="center"/>
          </w:tcPr>
          <w:p>
            <w:pPr>
              <w:pStyle w:val="13"/>
            </w:pPr>
            <w:r>
              <w:t>198.00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保障审查调查工作顺利开展，提升案件查办质效和安全水平。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180.00</w:t>
            </w:r>
          </w:p>
        </w:tc>
        <w:tc>
          <w:tcPr>
            <w:tcW w:w="3544" w:type="dxa"/>
            <w:gridSpan w:val="2"/>
            <w:vAlign w:val="center"/>
          </w:tcPr>
          <w:p>
            <w:pPr>
              <w:pStyle w:val="14"/>
            </w:pPr>
            <w:r>
              <w:t>198.00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1.提升审查调查工作质效</w:t>
            </w:r>
          </w:p>
          <w:p>
            <w:pPr>
              <w:pStyle w:val="13"/>
            </w:pPr>
            <w:r>
              <w:t>2.强化办案安全保障水平</w:t>
            </w:r>
          </w:p>
          <w:p>
            <w:pPr>
              <w:pStyle w:val="13"/>
            </w:pPr>
            <w:r>
              <w:t>3.保障案件查办顺利推进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问题线索核查经费保障覆盖率</w:t>
            </w:r>
          </w:p>
        </w:tc>
        <w:tc>
          <w:tcPr>
            <w:tcW w:w="5386" w:type="dxa"/>
            <w:vAlign w:val="center"/>
          </w:tcPr>
          <w:p>
            <w:pPr>
              <w:pStyle w:val="13"/>
            </w:pPr>
            <w:r>
              <w:t>问题线索核查经费保障覆盖率</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办案经费支出合规率</w:t>
            </w:r>
          </w:p>
        </w:tc>
        <w:tc>
          <w:tcPr>
            <w:tcW w:w="5386" w:type="dxa"/>
            <w:vAlign w:val="center"/>
          </w:tcPr>
          <w:p>
            <w:pPr>
              <w:pStyle w:val="13"/>
            </w:pPr>
            <w:r>
              <w:t>办案经费支出合规率</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专项办案经费拨付及时率</w:t>
            </w:r>
          </w:p>
        </w:tc>
        <w:tc>
          <w:tcPr>
            <w:tcW w:w="5386" w:type="dxa"/>
            <w:vAlign w:val="center"/>
          </w:tcPr>
          <w:p>
            <w:pPr>
              <w:pStyle w:val="13"/>
            </w:pPr>
            <w:r>
              <w:t>专项办案经费拨付及时率</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人均办案成本控制率</w:t>
            </w:r>
          </w:p>
        </w:tc>
        <w:tc>
          <w:tcPr>
            <w:tcW w:w="5386" w:type="dxa"/>
            <w:vAlign w:val="center"/>
          </w:tcPr>
          <w:p>
            <w:pPr>
              <w:pStyle w:val="13"/>
            </w:pPr>
            <w:r>
              <w:t>人均办案成本控制率</w:t>
            </w:r>
          </w:p>
        </w:tc>
        <w:tc>
          <w:tcPr>
            <w:tcW w:w="2268" w:type="dxa"/>
            <w:vAlign w:val="center"/>
          </w:tcPr>
          <w:p>
            <w:pPr>
              <w:pStyle w:val="13"/>
            </w:pPr>
            <w:r>
              <w:t>≤98%</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挽回直接经济损失目标完成率</w:t>
            </w:r>
          </w:p>
        </w:tc>
        <w:tc>
          <w:tcPr>
            <w:tcW w:w="5386" w:type="dxa"/>
            <w:vAlign w:val="center"/>
          </w:tcPr>
          <w:p>
            <w:pPr>
              <w:pStyle w:val="13"/>
            </w:pPr>
            <w:r>
              <w:t>挽回直接经济损失目标完成率</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群众对正风反腐满意度提升度</w:t>
            </w:r>
          </w:p>
        </w:tc>
        <w:tc>
          <w:tcPr>
            <w:tcW w:w="5386" w:type="dxa"/>
            <w:vAlign w:val="center"/>
          </w:tcPr>
          <w:p>
            <w:pPr>
              <w:pStyle w:val="13"/>
            </w:pPr>
            <w:r>
              <w:t>群众对正风反腐满意度提升度</w:t>
            </w:r>
          </w:p>
        </w:tc>
        <w:tc>
          <w:tcPr>
            <w:tcW w:w="2268" w:type="dxa"/>
            <w:vAlign w:val="center"/>
          </w:tcPr>
          <w:p>
            <w:pPr>
              <w:pStyle w:val="13"/>
            </w:pPr>
            <w:r>
              <w:t>≥5%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绿色办案措施实施达标率</w:t>
            </w:r>
          </w:p>
        </w:tc>
        <w:tc>
          <w:tcPr>
            <w:tcW w:w="5386" w:type="dxa"/>
            <w:vAlign w:val="center"/>
          </w:tcPr>
          <w:p>
            <w:pPr>
              <w:pStyle w:val="13"/>
            </w:pPr>
            <w:r>
              <w:t>绿色办案措施实施达标率</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廉洁风险防控机制完善度</w:t>
            </w:r>
          </w:p>
        </w:tc>
        <w:tc>
          <w:tcPr>
            <w:tcW w:w="5386" w:type="dxa"/>
            <w:vAlign w:val="center"/>
          </w:tcPr>
          <w:p>
            <w:pPr>
              <w:pStyle w:val="13"/>
            </w:pPr>
            <w:r>
              <w:t>廉洁风险防控机制完善度</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2、冀财政法[2025]43号提前下达2026年中央政法纪检监察转移支付资金绩效目标表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13052926P00000710035R</w:t>
            </w:r>
          </w:p>
        </w:tc>
        <w:tc>
          <w:tcPr>
            <w:tcW w:w="2835" w:type="dxa"/>
            <w:vAlign w:val="center"/>
          </w:tcPr>
          <w:p>
            <w:pPr>
              <w:pStyle w:val="11"/>
            </w:pPr>
            <w:r>
              <w:t>项目名称</w:t>
            </w:r>
          </w:p>
        </w:tc>
        <w:tc>
          <w:tcPr>
            <w:tcW w:w="6095" w:type="dxa"/>
            <w:gridSpan w:val="3"/>
            <w:vAlign w:val="center"/>
          </w:tcPr>
          <w:p>
            <w:pPr>
              <w:pStyle w:val="13"/>
            </w:pPr>
            <w:r>
              <w:t>冀财政法[2025]43号提前下达2026年中央政法纪检监察转移支付资金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21.20</w:t>
            </w:r>
          </w:p>
        </w:tc>
        <w:tc>
          <w:tcPr>
            <w:tcW w:w="2835" w:type="dxa"/>
            <w:vAlign w:val="center"/>
          </w:tcPr>
          <w:p>
            <w:pPr>
              <w:pStyle w:val="11"/>
            </w:pPr>
            <w:r>
              <w:t>其中：财政    资金</w:t>
            </w:r>
          </w:p>
        </w:tc>
        <w:tc>
          <w:tcPr>
            <w:tcW w:w="2551" w:type="dxa"/>
            <w:vAlign w:val="center"/>
          </w:tcPr>
          <w:p>
            <w:pPr>
              <w:pStyle w:val="13"/>
            </w:pPr>
            <w:r>
              <w:t>21.20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用于办案相关支出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15.00</w:t>
            </w:r>
          </w:p>
        </w:tc>
        <w:tc>
          <w:tcPr>
            <w:tcW w:w="2551" w:type="dxa"/>
            <w:vAlign w:val="center"/>
          </w:tcPr>
          <w:p>
            <w:pPr>
              <w:pStyle w:val="14"/>
            </w:pPr>
            <w:r>
              <w:t>21.20</w:t>
            </w:r>
          </w:p>
        </w:tc>
        <w:tc>
          <w:tcPr>
            <w:tcW w:w="3544" w:type="dxa"/>
            <w:gridSpan w:val="2"/>
            <w:vAlign w:val="center"/>
          </w:tcPr>
          <w:p>
            <w:pPr>
              <w:pStyle w:val="14"/>
            </w:pPr>
            <w:r>
              <w:t>21.20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1.提升审查调查工作质效</w:t>
            </w:r>
          </w:p>
          <w:p>
            <w:pPr>
              <w:pStyle w:val="13"/>
            </w:pPr>
            <w:r>
              <w:t>2.强化办案安全保障水平</w:t>
            </w:r>
          </w:p>
          <w:p>
            <w:pPr>
              <w:pStyle w:val="13"/>
            </w:pPr>
            <w:r>
              <w:t>3.保障案件查办顺利推进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办理案件数量</w:t>
            </w:r>
          </w:p>
        </w:tc>
        <w:tc>
          <w:tcPr>
            <w:tcW w:w="5386" w:type="dxa"/>
            <w:vAlign w:val="center"/>
          </w:tcPr>
          <w:p>
            <w:pPr>
              <w:pStyle w:val="13"/>
            </w:pPr>
            <w:r>
              <w:t>办理案件数量</w:t>
            </w:r>
          </w:p>
        </w:tc>
        <w:tc>
          <w:tcPr>
            <w:tcW w:w="2268" w:type="dxa"/>
            <w:vAlign w:val="center"/>
          </w:tcPr>
          <w:p>
            <w:pPr>
              <w:pStyle w:val="13"/>
            </w:pPr>
            <w:r>
              <w:t>≥30件</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办案合规率</w:t>
            </w:r>
          </w:p>
        </w:tc>
        <w:tc>
          <w:tcPr>
            <w:tcW w:w="5386" w:type="dxa"/>
            <w:vAlign w:val="center"/>
          </w:tcPr>
          <w:p>
            <w:pPr>
              <w:pStyle w:val="13"/>
            </w:pPr>
            <w:r>
              <w:t>办案合规率</w:t>
            </w:r>
          </w:p>
        </w:tc>
        <w:tc>
          <w:tcPr>
            <w:tcW w:w="2268" w:type="dxa"/>
            <w:vAlign w:val="center"/>
          </w:tcPr>
          <w:p>
            <w:pPr>
              <w:pStyle w:val="13"/>
            </w:pPr>
            <w:r>
              <w:t>100%</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办案及时率</w:t>
            </w:r>
          </w:p>
        </w:tc>
        <w:tc>
          <w:tcPr>
            <w:tcW w:w="5386" w:type="dxa"/>
            <w:vAlign w:val="center"/>
          </w:tcPr>
          <w:p>
            <w:pPr>
              <w:pStyle w:val="13"/>
            </w:pPr>
            <w:r>
              <w:t>办案及时率</w:t>
            </w:r>
          </w:p>
        </w:tc>
        <w:tc>
          <w:tcPr>
            <w:tcW w:w="2268" w:type="dxa"/>
            <w:vAlign w:val="center"/>
          </w:tcPr>
          <w:p>
            <w:pPr>
              <w:pStyle w:val="13"/>
            </w:pPr>
            <w:r>
              <w:t>100%</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办案成本</w:t>
            </w:r>
          </w:p>
        </w:tc>
        <w:tc>
          <w:tcPr>
            <w:tcW w:w="5386" w:type="dxa"/>
            <w:vAlign w:val="center"/>
          </w:tcPr>
          <w:p>
            <w:pPr>
              <w:pStyle w:val="13"/>
            </w:pPr>
            <w:r>
              <w:t>办案成本</w:t>
            </w:r>
          </w:p>
        </w:tc>
        <w:tc>
          <w:tcPr>
            <w:tcW w:w="2268" w:type="dxa"/>
            <w:vAlign w:val="center"/>
          </w:tcPr>
          <w:p>
            <w:pPr>
              <w:pStyle w:val="13"/>
            </w:pPr>
            <w:r>
              <w:t>≤21.2万元</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办案覆盖率</w:t>
            </w:r>
          </w:p>
        </w:tc>
        <w:tc>
          <w:tcPr>
            <w:tcW w:w="5386" w:type="dxa"/>
            <w:vAlign w:val="center"/>
          </w:tcPr>
          <w:p>
            <w:pPr>
              <w:pStyle w:val="13"/>
            </w:pPr>
            <w:r>
              <w:t>办理案件覆盖率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提升办案质量和效率</w:t>
            </w:r>
          </w:p>
        </w:tc>
        <w:tc>
          <w:tcPr>
            <w:tcW w:w="5386" w:type="dxa"/>
            <w:vAlign w:val="center"/>
          </w:tcPr>
          <w:p>
            <w:pPr>
              <w:pStyle w:val="13"/>
            </w:pPr>
            <w:r>
              <w:t>提升办案质量和效率</w:t>
            </w:r>
          </w:p>
        </w:tc>
        <w:tc>
          <w:tcPr>
            <w:tcW w:w="2268" w:type="dxa"/>
            <w:vAlign w:val="center"/>
          </w:tcPr>
          <w:p>
            <w:pPr>
              <w:pStyle w:val="13"/>
            </w:pPr>
            <w:r>
              <w:t>≥5%</w:t>
            </w:r>
          </w:p>
        </w:tc>
        <w:tc>
          <w:tcPr>
            <w:tcW w:w="1276" w:type="dxa"/>
            <w:vAlign w:val="center"/>
          </w:tcPr>
          <w:p>
            <w:pPr>
              <w:pStyle w:val="13"/>
            </w:pPr>
            <w:r>
              <w:t>统计分析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办案人员满意度</w:t>
            </w:r>
          </w:p>
        </w:tc>
        <w:tc>
          <w:tcPr>
            <w:tcW w:w="5386" w:type="dxa"/>
            <w:vAlign w:val="center"/>
          </w:tcPr>
          <w:p>
            <w:pPr>
              <w:pStyle w:val="13"/>
            </w:pPr>
            <w:r>
              <w:t>办案人员满意度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3、乡镇纪委经费绩效目标表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13052926P00000710048G</w:t>
            </w:r>
          </w:p>
        </w:tc>
        <w:tc>
          <w:tcPr>
            <w:tcW w:w="2835" w:type="dxa"/>
            <w:vAlign w:val="center"/>
          </w:tcPr>
          <w:p>
            <w:pPr>
              <w:pStyle w:val="11"/>
            </w:pPr>
            <w:r>
              <w:t>项目名称</w:t>
            </w:r>
          </w:p>
        </w:tc>
        <w:tc>
          <w:tcPr>
            <w:tcW w:w="6095" w:type="dxa"/>
            <w:gridSpan w:val="3"/>
            <w:vAlign w:val="center"/>
          </w:tcPr>
          <w:p>
            <w:pPr>
              <w:pStyle w:val="13"/>
            </w:pPr>
            <w:r>
              <w:t>乡镇纪委经费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保障乡镇纪委正常履职，提升基层监督执纪执法能力。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15.00</w:t>
            </w:r>
          </w:p>
        </w:tc>
        <w:tc>
          <w:tcPr>
            <w:tcW w:w="2551" w:type="dxa"/>
            <w:vAlign w:val="center"/>
          </w:tcPr>
          <w:p>
            <w:pPr>
              <w:pStyle w:val="14"/>
            </w:pPr>
            <w:r>
              <w:t>25.00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1.规范乡镇案件办理质量</w:t>
            </w:r>
          </w:p>
          <w:p>
            <w:pPr>
              <w:pStyle w:val="13"/>
            </w:pPr>
            <w:r>
              <w:t>2.增强农村廉政建设成效</w:t>
            </w:r>
          </w:p>
          <w:p>
            <w:pPr>
              <w:pStyle w:val="13"/>
            </w:pPr>
            <w:r>
              <w:t>3.提升基层监督执纪效能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监督执纪业务经费保障率</w:t>
            </w:r>
          </w:p>
        </w:tc>
        <w:tc>
          <w:tcPr>
            <w:tcW w:w="5386" w:type="dxa"/>
            <w:vAlign w:val="center"/>
          </w:tcPr>
          <w:p>
            <w:pPr>
              <w:pStyle w:val="13"/>
            </w:pPr>
            <w:r>
              <w:t>监督执纪业务经费保障率</w:t>
            </w:r>
          </w:p>
        </w:tc>
        <w:tc>
          <w:tcPr>
            <w:tcW w:w="2268" w:type="dxa"/>
            <w:vAlign w:val="center"/>
          </w:tcPr>
          <w:p>
            <w:pPr>
              <w:pStyle w:val="13"/>
            </w:pPr>
            <w:r>
              <w:t>≥98%</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专项资金使用准确率</w:t>
            </w:r>
          </w:p>
        </w:tc>
        <w:tc>
          <w:tcPr>
            <w:tcW w:w="5386" w:type="dxa"/>
            <w:vAlign w:val="center"/>
          </w:tcPr>
          <w:p>
            <w:pPr>
              <w:pStyle w:val="13"/>
            </w:pPr>
            <w:r>
              <w:t>专项资金使用准确率</w:t>
            </w:r>
          </w:p>
        </w:tc>
        <w:tc>
          <w:tcPr>
            <w:tcW w:w="2268" w:type="dxa"/>
            <w:vAlign w:val="center"/>
          </w:tcPr>
          <w:p>
            <w:pPr>
              <w:pStyle w:val="13"/>
            </w:pPr>
            <w:r>
              <w:t>≥98%</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紧急案件经费响应率</w:t>
            </w:r>
          </w:p>
        </w:tc>
        <w:tc>
          <w:tcPr>
            <w:tcW w:w="5386" w:type="dxa"/>
            <w:vAlign w:val="center"/>
          </w:tcPr>
          <w:p>
            <w:pPr>
              <w:pStyle w:val="13"/>
            </w:pPr>
            <w:r>
              <w:t>紧急案件经费响应率</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监督办案成本优化率</w:t>
            </w:r>
          </w:p>
        </w:tc>
        <w:tc>
          <w:tcPr>
            <w:tcW w:w="5386" w:type="dxa"/>
            <w:vAlign w:val="center"/>
          </w:tcPr>
          <w:p>
            <w:pPr>
              <w:pStyle w:val="13"/>
            </w:pPr>
            <w:r>
              <w:t>监督办案成本优化率</w:t>
            </w:r>
          </w:p>
        </w:tc>
        <w:tc>
          <w:tcPr>
            <w:tcW w:w="2268" w:type="dxa"/>
            <w:vAlign w:val="center"/>
          </w:tcPr>
          <w:p>
            <w:pPr>
              <w:pStyle w:val="13"/>
            </w:pPr>
            <w:r>
              <w:t>≥5%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村级资产监管漏洞发现率</w:t>
            </w:r>
          </w:p>
        </w:tc>
        <w:tc>
          <w:tcPr>
            <w:tcW w:w="5386" w:type="dxa"/>
            <w:vAlign w:val="center"/>
          </w:tcPr>
          <w:p>
            <w:pPr>
              <w:pStyle w:val="13"/>
            </w:pPr>
            <w:r>
              <w:t>村级资产监管漏洞发现率</w:t>
            </w:r>
          </w:p>
        </w:tc>
        <w:tc>
          <w:tcPr>
            <w:tcW w:w="2268" w:type="dxa"/>
            <w:vAlign w:val="center"/>
          </w:tcPr>
          <w:p>
            <w:pPr>
              <w:pStyle w:val="13"/>
            </w:pPr>
            <w:r>
              <w:t>≥85%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基层信访矛盾化解满意度</w:t>
            </w:r>
          </w:p>
        </w:tc>
        <w:tc>
          <w:tcPr>
            <w:tcW w:w="5386" w:type="dxa"/>
            <w:vAlign w:val="center"/>
          </w:tcPr>
          <w:p>
            <w:pPr>
              <w:pStyle w:val="13"/>
            </w:pPr>
            <w:r>
              <w:t>基层信访矛盾化解满意度</w:t>
            </w:r>
          </w:p>
        </w:tc>
        <w:tc>
          <w:tcPr>
            <w:tcW w:w="2268" w:type="dxa"/>
            <w:vAlign w:val="center"/>
          </w:tcPr>
          <w:p>
            <w:pPr>
              <w:pStyle w:val="13"/>
            </w:pPr>
            <w:r>
              <w:t>≥95%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电子化办案替代率</w:t>
            </w:r>
          </w:p>
        </w:tc>
        <w:tc>
          <w:tcPr>
            <w:tcW w:w="5386" w:type="dxa"/>
            <w:vAlign w:val="center"/>
          </w:tcPr>
          <w:p>
            <w:pPr>
              <w:pStyle w:val="13"/>
            </w:pPr>
            <w:r>
              <w:t>电子化办案替代率</w:t>
            </w:r>
          </w:p>
        </w:tc>
        <w:tc>
          <w:tcPr>
            <w:tcW w:w="2268" w:type="dxa"/>
            <w:vAlign w:val="center"/>
          </w:tcPr>
          <w:p>
            <w:pPr>
              <w:pStyle w:val="13"/>
            </w:pPr>
            <w:r>
              <w:t>≥85%</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乡村廉政文化普及率</w:t>
            </w:r>
          </w:p>
        </w:tc>
        <w:tc>
          <w:tcPr>
            <w:tcW w:w="5386" w:type="dxa"/>
            <w:vAlign w:val="center"/>
          </w:tcPr>
          <w:p>
            <w:pPr>
              <w:pStyle w:val="13"/>
            </w:pPr>
            <w:r>
              <w:t>乡村廉政文化普及率</w:t>
            </w:r>
          </w:p>
        </w:tc>
        <w:tc>
          <w:tcPr>
            <w:tcW w:w="2268" w:type="dxa"/>
            <w:vAlign w:val="center"/>
          </w:tcPr>
          <w:p>
            <w:pPr>
              <w:pStyle w:val="13"/>
            </w:pPr>
            <w:r>
              <w:t>≥90%</w:t>
            </w:r>
          </w:p>
        </w:tc>
        <w:tc>
          <w:tcPr>
            <w:tcW w:w="1276" w:type="dxa"/>
            <w:vAlign w:val="center"/>
          </w:tcPr>
          <w:p>
            <w:pPr>
              <w:pStyle w:val="13"/>
            </w:pPr>
            <w:r>
              <w:t>监察法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≥95%</w:t>
            </w:r>
          </w:p>
        </w:tc>
        <w:tc>
          <w:tcPr>
            <w:tcW w:w="1276" w:type="dxa"/>
            <w:vAlign w:val="center"/>
          </w:tcPr>
          <w:p>
            <w:pPr>
              <w:pStyle w:val="13"/>
            </w:pPr>
            <w:r>
              <w:t>监察法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4、巡察工作经费绩效目标表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13052926P000007100494</w:t>
            </w:r>
          </w:p>
        </w:tc>
        <w:tc>
          <w:tcPr>
            <w:tcW w:w="2835" w:type="dxa"/>
            <w:vAlign w:val="center"/>
          </w:tcPr>
          <w:p>
            <w:pPr>
              <w:pStyle w:val="11"/>
            </w:pPr>
            <w:r>
              <w:t>项目名称</w:t>
            </w:r>
          </w:p>
        </w:tc>
        <w:tc>
          <w:tcPr>
            <w:tcW w:w="6095" w:type="dxa"/>
            <w:gridSpan w:val="3"/>
            <w:vAlign w:val="center"/>
          </w:tcPr>
          <w:p>
            <w:pPr>
              <w:pStyle w:val="13"/>
            </w:pPr>
            <w:r>
              <w:t>巡察工作经费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保障巡察工作正常开展，完成一个任期内巡察全覆盖任务。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70.00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1.通过常规巡察和专项巡察的开展,达到发现问题,督促整改的目的。</w:t>
            </w:r>
          </w:p>
          <w:p>
            <w:pPr>
              <w:pStyle w:val="13"/>
            </w:pPr>
            <w:r>
              <w:t>2.巡察发现问题线索必要时移交纪委监察委执纪问责，保障社会公平。</w:t>
            </w:r>
          </w:p>
          <w:p>
            <w:pPr>
              <w:pStyle w:val="13"/>
            </w:pPr>
            <w:r>
              <w:t>3.充分发挥巡察监督利剑作用,形成持续震慑的效果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巡察任务经费保障覆盖率</w:t>
            </w:r>
          </w:p>
        </w:tc>
        <w:tc>
          <w:tcPr>
            <w:tcW w:w="5386" w:type="dxa"/>
            <w:vAlign w:val="center"/>
          </w:tcPr>
          <w:p>
            <w:pPr>
              <w:pStyle w:val="13"/>
            </w:pPr>
            <w:r>
              <w:t>巡察任务经费保障覆盖率</w:t>
            </w:r>
          </w:p>
        </w:tc>
        <w:tc>
          <w:tcPr>
            <w:tcW w:w="2268" w:type="dxa"/>
            <w:vAlign w:val="center"/>
          </w:tcPr>
          <w:p>
            <w:pPr>
              <w:pStyle w:val="13"/>
            </w:pPr>
            <w:r>
              <w:t>≥98%</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巡察经费使用合规率</w:t>
            </w:r>
          </w:p>
        </w:tc>
        <w:tc>
          <w:tcPr>
            <w:tcW w:w="5386" w:type="dxa"/>
            <w:vAlign w:val="center"/>
          </w:tcPr>
          <w:p>
            <w:pPr>
              <w:pStyle w:val="13"/>
            </w:pPr>
            <w:r>
              <w:t>巡察经费使用合规率</w:t>
            </w:r>
          </w:p>
        </w:tc>
        <w:tc>
          <w:tcPr>
            <w:tcW w:w="2268" w:type="dxa"/>
            <w:vAlign w:val="center"/>
          </w:tcPr>
          <w:p>
            <w:pPr>
              <w:pStyle w:val="13"/>
            </w:pPr>
            <w:r>
              <w:t>≥98%</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专项经费拨付及时率</w:t>
            </w:r>
          </w:p>
        </w:tc>
        <w:tc>
          <w:tcPr>
            <w:tcW w:w="5386" w:type="dxa"/>
            <w:vAlign w:val="center"/>
          </w:tcPr>
          <w:p>
            <w:pPr>
              <w:pStyle w:val="13"/>
            </w:pPr>
            <w:r>
              <w:t>专项经费拨付及时率</w:t>
            </w:r>
          </w:p>
        </w:tc>
        <w:tc>
          <w:tcPr>
            <w:tcW w:w="2268" w:type="dxa"/>
            <w:vAlign w:val="center"/>
          </w:tcPr>
          <w:p>
            <w:pPr>
              <w:pStyle w:val="13"/>
            </w:pPr>
            <w:r>
              <w:t>≥95%</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人均巡察成本控制率</w:t>
            </w:r>
          </w:p>
        </w:tc>
        <w:tc>
          <w:tcPr>
            <w:tcW w:w="5386" w:type="dxa"/>
            <w:vAlign w:val="center"/>
          </w:tcPr>
          <w:p>
            <w:pPr>
              <w:pStyle w:val="13"/>
            </w:pPr>
            <w:r>
              <w:t>人均巡察成本控制率</w:t>
            </w:r>
          </w:p>
        </w:tc>
        <w:tc>
          <w:tcPr>
            <w:tcW w:w="2268" w:type="dxa"/>
            <w:vAlign w:val="center"/>
          </w:tcPr>
          <w:p>
            <w:pPr>
              <w:pStyle w:val="13"/>
            </w:pPr>
            <w:r>
              <w:t>≥95%</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推动被巡察单位资金规范率</w:t>
            </w:r>
          </w:p>
        </w:tc>
        <w:tc>
          <w:tcPr>
            <w:tcW w:w="5386" w:type="dxa"/>
            <w:vAlign w:val="center"/>
          </w:tcPr>
          <w:p>
            <w:pPr>
              <w:pStyle w:val="13"/>
            </w:pPr>
            <w:r>
              <w:t>推动被巡察单位资金规范率</w:t>
            </w:r>
          </w:p>
        </w:tc>
        <w:tc>
          <w:tcPr>
            <w:tcW w:w="2268" w:type="dxa"/>
            <w:vAlign w:val="center"/>
          </w:tcPr>
          <w:p>
            <w:pPr>
              <w:pStyle w:val="13"/>
            </w:pPr>
            <w:r>
              <w:t>≥95%</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干部群众对巡察工作满意度</w:t>
            </w:r>
          </w:p>
        </w:tc>
        <w:tc>
          <w:tcPr>
            <w:tcW w:w="5386" w:type="dxa"/>
            <w:vAlign w:val="center"/>
          </w:tcPr>
          <w:p>
            <w:pPr>
              <w:pStyle w:val="13"/>
            </w:pPr>
            <w:r>
              <w:t>干部群众对巡察工作满意度</w:t>
            </w:r>
          </w:p>
        </w:tc>
        <w:tc>
          <w:tcPr>
            <w:tcW w:w="2268" w:type="dxa"/>
            <w:vAlign w:val="center"/>
          </w:tcPr>
          <w:p>
            <w:pPr>
              <w:pStyle w:val="13"/>
            </w:pPr>
            <w:r>
              <w:t>≥95%</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巡察工作绿色办公达标率</w:t>
            </w:r>
          </w:p>
        </w:tc>
        <w:tc>
          <w:tcPr>
            <w:tcW w:w="5386" w:type="dxa"/>
            <w:vAlign w:val="center"/>
          </w:tcPr>
          <w:p>
            <w:pPr>
              <w:pStyle w:val="13"/>
            </w:pPr>
            <w:r>
              <w:t>巡察工作绿色办公达标率</w:t>
            </w:r>
          </w:p>
        </w:tc>
        <w:tc>
          <w:tcPr>
            <w:tcW w:w="2268" w:type="dxa"/>
            <w:vAlign w:val="center"/>
          </w:tcPr>
          <w:p>
            <w:pPr>
              <w:pStyle w:val="13"/>
            </w:pPr>
            <w:r>
              <w:t>≥95%</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巡察成果转化运用率</w:t>
            </w:r>
          </w:p>
        </w:tc>
        <w:tc>
          <w:tcPr>
            <w:tcW w:w="5386" w:type="dxa"/>
            <w:vAlign w:val="center"/>
          </w:tcPr>
          <w:p>
            <w:pPr>
              <w:pStyle w:val="13"/>
            </w:pPr>
            <w:r>
              <w:t>巡察成果转化运用率</w:t>
            </w:r>
          </w:p>
        </w:tc>
        <w:tc>
          <w:tcPr>
            <w:tcW w:w="2268" w:type="dxa"/>
            <w:vAlign w:val="center"/>
          </w:tcPr>
          <w:p>
            <w:pPr>
              <w:pStyle w:val="13"/>
            </w:pPr>
            <w:r>
              <w:t>≥90%</w:t>
            </w:r>
          </w:p>
        </w:tc>
        <w:tc>
          <w:tcPr>
            <w:tcW w:w="1276" w:type="dxa"/>
            <w:vAlign w:val="center"/>
          </w:tcPr>
          <w:p>
            <w:pPr>
              <w:pStyle w:val="13"/>
            </w:pPr>
            <w:r>
              <w:t>《县市区委统筹巡察实施办法》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≥95%</w:t>
            </w:r>
          </w:p>
        </w:tc>
        <w:tc>
          <w:tcPr>
            <w:tcW w:w="1276" w:type="dxa"/>
            <w:vAlign w:val="center"/>
          </w:tcPr>
          <w:p>
            <w:pPr>
              <w:pStyle w:val="13"/>
            </w:pPr>
            <w:r>
              <w:t>《县市区委统筹巡察实施办法》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5、专项运转保障经费绩效目标表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13052926P00001110086X</w:t>
            </w:r>
          </w:p>
        </w:tc>
        <w:tc>
          <w:tcPr>
            <w:tcW w:w="2835" w:type="dxa"/>
            <w:vAlign w:val="center"/>
          </w:tcPr>
          <w:p>
            <w:pPr>
              <w:pStyle w:val="11"/>
            </w:pPr>
            <w:r>
              <w:t>项目名称</w:t>
            </w:r>
          </w:p>
        </w:tc>
        <w:tc>
          <w:tcPr>
            <w:tcW w:w="6095" w:type="dxa"/>
            <w:gridSpan w:val="3"/>
            <w:vAlign w:val="center"/>
          </w:tcPr>
          <w:p>
            <w:pPr>
              <w:pStyle w:val="13"/>
            </w:pPr>
            <w:r>
              <w:t>专项运转保障经费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5.24</w:t>
            </w:r>
          </w:p>
        </w:tc>
        <w:tc>
          <w:tcPr>
            <w:tcW w:w="2835" w:type="dxa"/>
            <w:vAlign w:val="center"/>
          </w:tcPr>
          <w:p>
            <w:pPr>
              <w:pStyle w:val="11"/>
            </w:pPr>
            <w:r>
              <w:t>其中：财政    资金</w:t>
            </w:r>
          </w:p>
        </w:tc>
        <w:tc>
          <w:tcPr>
            <w:tcW w:w="2551" w:type="dxa"/>
            <w:vAlign w:val="center"/>
          </w:tcPr>
          <w:p>
            <w:pPr>
              <w:pStyle w:val="13"/>
            </w:pPr>
            <w:r>
              <w:t>5.24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保障机关日常行政事务规范运行，提升综合服务保障能力。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5.24</w:t>
            </w:r>
          </w:p>
        </w:tc>
        <w:tc>
          <w:tcPr>
            <w:tcW w:w="2551" w:type="dxa"/>
            <w:vAlign w:val="center"/>
          </w:tcPr>
          <w:p>
            <w:pPr>
              <w:pStyle w:val="14"/>
            </w:pPr>
            <w:r>
              <w:t>5.24</w:t>
            </w:r>
          </w:p>
        </w:tc>
        <w:tc>
          <w:tcPr>
            <w:tcW w:w="3544" w:type="dxa"/>
            <w:gridSpan w:val="2"/>
            <w:vAlign w:val="center"/>
          </w:tcPr>
          <w:p>
            <w:pPr>
              <w:pStyle w:val="14"/>
            </w:pPr>
            <w:r>
              <w:t>5.24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1.稳定队伍并激发履职积极性</w:t>
            </w:r>
          </w:p>
          <w:p>
            <w:pPr>
              <w:pStyle w:val="13"/>
            </w:pPr>
            <w:r>
              <w:t>2.提升机关规范高效运转水平</w:t>
            </w:r>
          </w:p>
          <w:p>
            <w:pPr>
              <w:pStyle w:val="13"/>
            </w:pPr>
            <w:r>
              <w:t>3.保障纪委监委机关日常专项业务正常运转支出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专项运转事项保障覆盖率</w:t>
            </w:r>
          </w:p>
        </w:tc>
        <w:tc>
          <w:tcPr>
            <w:tcW w:w="5386" w:type="dxa"/>
            <w:vAlign w:val="center"/>
          </w:tcPr>
          <w:p>
            <w:pPr>
              <w:pStyle w:val="13"/>
            </w:pPr>
            <w:r>
              <w:t>专项运转事项保障覆盖率</w:t>
            </w:r>
          </w:p>
        </w:tc>
        <w:tc>
          <w:tcPr>
            <w:tcW w:w="2268" w:type="dxa"/>
            <w:vAlign w:val="center"/>
          </w:tcPr>
          <w:p>
            <w:pPr>
              <w:pStyle w:val="13"/>
            </w:pPr>
            <w:r>
              <w:t>≥95%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经费使用程序规范达标率</w:t>
            </w:r>
          </w:p>
        </w:tc>
        <w:tc>
          <w:tcPr>
            <w:tcW w:w="5386" w:type="dxa"/>
            <w:vAlign w:val="center"/>
          </w:tcPr>
          <w:p>
            <w:pPr>
              <w:pStyle w:val="13"/>
            </w:pPr>
            <w:r>
              <w:t>经费使用程序规范达标率</w:t>
            </w:r>
          </w:p>
        </w:tc>
        <w:tc>
          <w:tcPr>
            <w:tcW w:w="2268" w:type="dxa"/>
            <w:vAlign w:val="center"/>
          </w:tcPr>
          <w:p>
            <w:pPr>
              <w:pStyle w:val="13"/>
            </w:pPr>
            <w:r>
              <w:t>≥95%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紧急任务经费保障及时率</w:t>
            </w:r>
          </w:p>
        </w:tc>
        <w:tc>
          <w:tcPr>
            <w:tcW w:w="5386" w:type="dxa"/>
            <w:vAlign w:val="center"/>
          </w:tcPr>
          <w:p>
            <w:pPr>
              <w:pStyle w:val="13"/>
            </w:pPr>
            <w:r>
              <w:t>紧急任务经费保障及时率</w:t>
            </w:r>
          </w:p>
        </w:tc>
        <w:tc>
          <w:tcPr>
            <w:tcW w:w="2268" w:type="dxa"/>
            <w:vAlign w:val="center"/>
          </w:tcPr>
          <w:p>
            <w:pPr>
              <w:pStyle w:val="13"/>
            </w:pPr>
            <w:r>
              <w:t>≥95%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人均运转经费节约率</w:t>
            </w:r>
          </w:p>
        </w:tc>
        <w:tc>
          <w:tcPr>
            <w:tcW w:w="5386" w:type="dxa"/>
            <w:vAlign w:val="center"/>
          </w:tcPr>
          <w:p>
            <w:pPr>
              <w:pStyle w:val="13"/>
            </w:pPr>
            <w:r>
              <w:t>人均运转经费节约率</w:t>
            </w:r>
          </w:p>
        </w:tc>
        <w:tc>
          <w:tcPr>
            <w:tcW w:w="2268" w:type="dxa"/>
            <w:vAlign w:val="center"/>
          </w:tcPr>
          <w:p>
            <w:pPr>
              <w:pStyle w:val="13"/>
            </w:pPr>
            <w:r>
              <w:t>≤5%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经费使用效益提升率</w:t>
            </w:r>
          </w:p>
        </w:tc>
        <w:tc>
          <w:tcPr>
            <w:tcW w:w="5386" w:type="dxa"/>
            <w:vAlign w:val="center"/>
          </w:tcPr>
          <w:p>
            <w:pPr>
              <w:pStyle w:val="13"/>
            </w:pPr>
            <w:r>
              <w:t>经费使用效益提升率</w:t>
            </w:r>
          </w:p>
        </w:tc>
        <w:tc>
          <w:tcPr>
            <w:tcW w:w="2268" w:type="dxa"/>
            <w:vAlign w:val="center"/>
          </w:tcPr>
          <w:p>
            <w:pPr>
              <w:pStyle w:val="13"/>
            </w:pPr>
            <w:r>
              <w:t>≥5%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部门协同办事效率提升率</w:t>
            </w:r>
          </w:p>
        </w:tc>
        <w:tc>
          <w:tcPr>
            <w:tcW w:w="5386" w:type="dxa"/>
            <w:vAlign w:val="center"/>
          </w:tcPr>
          <w:p>
            <w:pPr>
              <w:pStyle w:val="13"/>
            </w:pPr>
            <w:r>
              <w:t>部门协同办事效率提升率</w:t>
            </w:r>
          </w:p>
        </w:tc>
        <w:tc>
          <w:tcPr>
            <w:tcW w:w="2268" w:type="dxa"/>
            <w:vAlign w:val="center"/>
          </w:tcPr>
          <w:p>
            <w:pPr>
              <w:pStyle w:val="13"/>
            </w:pPr>
            <w:r>
              <w:t>≥95%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节能办公措施实施覆盖率</w:t>
            </w:r>
          </w:p>
        </w:tc>
        <w:tc>
          <w:tcPr>
            <w:tcW w:w="5386" w:type="dxa"/>
            <w:vAlign w:val="center"/>
          </w:tcPr>
          <w:p>
            <w:pPr>
              <w:pStyle w:val="13"/>
            </w:pPr>
            <w:r>
              <w:t>节能办公措施实施覆盖率</w:t>
            </w:r>
          </w:p>
        </w:tc>
        <w:tc>
          <w:tcPr>
            <w:tcW w:w="2268" w:type="dxa"/>
            <w:vAlign w:val="center"/>
          </w:tcPr>
          <w:p>
            <w:pPr>
              <w:pStyle w:val="13"/>
            </w:pPr>
            <w:r>
              <w:t>≥95%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机关运行保障长效机制完善度</w:t>
            </w:r>
          </w:p>
        </w:tc>
        <w:tc>
          <w:tcPr>
            <w:tcW w:w="5386" w:type="dxa"/>
            <w:vAlign w:val="center"/>
          </w:tcPr>
          <w:p>
            <w:pPr>
              <w:pStyle w:val="13"/>
            </w:pPr>
            <w:r>
              <w:t>机关运行保障长效机制完善度</w:t>
            </w:r>
          </w:p>
        </w:tc>
        <w:tc>
          <w:tcPr>
            <w:tcW w:w="2268" w:type="dxa"/>
            <w:vAlign w:val="center"/>
          </w:tcPr>
          <w:p>
            <w:pPr>
              <w:pStyle w:val="13"/>
            </w:pPr>
            <w:r>
              <w:t>≥95%</w:t>
            </w:r>
          </w:p>
        </w:tc>
        <w:tc>
          <w:tcPr>
            <w:tcW w:w="1276" w:type="dxa"/>
            <w:vAlign w:val="center"/>
          </w:tcPr>
          <w:p>
            <w:pPr>
              <w:pStyle w:val="13"/>
            </w:pPr>
            <w:r>
              <w:t>监察法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222中共巨鹿县纪律检查委员会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53.20</w:t>
            </w:r>
          </w:p>
        </w:tc>
        <w:tc>
          <w:tcPr>
            <w:tcW w:w="964" w:type="dxa"/>
            <w:vAlign w:val="center"/>
          </w:tcPr>
          <w:p>
            <w:pPr>
              <w:pStyle w:val="16"/>
            </w:pPr>
            <w:r>
              <w:t>53.20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中共巨鹿县纪律检查委员会本级小计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53.20</w:t>
            </w:r>
          </w:p>
        </w:tc>
        <w:tc>
          <w:tcPr>
            <w:tcW w:w="964" w:type="dxa"/>
            <w:vAlign w:val="center"/>
          </w:tcPr>
          <w:p>
            <w:pPr>
              <w:pStyle w:val="16"/>
            </w:pPr>
            <w:r>
              <w:t>53.20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183.60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箱</w:t>
            </w:r>
          </w:p>
        </w:tc>
        <w:tc>
          <w:tcPr>
            <w:tcW w:w="850" w:type="dxa"/>
            <w:vAlign w:val="center"/>
          </w:tcPr>
          <w:p>
            <w:pPr>
              <w:pStyle w:val="12"/>
            </w:pPr>
            <w:r>
              <w:t>500</w:t>
            </w:r>
          </w:p>
        </w:tc>
        <w:tc>
          <w:tcPr>
            <w:tcW w:w="850" w:type="dxa"/>
            <w:vAlign w:val="center"/>
          </w:tcPr>
          <w:p>
            <w:pPr>
              <w:pStyle w:val="12"/>
            </w:pPr>
            <w:r>
              <w:t>0.02</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办案经费</w:t>
            </w:r>
          </w:p>
        </w:tc>
        <w:tc>
          <w:tcPr>
            <w:tcW w:w="964" w:type="dxa"/>
            <w:vAlign w:val="center"/>
          </w:tcPr>
          <w:p>
            <w:pPr>
              <w:pStyle w:val="12"/>
            </w:pPr>
            <w:r>
              <w:t>198.00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12</w:t>
            </w:r>
          </w:p>
        </w:tc>
        <w:tc>
          <w:tcPr>
            <w:tcW w:w="850" w:type="dxa"/>
            <w:vAlign w:val="center"/>
          </w:tcPr>
          <w:p>
            <w:pPr>
              <w:pStyle w:val="12"/>
            </w:pPr>
            <w:r>
              <w:t>0.45</w:t>
            </w:r>
          </w:p>
        </w:tc>
        <w:tc>
          <w:tcPr>
            <w:tcW w:w="964" w:type="dxa"/>
            <w:vAlign w:val="center"/>
          </w:tcPr>
          <w:p>
            <w:pPr>
              <w:pStyle w:val="12"/>
            </w:pPr>
            <w:r>
              <w:t>5.40</w:t>
            </w:r>
          </w:p>
        </w:tc>
        <w:tc>
          <w:tcPr>
            <w:tcW w:w="964" w:type="dxa"/>
            <w:vAlign w:val="center"/>
          </w:tcPr>
          <w:p>
            <w:pPr>
              <w:pStyle w:val="12"/>
            </w:pPr>
            <w:r>
              <w:t>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办案经费</w:t>
            </w:r>
          </w:p>
        </w:tc>
        <w:tc>
          <w:tcPr>
            <w:tcW w:w="964" w:type="dxa"/>
            <w:vAlign w:val="center"/>
          </w:tcPr>
          <w:p>
            <w:pPr>
              <w:pStyle w:val="12"/>
            </w:pPr>
            <w:r>
              <w:t>198.00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15</w:t>
            </w:r>
          </w:p>
        </w:tc>
        <w:tc>
          <w:tcPr>
            <w:tcW w:w="850" w:type="dxa"/>
            <w:vAlign w:val="center"/>
          </w:tcPr>
          <w:p>
            <w:pPr>
              <w:pStyle w:val="12"/>
            </w:pPr>
            <w:r>
              <w:t>0.25</w:t>
            </w:r>
          </w:p>
        </w:tc>
        <w:tc>
          <w:tcPr>
            <w:tcW w:w="964" w:type="dxa"/>
            <w:vAlign w:val="center"/>
          </w:tcPr>
          <w:p>
            <w:pPr>
              <w:pStyle w:val="12"/>
            </w:pPr>
            <w:r>
              <w:t>3.75</w:t>
            </w:r>
          </w:p>
        </w:tc>
        <w:tc>
          <w:tcPr>
            <w:tcW w:w="964" w:type="dxa"/>
            <w:vAlign w:val="center"/>
          </w:tcPr>
          <w:p>
            <w:pPr>
              <w:pStyle w:val="12"/>
            </w:pPr>
            <w:r>
              <w:t>3.75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办案经费</w:t>
            </w:r>
          </w:p>
        </w:tc>
        <w:tc>
          <w:tcPr>
            <w:tcW w:w="964" w:type="dxa"/>
            <w:vAlign w:val="center"/>
          </w:tcPr>
          <w:p>
            <w:pPr>
              <w:pStyle w:val="12"/>
            </w:pPr>
            <w:r>
              <w:t>198.00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15</w:t>
            </w:r>
          </w:p>
        </w:tc>
        <w:tc>
          <w:tcPr>
            <w:tcW w:w="850" w:type="dxa"/>
            <w:vAlign w:val="center"/>
          </w:tcPr>
          <w:p>
            <w:pPr>
              <w:pStyle w:val="12"/>
            </w:pPr>
            <w:r>
              <w:t>0.10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办案经费</w:t>
            </w:r>
          </w:p>
        </w:tc>
        <w:tc>
          <w:tcPr>
            <w:tcW w:w="964" w:type="dxa"/>
            <w:vAlign w:val="center"/>
          </w:tcPr>
          <w:p>
            <w:pPr>
              <w:pStyle w:val="12"/>
            </w:pPr>
            <w:r>
              <w:t>198.00</w:t>
            </w:r>
          </w:p>
        </w:tc>
        <w:tc>
          <w:tcPr>
            <w:tcW w:w="1134" w:type="dxa"/>
            <w:vAlign w:val="center"/>
          </w:tcPr>
          <w:p>
            <w:pPr>
              <w:pStyle w:val="13"/>
            </w:pPr>
            <w:r>
              <w:t>专用制冷空调设备</w:t>
            </w:r>
          </w:p>
        </w:tc>
        <w:tc>
          <w:tcPr>
            <w:tcW w:w="1134" w:type="dxa"/>
            <w:vAlign w:val="center"/>
          </w:tcPr>
          <w:p>
            <w:pPr>
              <w:pStyle w:val="13"/>
            </w:pPr>
            <w:r>
              <w:t>A02052309</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1.80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办案经费</w:t>
            </w:r>
          </w:p>
        </w:tc>
        <w:tc>
          <w:tcPr>
            <w:tcW w:w="964" w:type="dxa"/>
            <w:vAlign w:val="center"/>
          </w:tcPr>
          <w:p>
            <w:pPr>
              <w:pStyle w:val="12"/>
            </w:pPr>
            <w:r>
              <w:t>198.00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0.07</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交换设备</w:t>
            </w:r>
          </w:p>
        </w:tc>
        <w:tc>
          <w:tcPr>
            <w:tcW w:w="1134" w:type="dxa"/>
            <w:vAlign w:val="center"/>
          </w:tcPr>
          <w:p>
            <w:pPr>
              <w:pStyle w:val="13"/>
            </w:pPr>
            <w:r>
              <w:t>A02010202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0.42</w:t>
            </w:r>
          </w:p>
        </w:tc>
        <w:tc>
          <w:tcPr>
            <w:tcW w:w="964" w:type="dxa"/>
            <w:vAlign w:val="center"/>
          </w:tcPr>
          <w:p>
            <w:pPr>
              <w:pStyle w:val="12"/>
            </w:pPr>
            <w:r>
              <w:t>0.42</w:t>
            </w:r>
          </w:p>
        </w:tc>
        <w:tc>
          <w:tcPr>
            <w:tcW w:w="964" w:type="dxa"/>
            <w:vAlign w:val="center"/>
          </w:tcPr>
          <w:p>
            <w:pPr>
              <w:pStyle w:val="12"/>
            </w:pPr>
            <w:r>
              <w:t>0.42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网关</w:t>
            </w:r>
          </w:p>
        </w:tc>
        <w:tc>
          <w:tcPr>
            <w:tcW w:w="1134" w:type="dxa"/>
            <w:vAlign w:val="center"/>
          </w:tcPr>
          <w:p>
            <w:pPr>
              <w:pStyle w:val="13"/>
            </w:pPr>
            <w:r>
              <w:t>A02010219</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5.10</w:t>
            </w:r>
          </w:p>
        </w:tc>
        <w:tc>
          <w:tcPr>
            <w:tcW w:w="964" w:type="dxa"/>
            <w:vAlign w:val="center"/>
          </w:tcPr>
          <w:p>
            <w:pPr>
              <w:pStyle w:val="12"/>
            </w:pPr>
            <w:r>
              <w:t>5.10</w:t>
            </w:r>
          </w:p>
        </w:tc>
        <w:tc>
          <w:tcPr>
            <w:tcW w:w="964" w:type="dxa"/>
            <w:vAlign w:val="center"/>
          </w:tcPr>
          <w:p>
            <w:pPr>
              <w:pStyle w:val="12"/>
            </w:pPr>
            <w:r>
              <w:t>5.10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防火墙</w:t>
            </w:r>
          </w:p>
        </w:tc>
        <w:tc>
          <w:tcPr>
            <w:tcW w:w="1134" w:type="dxa"/>
            <w:vAlign w:val="center"/>
          </w:tcPr>
          <w:p>
            <w:pPr>
              <w:pStyle w:val="13"/>
            </w:pPr>
            <w:r>
              <w:t>A02010301</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7.06</w:t>
            </w:r>
          </w:p>
        </w:tc>
        <w:tc>
          <w:tcPr>
            <w:tcW w:w="964" w:type="dxa"/>
            <w:vAlign w:val="center"/>
          </w:tcPr>
          <w:p>
            <w:pPr>
              <w:pStyle w:val="12"/>
            </w:pPr>
            <w:r>
              <w:t>7.06</w:t>
            </w:r>
          </w:p>
        </w:tc>
        <w:tc>
          <w:tcPr>
            <w:tcW w:w="964" w:type="dxa"/>
            <w:vAlign w:val="center"/>
          </w:tcPr>
          <w:p>
            <w:pPr>
              <w:pStyle w:val="12"/>
            </w:pPr>
            <w:r>
              <w:t>7.06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其他输入输出设备</w:t>
            </w:r>
          </w:p>
        </w:tc>
        <w:tc>
          <w:tcPr>
            <w:tcW w:w="1134" w:type="dxa"/>
            <w:vAlign w:val="center"/>
          </w:tcPr>
          <w:p>
            <w:pPr>
              <w:pStyle w:val="13"/>
            </w:pPr>
            <w:r>
              <w:t>A02021199</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0.30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专用制冷空调设备</w:t>
            </w:r>
          </w:p>
        </w:tc>
        <w:tc>
          <w:tcPr>
            <w:tcW w:w="1134" w:type="dxa"/>
            <w:vAlign w:val="center"/>
          </w:tcPr>
          <w:p>
            <w:pPr>
              <w:pStyle w:val="13"/>
            </w:pPr>
            <w:r>
              <w:t>A02052309</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0.30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视频监控设备</w:t>
            </w:r>
          </w:p>
        </w:tc>
        <w:tc>
          <w:tcPr>
            <w:tcW w:w="1134" w:type="dxa"/>
            <w:vAlign w:val="center"/>
          </w:tcPr>
          <w:p>
            <w:pPr>
              <w:pStyle w:val="13"/>
            </w:pPr>
            <w:r>
              <w:t>A02091107</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1.36</w:t>
            </w:r>
          </w:p>
        </w:tc>
        <w:tc>
          <w:tcPr>
            <w:tcW w:w="964" w:type="dxa"/>
            <w:vAlign w:val="center"/>
          </w:tcPr>
          <w:p>
            <w:pPr>
              <w:pStyle w:val="12"/>
            </w:pPr>
            <w:r>
              <w:t>1.36</w:t>
            </w:r>
          </w:p>
        </w:tc>
        <w:tc>
          <w:tcPr>
            <w:tcW w:w="964" w:type="dxa"/>
            <w:vAlign w:val="center"/>
          </w:tcPr>
          <w:p>
            <w:pPr>
              <w:pStyle w:val="12"/>
            </w:pPr>
            <w:r>
              <w:t>1.36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冀财政法[2025]43号提前下达2026年中央政法纪检监察转移支付资金</w:t>
            </w:r>
          </w:p>
        </w:tc>
        <w:tc>
          <w:tcPr>
            <w:tcW w:w="964" w:type="dxa"/>
            <w:vAlign w:val="center"/>
          </w:tcPr>
          <w:p>
            <w:pPr>
              <w:pStyle w:val="12"/>
            </w:pPr>
            <w:r>
              <w:t>21.20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箱</w:t>
            </w:r>
          </w:p>
        </w:tc>
        <w:tc>
          <w:tcPr>
            <w:tcW w:w="850" w:type="dxa"/>
            <w:vAlign w:val="center"/>
          </w:tcPr>
          <w:p>
            <w:pPr>
              <w:pStyle w:val="12"/>
            </w:pPr>
            <w:r>
              <w:t>70</w:t>
            </w:r>
          </w:p>
        </w:tc>
        <w:tc>
          <w:tcPr>
            <w:tcW w:w="850" w:type="dxa"/>
            <w:vAlign w:val="center"/>
          </w:tcPr>
          <w:p>
            <w:pPr>
              <w:pStyle w:val="12"/>
            </w:pPr>
            <w:r>
              <w:t>0.02</w:t>
            </w:r>
          </w:p>
        </w:tc>
        <w:tc>
          <w:tcPr>
            <w:tcW w:w="964" w:type="dxa"/>
            <w:vAlign w:val="center"/>
          </w:tcPr>
          <w:p>
            <w:pPr>
              <w:pStyle w:val="12"/>
            </w:pPr>
            <w:r>
              <w:t>1.26</w:t>
            </w:r>
          </w:p>
        </w:tc>
        <w:tc>
          <w:tcPr>
            <w:tcW w:w="964" w:type="dxa"/>
            <w:vAlign w:val="center"/>
          </w:tcPr>
          <w:p>
            <w:pPr>
              <w:pStyle w:val="12"/>
            </w:pPr>
            <w:r>
              <w:t>1.26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乡镇纪委经费</w:t>
            </w:r>
          </w:p>
        </w:tc>
        <w:tc>
          <w:tcPr>
            <w:tcW w:w="964" w:type="dxa"/>
            <w:vAlign w:val="center"/>
          </w:tcPr>
          <w:p>
            <w:pPr>
              <w:pStyle w:val="12"/>
            </w:pPr>
            <w:r>
              <w:t>30.00</w:t>
            </w:r>
          </w:p>
        </w:tc>
        <w:tc>
          <w:tcPr>
            <w:tcW w:w="1134" w:type="dxa"/>
            <w:vAlign w:val="center"/>
          </w:tcPr>
          <w:p>
            <w:pPr>
              <w:pStyle w:val="13"/>
            </w:pPr>
            <w:r>
              <w:t>刻录机</w:t>
            </w:r>
          </w:p>
        </w:tc>
        <w:tc>
          <w:tcPr>
            <w:tcW w:w="1134" w:type="dxa"/>
            <w:vAlign w:val="center"/>
          </w:tcPr>
          <w:p>
            <w:pPr>
              <w:pStyle w:val="13"/>
            </w:pPr>
            <w:r>
              <w:t>A02020900</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1.50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乡镇纪委经费</w:t>
            </w:r>
          </w:p>
        </w:tc>
        <w:tc>
          <w:tcPr>
            <w:tcW w:w="964" w:type="dxa"/>
            <w:vAlign w:val="center"/>
          </w:tcPr>
          <w:p>
            <w:pPr>
              <w:pStyle w:val="12"/>
            </w:pPr>
            <w:r>
              <w:t>30.00</w:t>
            </w:r>
          </w:p>
        </w:tc>
        <w:tc>
          <w:tcPr>
            <w:tcW w:w="1134" w:type="dxa"/>
            <w:vAlign w:val="center"/>
          </w:tcPr>
          <w:p>
            <w:pPr>
              <w:pStyle w:val="13"/>
            </w:pPr>
            <w:r>
              <w:t>视频监控设备</w:t>
            </w:r>
          </w:p>
        </w:tc>
        <w:tc>
          <w:tcPr>
            <w:tcW w:w="1134" w:type="dxa"/>
            <w:vAlign w:val="center"/>
          </w:tcPr>
          <w:p>
            <w:pPr>
              <w:pStyle w:val="13"/>
            </w:pPr>
            <w:r>
              <w:t>A02091107</w:t>
            </w:r>
          </w:p>
        </w:tc>
        <w:tc>
          <w:tcPr>
            <w:tcW w:w="709" w:type="dxa"/>
            <w:vAlign w:val="center"/>
          </w:tcPr>
          <w:p>
            <w:pPr>
              <w:pStyle w:val="14"/>
            </w:pPr>
            <w:r>
              <w:t>个</w:t>
            </w:r>
          </w:p>
        </w:tc>
        <w:tc>
          <w:tcPr>
            <w:tcW w:w="850" w:type="dxa"/>
            <w:vAlign w:val="center"/>
          </w:tcPr>
          <w:p>
            <w:pPr>
              <w:pStyle w:val="12"/>
            </w:pPr>
            <w:r>
              <w:t>10</w:t>
            </w:r>
          </w:p>
        </w:tc>
        <w:tc>
          <w:tcPr>
            <w:tcW w:w="850" w:type="dxa"/>
            <w:vAlign w:val="center"/>
          </w:tcPr>
          <w:p>
            <w:pPr>
              <w:pStyle w:val="12"/>
            </w:pPr>
            <w:r>
              <w:t>0.12</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巡察工作经费</w:t>
            </w:r>
          </w:p>
        </w:tc>
        <w:tc>
          <w:tcPr>
            <w:tcW w:w="964" w:type="dxa"/>
            <w:vAlign w:val="center"/>
          </w:tcPr>
          <w:p>
            <w:pPr>
              <w:pStyle w:val="12"/>
            </w:pPr>
            <w:r>
              <w:t>80.00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巡察工作经费</w:t>
            </w:r>
          </w:p>
        </w:tc>
        <w:tc>
          <w:tcPr>
            <w:tcW w:w="964" w:type="dxa"/>
            <w:vAlign w:val="center"/>
          </w:tcPr>
          <w:p>
            <w:pPr>
              <w:pStyle w:val="12"/>
            </w:pPr>
            <w:r>
              <w:t>80.00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0.07</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中共巨鹿县纪律检查委员会（含所属单位）上年末固定资产金额为1164.02万元（详见下表）。本年度拟购置固定资产总额为53.20万元，已按要求列入政府采购预算，详见政府采购预算表。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222中共巨鹿县纪律检查委员会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1164.02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443</w:t>
            </w:r>
          </w:p>
        </w:tc>
        <w:tc>
          <w:tcPr>
            <w:tcW w:w="2835" w:type="dxa"/>
            <w:vAlign w:val="center"/>
          </w:tcPr>
          <w:p>
            <w:pPr>
              <w:pStyle w:val="12"/>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442</w:t>
            </w:r>
          </w:p>
        </w:tc>
        <w:tc>
          <w:tcPr>
            <w:tcW w:w="2835"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7</w:t>
            </w:r>
          </w:p>
        </w:tc>
        <w:tc>
          <w:tcPr>
            <w:tcW w:w="2835" w:type="dxa"/>
            <w:vAlign w:val="center"/>
          </w:tcPr>
          <w:p>
            <w:pPr>
              <w:pStyle w:val="12"/>
            </w:pPr>
            <w:r>
              <w:t>102.95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4</w:t>
            </w:r>
          </w:p>
        </w:tc>
        <w:tc>
          <w:tcPr>
            <w:tcW w:w="2835" w:type="dxa"/>
            <w:vAlign w:val="center"/>
          </w:tcPr>
          <w:p>
            <w:pPr>
              <w:pStyle w:val="12"/>
            </w:pPr>
            <w:r>
              <w:t>163.87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3287</w:t>
            </w:r>
          </w:p>
        </w:tc>
        <w:tc>
          <w:tcPr>
            <w:tcW w:w="2835" w:type="dxa"/>
            <w:vAlign w:val="center"/>
          </w:tcPr>
          <w:p>
            <w:pPr>
              <w:pStyle w:val="12"/>
            </w:pPr>
            <w:r>
              <w:t>890.12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B1C34"/>
    <w:multiLevelType w:val="singleLevel"/>
    <w:tmpl w:val="CD8B1C3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3335B5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TotalTime>1</TotalTime>
  <ScaleCrop>false</ScaleCrop>
  <LinksUpToDate>false</LinksUpToDate>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2026-02-13T18:39:00Z</dcterms:created>
  <dc:creator>Administrator</dc:creator>
  <cp:lastModifiedBy>Administrator</cp:lastModifiedBy>
  <dcterms:modified xsi:type="dcterms:W3CDTF">2026-02-13T11:18:29Z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99DDF8F850724E178CF706B562A26CE4</vt:lpwstr>
  </property>
</Properties>
</file>