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napToGrid w:val="0"/>
        <w:spacing w:before="156" w:beforeLines="50" w:line="600" w:lineRule="exact"/>
        <w:jc w:val="center"/>
        <w:outlineLvl w:val="0"/>
        <w:rPr>
          <w:rFonts w:hint="eastAsia" w:ascii="仿宋" w:hAnsi="仿宋" w:eastAsia="仿宋" w:cs="仿宋"/>
          <w:bCs/>
          <w:sz w:val="44"/>
          <w:szCs w:val="44"/>
          <w:highlight w:val="none"/>
          <w:lang w:val="en-US" w:eastAsia="zh-CN"/>
        </w:rPr>
      </w:pPr>
      <w:bookmarkStart w:id="6" w:name="_GoBack"/>
      <w:bookmarkEnd w:id="6"/>
      <w:bookmarkStart w:id="0" w:name="_Toc8817"/>
      <w:bookmarkStart w:id="1" w:name="_Toc25637"/>
    </w:p>
    <w:p>
      <w:pPr>
        <w:keepNext w:val="0"/>
        <w:keepLines w:val="0"/>
        <w:pageBreakBefore w:val="0"/>
        <w:kinsoku/>
        <w:wordWrap/>
        <w:overflowPunct/>
        <w:topLinePunct w:val="0"/>
        <w:bidi w:val="0"/>
        <w:snapToGrid w:val="0"/>
        <w:spacing w:before="156" w:beforeLines="50" w:line="600" w:lineRule="exact"/>
        <w:jc w:val="center"/>
        <w:outlineLvl w:val="0"/>
        <w:rPr>
          <w:rFonts w:hint="eastAsia" w:ascii="仿宋" w:hAnsi="仿宋" w:eastAsia="仿宋" w:cs="仿宋"/>
          <w:bCs/>
          <w:sz w:val="44"/>
          <w:szCs w:val="44"/>
          <w:highlight w:val="none"/>
          <w:lang w:val="en-US" w:eastAsia="zh-CN"/>
        </w:rPr>
      </w:pPr>
      <w:r>
        <w:rPr>
          <w:rFonts w:hint="eastAsia" w:ascii="仿宋" w:hAnsi="仿宋" w:eastAsia="仿宋" w:cs="仿宋"/>
          <w:bCs/>
          <w:sz w:val="44"/>
          <w:szCs w:val="44"/>
          <w:highlight w:val="none"/>
          <w:lang w:val="en-US" w:eastAsia="zh-CN"/>
        </w:rPr>
        <w:t>巨鹿县卫生健康局</w:t>
      </w:r>
    </w:p>
    <w:p>
      <w:pPr>
        <w:keepNext w:val="0"/>
        <w:keepLines w:val="0"/>
        <w:pageBreakBefore w:val="0"/>
        <w:kinsoku/>
        <w:wordWrap/>
        <w:overflowPunct/>
        <w:topLinePunct w:val="0"/>
        <w:bidi w:val="0"/>
        <w:snapToGrid w:val="0"/>
        <w:spacing w:before="156" w:beforeLines="50" w:line="600" w:lineRule="exact"/>
        <w:jc w:val="center"/>
        <w:outlineLvl w:val="0"/>
        <w:rPr>
          <w:rFonts w:hint="eastAsia" w:ascii="仿宋" w:hAnsi="仿宋" w:eastAsia="仿宋" w:cs="仿宋"/>
          <w:bCs/>
          <w:sz w:val="44"/>
          <w:szCs w:val="44"/>
          <w:highlight w:val="none"/>
          <w:lang w:val="en-US" w:eastAsia="zh-CN"/>
        </w:rPr>
      </w:pPr>
      <w:r>
        <w:rPr>
          <w:rFonts w:hint="eastAsia" w:ascii="仿宋" w:hAnsi="仿宋" w:eastAsia="仿宋" w:cs="仿宋"/>
          <w:bCs/>
          <w:sz w:val="44"/>
          <w:szCs w:val="44"/>
          <w:highlight w:val="none"/>
          <w:lang w:val="en-US" w:eastAsia="zh-CN"/>
        </w:rPr>
        <w:t>2024年度基本公共卫生服务资金</w:t>
      </w:r>
    </w:p>
    <w:p>
      <w:pPr>
        <w:keepNext w:val="0"/>
        <w:keepLines w:val="0"/>
        <w:pageBreakBefore w:val="0"/>
        <w:kinsoku/>
        <w:wordWrap/>
        <w:overflowPunct/>
        <w:topLinePunct w:val="0"/>
        <w:bidi w:val="0"/>
        <w:snapToGrid w:val="0"/>
        <w:spacing w:before="156" w:beforeLines="50" w:line="600" w:lineRule="exact"/>
        <w:jc w:val="center"/>
        <w:outlineLvl w:val="0"/>
        <w:rPr>
          <w:rFonts w:hint="eastAsia" w:ascii="仿宋" w:hAnsi="仿宋" w:eastAsia="仿宋" w:cs="仿宋"/>
          <w:bCs/>
          <w:sz w:val="44"/>
          <w:szCs w:val="44"/>
          <w:highlight w:val="none"/>
          <w:lang w:val="en-US" w:eastAsia="zh-CN"/>
        </w:rPr>
      </w:pPr>
      <w:r>
        <w:rPr>
          <w:rFonts w:hint="eastAsia" w:ascii="仿宋" w:hAnsi="仿宋" w:eastAsia="仿宋" w:cs="仿宋"/>
          <w:bCs/>
          <w:sz w:val="44"/>
          <w:szCs w:val="44"/>
          <w:highlight w:val="none"/>
          <w:lang w:val="en-US" w:eastAsia="zh-CN"/>
        </w:rPr>
        <w:t>及妇女“两癌”筛查项目</w:t>
      </w:r>
    </w:p>
    <w:p>
      <w:pPr>
        <w:keepNext w:val="0"/>
        <w:keepLines w:val="0"/>
        <w:pageBreakBefore w:val="0"/>
        <w:kinsoku/>
        <w:wordWrap/>
        <w:overflowPunct/>
        <w:topLinePunct w:val="0"/>
        <w:bidi w:val="0"/>
        <w:snapToGrid w:val="0"/>
        <w:spacing w:before="156" w:beforeLines="50" w:line="600" w:lineRule="exact"/>
        <w:jc w:val="center"/>
        <w:outlineLvl w:val="0"/>
        <w:rPr>
          <w:rFonts w:hint="eastAsia" w:ascii="仿宋" w:hAnsi="仿宋" w:eastAsia="仿宋" w:cs="仿宋"/>
          <w:bCs/>
          <w:sz w:val="44"/>
          <w:szCs w:val="44"/>
          <w:highlight w:val="none"/>
        </w:rPr>
      </w:pPr>
      <w:r>
        <w:rPr>
          <w:rFonts w:hint="eastAsia" w:ascii="仿宋" w:hAnsi="仿宋" w:eastAsia="仿宋" w:cs="仿宋"/>
          <w:bCs/>
          <w:sz w:val="44"/>
          <w:szCs w:val="44"/>
          <w:highlight w:val="none"/>
          <w:lang w:val="en-US" w:eastAsia="zh-CN"/>
        </w:rPr>
        <w:t>财政绩效评价报告</w:t>
      </w:r>
      <w:bookmarkEnd w:id="0"/>
      <w:bookmarkEnd w:id="1"/>
    </w:p>
    <w:p>
      <w:pPr>
        <w:keepNext w:val="0"/>
        <w:keepLines w:val="0"/>
        <w:pageBreakBefore w:val="0"/>
        <w:kinsoku/>
        <w:wordWrap/>
        <w:overflowPunct/>
        <w:topLinePunct w:val="0"/>
        <w:bidi w:val="0"/>
        <w:snapToGrid w:val="0"/>
        <w:spacing w:before="156" w:beforeLines="50" w:line="600" w:lineRule="exact"/>
        <w:jc w:val="center"/>
        <w:rPr>
          <w:rFonts w:hint="eastAsia" w:ascii="仿宋" w:hAnsi="仿宋" w:eastAsia="仿宋" w:cs="仿宋"/>
          <w:bCs/>
          <w:sz w:val="36"/>
          <w:szCs w:val="36"/>
          <w:highlight w:val="none"/>
        </w:rPr>
      </w:pPr>
    </w:p>
    <w:p>
      <w:pPr>
        <w:keepNext w:val="0"/>
        <w:keepLines w:val="0"/>
        <w:pageBreakBefore w:val="0"/>
        <w:kinsoku/>
        <w:wordWrap/>
        <w:overflowPunct/>
        <w:topLinePunct w:val="0"/>
        <w:bidi w:val="0"/>
        <w:snapToGrid w:val="0"/>
        <w:spacing w:before="156" w:beforeLines="50" w:line="600" w:lineRule="exact"/>
        <w:jc w:val="center"/>
        <w:rPr>
          <w:rFonts w:hint="eastAsia" w:ascii="仿宋" w:hAnsi="仿宋" w:eastAsia="仿宋" w:cs="仿宋"/>
          <w:bCs/>
          <w:sz w:val="36"/>
          <w:szCs w:val="36"/>
          <w:highlight w:val="none"/>
        </w:rPr>
      </w:pPr>
    </w:p>
    <w:p>
      <w:pPr>
        <w:keepNext w:val="0"/>
        <w:keepLines w:val="0"/>
        <w:pageBreakBefore w:val="0"/>
        <w:kinsoku/>
        <w:wordWrap/>
        <w:overflowPunct/>
        <w:topLinePunct w:val="0"/>
        <w:bidi w:val="0"/>
        <w:snapToGrid w:val="0"/>
        <w:spacing w:before="156" w:beforeLines="50" w:line="600" w:lineRule="exact"/>
        <w:jc w:val="center"/>
        <w:rPr>
          <w:rFonts w:hint="eastAsia" w:ascii="仿宋" w:hAnsi="仿宋" w:eastAsia="仿宋" w:cs="仿宋"/>
          <w:bCs/>
          <w:sz w:val="36"/>
          <w:szCs w:val="36"/>
          <w:highlight w:val="none"/>
        </w:rPr>
      </w:pPr>
    </w:p>
    <w:p>
      <w:pPr>
        <w:keepNext w:val="0"/>
        <w:keepLines w:val="0"/>
        <w:pageBreakBefore w:val="0"/>
        <w:kinsoku/>
        <w:wordWrap/>
        <w:overflowPunct/>
        <w:topLinePunct w:val="0"/>
        <w:bidi w:val="0"/>
        <w:snapToGrid w:val="0"/>
        <w:spacing w:before="156" w:beforeLines="50" w:line="600" w:lineRule="exact"/>
        <w:jc w:val="center"/>
        <w:rPr>
          <w:rFonts w:hint="eastAsia" w:ascii="仿宋" w:hAnsi="仿宋" w:eastAsia="仿宋" w:cs="仿宋"/>
          <w:bCs/>
          <w:sz w:val="36"/>
          <w:szCs w:val="36"/>
          <w:highlight w:val="none"/>
        </w:rPr>
      </w:pPr>
    </w:p>
    <w:p>
      <w:pPr>
        <w:keepNext w:val="0"/>
        <w:keepLines w:val="0"/>
        <w:pageBreakBefore w:val="0"/>
        <w:kinsoku/>
        <w:wordWrap/>
        <w:overflowPunct/>
        <w:topLinePunct w:val="0"/>
        <w:bidi w:val="0"/>
        <w:snapToGrid w:val="0"/>
        <w:spacing w:before="156" w:beforeLines="50" w:line="600" w:lineRule="exact"/>
        <w:jc w:val="center"/>
        <w:rPr>
          <w:rFonts w:hint="eastAsia" w:ascii="仿宋" w:hAnsi="仿宋" w:eastAsia="仿宋" w:cs="仿宋"/>
          <w:bCs/>
          <w:sz w:val="36"/>
          <w:szCs w:val="36"/>
          <w:highlight w:val="none"/>
        </w:rPr>
      </w:pPr>
    </w:p>
    <w:p>
      <w:pPr>
        <w:keepNext w:val="0"/>
        <w:keepLines w:val="0"/>
        <w:pageBreakBefore w:val="0"/>
        <w:kinsoku/>
        <w:wordWrap/>
        <w:overflowPunct/>
        <w:topLinePunct w:val="0"/>
        <w:bidi w:val="0"/>
        <w:snapToGrid w:val="0"/>
        <w:spacing w:before="156" w:beforeLines="50" w:line="600" w:lineRule="exact"/>
        <w:jc w:val="both"/>
        <w:rPr>
          <w:rFonts w:hint="eastAsia" w:ascii="仿宋" w:hAnsi="仿宋" w:eastAsia="仿宋" w:cs="仿宋"/>
          <w:bCs/>
          <w:sz w:val="36"/>
          <w:szCs w:val="36"/>
          <w:highlight w:val="none"/>
        </w:rPr>
      </w:pPr>
    </w:p>
    <w:p>
      <w:pPr>
        <w:keepNext w:val="0"/>
        <w:keepLines w:val="0"/>
        <w:pageBreakBefore w:val="0"/>
        <w:kinsoku/>
        <w:wordWrap/>
        <w:overflowPunct/>
        <w:topLinePunct w:val="0"/>
        <w:bidi w:val="0"/>
        <w:snapToGrid w:val="0"/>
        <w:spacing w:before="156" w:beforeLines="50" w:line="600" w:lineRule="exact"/>
        <w:jc w:val="both"/>
        <w:rPr>
          <w:rFonts w:hint="eastAsia" w:ascii="仿宋" w:hAnsi="仿宋" w:eastAsia="仿宋" w:cs="仿宋"/>
          <w:bCs/>
          <w:sz w:val="36"/>
          <w:szCs w:val="36"/>
          <w:highlight w:val="none"/>
        </w:rPr>
      </w:pPr>
    </w:p>
    <w:p>
      <w:pPr>
        <w:keepNext w:val="0"/>
        <w:keepLines w:val="0"/>
        <w:pageBreakBefore w:val="0"/>
        <w:kinsoku/>
        <w:wordWrap/>
        <w:overflowPunct/>
        <w:topLinePunct w:val="0"/>
        <w:bidi w:val="0"/>
        <w:snapToGrid w:val="0"/>
        <w:spacing w:before="156" w:beforeLines="50" w:line="600" w:lineRule="exact"/>
        <w:ind w:firstLine="1080" w:firstLineChars="300"/>
        <w:jc w:val="both"/>
        <w:rPr>
          <w:rFonts w:hint="eastAsia" w:ascii="仿宋" w:hAnsi="仿宋" w:eastAsia="仿宋" w:cs="仿宋"/>
          <w:bCs/>
          <w:sz w:val="36"/>
          <w:szCs w:val="36"/>
          <w:highlight w:val="none"/>
          <w:lang w:val="en-US" w:eastAsia="zh-CN"/>
        </w:rPr>
      </w:pPr>
      <w:r>
        <w:rPr>
          <w:rFonts w:hint="eastAsia" w:ascii="仿宋" w:hAnsi="仿宋" w:eastAsia="仿宋" w:cs="仿宋"/>
          <w:bCs/>
          <w:sz w:val="36"/>
          <w:szCs w:val="36"/>
          <w:highlight w:val="none"/>
        </w:rPr>
        <w:t>委托单位：</w:t>
      </w:r>
      <w:r>
        <w:rPr>
          <w:rFonts w:hint="eastAsia" w:ascii="仿宋" w:hAnsi="仿宋" w:eastAsia="仿宋" w:cs="仿宋"/>
          <w:bCs/>
          <w:sz w:val="36"/>
          <w:szCs w:val="36"/>
          <w:highlight w:val="none"/>
          <w:lang w:val="en-US" w:eastAsia="zh-CN"/>
        </w:rPr>
        <w:t>巨鹿县财政局</w:t>
      </w:r>
    </w:p>
    <w:p>
      <w:pPr>
        <w:keepNext w:val="0"/>
        <w:keepLines w:val="0"/>
        <w:pageBreakBefore w:val="0"/>
        <w:kinsoku/>
        <w:wordWrap/>
        <w:overflowPunct/>
        <w:topLinePunct w:val="0"/>
        <w:bidi w:val="0"/>
        <w:snapToGrid w:val="0"/>
        <w:spacing w:before="156" w:beforeLines="50" w:line="600" w:lineRule="exact"/>
        <w:ind w:firstLine="1080" w:firstLineChars="300"/>
        <w:jc w:val="both"/>
        <w:rPr>
          <w:rFonts w:hint="eastAsia" w:ascii="仿宋" w:hAnsi="仿宋" w:eastAsia="仿宋" w:cs="仿宋"/>
          <w:bCs/>
          <w:sz w:val="36"/>
          <w:szCs w:val="36"/>
          <w:highlight w:val="none"/>
          <w:lang w:val="en-US" w:eastAsia="zh-CN"/>
        </w:rPr>
      </w:pPr>
      <w:r>
        <w:rPr>
          <w:rFonts w:hint="eastAsia" w:ascii="仿宋" w:hAnsi="仿宋" w:eastAsia="仿宋" w:cs="仿宋"/>
          <w:bCs/>
          <w:sz w:val="36"/>
          <w:szCs w:val="36"/>
          <w:highlight w:val="none"/>
        </w:rPr>
        <w:t>被评价单位：</w:t>
      </w:r>
      <w:r>
        <w:rPr>
          <w:rFonts w:hint="eastAsia" w:ascii="仿宋" w:hAnsi="仿宋" w:eastAsia="仿宋" w:cs="仿宋"/>
          <w:bCs/>
          <w:sz w:val="36"/>
          <w:szCs w:val="36"/>
          <w:highlight w:val="none"/>
          <w:lang w:val="en-US" w:eastAsia="zh-CN"/>
        </w:rPr>
        <w:t>巨鹿县卫生健康局</w:t>
      </w:r>
    </w:p>
    <w:p>
      <w:pPr>
        <w:keepNext w:val="0"/>
        <w:keepLines w:val="0"/>
        <w:pageBreakBefore w:val="0"/>
        <w:kinsoku/>
        <w:wordWrap/>
        <w:overflowPunct/>
        <w:topLinePunct w:val="0"/>
        <w:bidi w:val="0"/>
        <w:snapToGrid w:val="0"/>
        <w:spacing w:before="156" w:beforeLines="50" w:line="600" w:lineRule="exact"/>
        <w:ind w:firstLine="1080" w:firstLineChars="300"/>
        <w:jc w:val="both"/>
        <w:rPr>
          <w:rFonts w:hint="eastAsia" w:ascii="仿宋" w:hAnsi="仿宋" w:eastAsia="仿宋" w:cs="仿宋"/>
          <w:bCs/>
          <w:sz w:val="36"/>
          <w:szCs w:val="36"/>
          <w:highlight w:val="none"/>
          <w:lang w:val="en-US" w:eastAsia="zh-CN"/>
        </w:rPr>
      </w:pPr>
      <w:r>
        <w:rPr>
          <w:rFonts w:hint="eastAsia" w:ascii="仿宋" w:hAnsi="仿宋" w:eastAsia="仿宋" w:cs="仿宋"/>
          <w:bCs/>
          <w:sz w:val="36"/>
          <w:szCs w:val="36"/>
          <w:highlight w:val="none"/>
        </w:rPr>
        <w:t>评价机构：</w:t>
      </w:r>
      <w:r>
        <w:rPr>
          <w:rFonts w:hint="eastAsia" w:ascii="仿宋" w:hAnsi="仿宋" w:eastAsia="仿宋" w:cs="仿宋"/>
          <w:bCs/>
          <w:sz w:val="36"/>
          <w:szCs w:val="36"/>
          <w:highlight w:val="none"/>
          <w:lang w:val="en-US" w:eastAsia="zh-CN"/>
        </w:rPr>
        <w:t>千园和创河北工程项目管理有限公司</w:t>
      </w:r>
    </w:p>
    <w:p>
      <w:pPr>
        <w:keepNext w:val="0"/>
        <w:keepLines w:val="0"/>
        <w:pageBreakBefore w:val="0"/>
        <w:kinsoku/>
        <w:wordWrap/>
        <w:overflowPunct/>
        <w:topLinePunct w:val="0"/>
        <w:bidi w:val="0"/>
        <w:snapToGrid w:val="0"/>
        <w:spacing w:before="156" w:beforeLines="50" w:line="600" w:lineRule="exact"/>
        <w:ind w:firstLine="1080" w:firstLineChars="300"/>
        <w:jc w:val="both"/>
        <w:rPr>
          <w:rFonts w:hint="eastAsia" w:ascii="仿宋" w:hAnsi="仿宋" w:eastAsia="仿宋" w:cs="仿宋"/>
          <w:sz w:val="36"/>
          <w:szCs w:val="36"/>
          <w:highlight w:val="none"/>
        </w:rPr>
      </w:pPr>
      <w:r>
        <w:rPr>
          <w:rFonts w:hint="eastAsia" w:ascii="仿宋" w:hAnsi="仿宋" w:eastAsia="仿宋" w:cs="仿宋"/>
          <w:bCs/>
          <w:sz w:val="36"/>
          <w:szCs w:val="36"/>
          <w:highlight w:val="none"/>
        </w:rPr>
        <w:t>评价时间：</w:t>
      </w:r>
      <w:r>
        <w:rPr>
          <w:rFonts w:hint="eastAsia" w:ascii="仿宋" w:hAnsi="仿宋" w:eastAsia="仿宋" w:cs="仿宋"/>
          <w:bCs/>
          <w:sz w:val="36"/>
          <w:szCs w:val="36"/>
          <w:highlight w:val="none"/>
          <w:lang w:val="en-US" w:eastAsia="zh-CN"/>
        </w:rPr>
        <w:t>2025年12月</w:t>
      </w:r>
    </w:p>
    <w:p>
      <w:pPr>
        <w:keepNext w:val="0"/>
        <w:keepLines w:val="0"/>
        <w:pageBreakBefore w:val="0"/>
        <w:kinsoku/>
        <w:wordWrap/>
        <w:overflowPunct/>
        <w:topLinePunct w:val="0"/>
        <w:bidi w:val="0"/>
        <w:spacing w:before="0" w:beforeLines="0" w:after="0" w:afterLines="0" w:line="600" w:lineRule="exact"/>
        <w:ind w:left="0" w:leftChars="0" w:right="0" w:rightChars="0" w:firstLine="0" w:firstLineChars="0"/>
        <w:jc w:val="center"/>
        <w:rPr>
          <w:rFonts w:hint="eastAsia" w:ascii="仿宋" w:hAnsi="仿宋" w:eastAsia="仿宋" w:cs="仿宋"/>
          <w:kern w:val="2"/>
          <w:sz w:val="21"/>
          <w:szCs w:val="22"/>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105" w:rightChars="50" w:firstLine="0" w:firstLineChars="0"/>
        <w:jc w:val="center"/>
        <w:textAlignment w:val="auto"/>
        <w:rPr>
          <w:rFonts w:hint="eastAsia" w:ascii="仿宋" w:hAnsi="仿宋" w:eastAsia="仿宋" w:cs="仿宋"/>
          <w:sz w:val="30"/>
          <w:szCs w:val="30"/>
        </w:rPr>
        <w:sectPr>
          <w:footerReference r:id="rId3" w:type="default"/>
          <w:pgSz w:w="11906" w:h="16838"/>
          <w:pgMar w:top="2098" w:right="1474" w:bottom="1984" w:left="1587" w:header="851" w:footer="992" w:gutter="0"/>
          <w:pgNumType w:fmt="decimal" w:start="1"/>
          <w:cols w:space="720" w:num="1"/>
          <w:docGrid w:type="lines" w:linePitch="312" w:charSpace="0"/>
        </w:sectPr>
      </w:pPr>
    </w:p>
    <w:p>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105" w:rightChars="50" w:firstLine="0" w:firstLineChars="0"/>
        <w:jc w:val="center"/>
        <w:textAlignment w:val="auto"/>
        <w:rPr>
          <w:rFonts w:hint="eastAsia" w:ascii="仿宋" w:hAnsi="仿宋" w:eastAsia="仿宋" w:cs="仿宋"/>
          <w:sz w:val="32"/>
          <w:szCs w:val="32"/>
        </w:rPr>
      </w:pPr>
      <w:r>
        <w:rPr>
          <w:rFonts w:hint="eastAsia" w:ascii="仿宋" w:hAnsi="仿宋" w:eastAsia="仿宋" w:cs="仿宋"/>
          <w:sz w:val="32"/>
          <w:szCs w:val="32"/>
        </w:rPr>
        <w:t>目</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录</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TOC \o "1-3" \h \u </w:instrText>
      </w:r>
      <w:r>
        <w:rPr>
          <w:rFonts w:hint="eastAsia" w:ascii="仿宋" w:hAnsi="仿宋" w:eastAsia="仿宋" w:cs="仿宋"/>
          <w:sz w:val="32"/>
          <w:szCs w:val="32"/>
        </w:rPr>
        <w:fldChar w:fldCharType="separate"/>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_Toc21650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一、基本情况</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_Toc23326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（一）项目概况</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left="0" w:leftChars="0" w:right="105" w:rightChars="50" w:firstLine="1280" w:firstLineChars="4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_Toc13184 </w:instrText>
      </w:r>
      <w:r>
        <w:rPr>
          <w:rFonts w:hint="eastAsia" w:ascii="仿宋" w:hAnsi="仿宋" w:eastAsia="仿宋" w:cs="仿宋"/>
          <w:sz w:val="32"/>
          <w:szCs w:val="32"/>
        </w:rPr>
        <w:fldChar w:fldCharType="separate"/>
      </w:r>
      <w:r>
        <w:rPr>
          <w:rFonts w:hint="eastAsia" w:ascii="仿宋" w:hAnsi="仿宋" w:eastAsia="仿宋" w:cs="仿宋"/>
          <w:sz w:val="32"/>
          <w:szCs w:val="32"/>
          <w:highlight w:val="none"/>
          <w:lang w:val="en-US" w:eastAsia="zh-CN"/>
        </w:rPr>
        <w:t>1、项目实施背景</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left="0" w:leftChars="0" w:right="105" w:rightChars="50" w:firstLine="1280" w:firstLineChars="4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_Toc20282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highlight w:val="none"/>
        </w:rPr>
        <w:t>项目</w:t>
      </w:r>
      <w:r>
        <w:rPr>
          <w:rFonts w:hint="eastAsia" w:ascii="仿宋" w:hAnsi="仿宋" w:eastAsia="仿宋" w:cs="仿宋"/>
          <w:sz w:val="32"/>
          <w:szCs w:val="32"/>
          <w:highlight w:val="none"/>
          <w:lang w:val="en-US" w:eastAsia="zh-CN"/>
        </w:rPr>
        <w:t>实施及</w:t>
      </w:r>
      <w:r>
        <w:rPr>
          <w:rFonts w:hint="eastAsia" w:ascii="仿宋" w:hAnsi="仿宋" w:eastAsia="仿宋" w:cs="仿宋"/>
          <w:sz w:val="32"/>
          <w:szCs w:val="32"/>
          <w:highlight w:val="none"/>
        </w:rPr>
        <w:t>主要内容</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2</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_Toc19335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（二）项目资金下达及使用情况</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3</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_Toc32107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（三）项目绩效目标</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3</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_Toc11296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二、绩效评价工作开展情况</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6</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_Toc17671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（一）绩效评价目的、对象和内容</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6</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_Toc14287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1、绩效评价目的</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6</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_Toc16623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2、绩效评价对象</w:t>
      </w:r>
      <w:r>
        <w:rPr>
          <w:rFonts w:hint="eastAsia" w:ascii="仿宋" w:hAnsi="仿宋" w:eastAsia="仿宋" w:cs="仿宋"/>
          <w:sz w:val="32"/>
          <w:szCs w:val="32"/>
        </w:rPr>
        <w:fldChar w:fldCharType="end"/>
      </w:r>
      <w:r>
        <w:rPr>
          <w:rFonts w:hint="eastAsia" w:ascii="仿宋" w:hAnsi="仿宋" w:eastAsia="仿宋" w:cs="仿宋"/>
          <w:sz w:val="32"/>
          <w:szCs w:val="32"/>
        </w:rPr>
        <w:tab/>
      </w:r>
      <w:r>
        <w:rPr>
          <w:rFonts w:hint="eastAsia" w:ascii="仿宋" w:hAnsi="仿宋" w:eastAsia="仿宋" w:cs="仿宋"/>
          <w:sz w:val="32"/>
          <w:szCs w:val="32"/>
          <w:lang w:val="en-US" w:eastAsia="zh-CN"/>
        </w:rPr>
        <w:t>6</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3、绩效评价内容</w:t>
      </w:r>
      <w:r>
        <w:rPr>
          <w:rFonts w:hint="eastAsia" w:ascii="仿宋" w:hAnsi="仿宋" w:eastAsia="仿宋" w:cs="仿宋"/>
          <w:sz w:val="32"/>
          <w:szCs w:val="32"/>
        </w:rPr>
        <w:tab/>
      </w:r>
      <w:r>
        <w:rPr>
          <w:rFonts w:hint="eastAsia" w:ascii="仿宋" w:hAnsi="仿宋" w:eastAsia="仿宋" w:cs="仿宋"/>
          <w:sz w:val="32"/>
          <w:szCs w:val="32"/>
          <w:lang w:val="en-US" w:eastAsia="zh-CN"/>
        </w:rPr>
        <w:t>6</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_Toc29529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（二）绩效评价原则、评价方法</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6</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_Toc23591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1、评价原则</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6</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_Toc9542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2、评价方法</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7</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_Toc29761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（三）评价标准</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8</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_Toc10621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（四）评价指标体系</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8</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_Toc32690 </w:instrText>
      </w:r>
      <w:r>
        <w:rPr>
          <w:rFonts w:hint="eastAsia" w:ascii="仿宋" w:hAnsi="仿宋" w:eastAsia="仿宋" w:cs="仿宋"/>
          <w:sz w:val="32"/>
          <w:szCs w:val="32"/>
        </w:rPr>
        <w:fldChar w:fldCharType="separate"/>
      </w:r>
      <w:r>
        <w:rPr>
          <w:rFonts w:hint="eastAsia" w:ascii="仿宋" w:hAnsi="仿宋" w:eastAsia="仿宋" w:cs="仿宋"/>
          <w:bCs/>
          <w:sz w:val="32"/>
          <w:szCs w:val="32"/>
          <w:highlight w:val="none"/>
        </w:rPr>
        <w:t>（五）绩效评价工作过程</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8</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_Toc17923 </w:instrText>
      </w:r>
      <w:r>
        <w:rPr>
          <w:rFonts w:hint="eastAsia" w:ascii="仿宋" w:hAnsi="仿宋" w:eastAsia="仿宋" w:cs="仿宋"/>
          <w:sz w:val="32"/>
          <w:szCs w:val="32"/>
        </w:rPr>
        <w:fldChar w:fldCharType="separate"/>
      </w:r>
      <w:r>
        <w:rPr>
          <w:rFonts w:hint="eastAsia" w:ascii="仿宋" w:hAnsi="仿宋" w:eastAsia="仿宋" w:cs="仿宋"/>
          <w:sz w:val="32"/>
          <w:szCs w:val="32"/>
          <w:highlight w:val="none"/>
        </w:rPr>
        <w:t>1</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前期准备阶段</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8</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_Toc22577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2、组织实施阶段</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8</w:t>
      </w:r>
    </w:p>
    <w:p>
      <w:pPr>
        <w:pStyle w:val="13"/>
        <w:keepNext w:val="0"/>
        <w:keepLines w:val="0"/>
        <w:pageBreakBefore w:val="0"/>
        <w:widowControl/>
        <w:tabs>
          <w:tab w:val="left" w:pos="840"/>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_Toc29296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3、报告撰写及归档阶段</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9</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_Toc28872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三、综合评价情况及评价结论</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9</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_Toc4147 </w:instrText>
      </w:r>
      <w:r>
        <w:rPr>
          <w:rFonts w:hint="eastAsia" w:ascii="仿宋" w:hAnsi="仿宋" w:eastAsia="仿宋" w:cs="仿宋"/>
          <w:sz w:val="32"/>
          <w:szCs w:val="32"/>
        </w:rPr>
        <w:fldChar w:fldCharType="separate"/>
      </w:r>
      <w:r>
        <w:rPr>
          <w:rFonts w:hint="eastAsia" w:ascii="仿宋" w:hAnsi="仿宋" w:eastAsia="仿宋" w:cs="仿宋"/>
          <w:bCs/>
          <w:sz w:val="32"/>
          <w:szCs w:val="32"/>
          <w:lang w:val="en-US" w:eastAsia="zh-CN"/>
        </w:rPr>
        <w:t>（一）综合评价情况</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9</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_Toc7564 </w:instrText>
      </w:r>
      <w:r>
        <w:rPr>
          <w:rFonts w:hint="eastAsia" w:ascii="仿宋" w:hAnsi="仿宋" w:eastAsia="仿宋" w:cs="仿宋"/>
          <w:sz w:val="32"/>
          <w:szCs w:val="32"/>
        </w:rPr>
        <w:fldChar w:fldCharType="separate"/>
      </w:r>
      <w:r>
        <w:rPr>
          <w:rFonts w:hint="eastAsia" w:ascii="仿宋" w:hAnsi="仿宋" w:eastAsia="仿宋" w:cs="仿宋"/>
          <w:bCs/>
          <w:sz w:val="32"/>
          <w:szCs w:val="32"/>
          <w:highlight w:val="none"/>
        </w:rPr>
        <w:t>（二）评价结论</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10</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_Toc16868 </w:instrText>
      </w:r>
      <w:r>
        <w:rPr>
          <w:rFonts w:hint="eastAsia" w:ascii="仿宋" w:hAnsi="仿宋" w:eastAsia="仿宋" w:cs="仿宋"/>
          <w:sz w:val="32"/>
          <w:szCs w:val="32"/>
        </w:rPr>
        <w:fldChar w:fldCharType="separate"/>
      </w:r>
      <w:r>
        <w:rPr>
          <w:rFonts w:hint="eastAsia" w:ascii="仿宋" w:hAnsi="仿宋" w:eastAsia="仿宋" w:cs="仿宋"/>
          <w:sz w:val="32"/>
          <w:szCs w:val="32"/>
          <w:highlight w:val="none"/>
          <w:shd w:val="clear" w:color="auto" w:fill="FFFFFF"/>
        </w:rPr>
        <w:t>四、绩效评价分析</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10</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eastAsia" w:ascii="仿宋" w:hAnsi="仿宋" w:eastAsia="仿宋" w:cs="仿宋"/>
          <w:sz w:val="32"/>
          <w:szCs w:val="32"/>
        </w:rPr>
        <w:sectPr>
          <w:footerReference r:id="rId4" w:type="default"/>
          <w:pgSz w:w="11906" w:h="16838"/>
          <w:pgMar w:top="2098" w:right="1474" w:bottom="1984" w:left="1587" w:header="851" w:footer="992" w:gutter="0"/>
          <w:pgNumType w:fmt="decimal" w:start="1"/>
          <w:cols w:space="720" w:num="1"/>
          <w:docGrid w:type="lines" w:linePitch="312" w:charSpace="0"/>
        </w:sectPr>
      </w:pP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_Toc550 </w:instrText>
      </w:r>
      <w:r>
        <w:rPr>
          <w:rFonts w:hint="eastAsia" w:ascii="仿宋" w:hAnsi="仿宋" w:eastAsia="仿宋" w:cs="仿宋"/>
          <w:sz w:val="32"/>
          <w:szCs w:val="32"/>
        </w:rPr>
        <w:fldChar w:fldCharType="separate"/>
      </w:r>
      <w:r>
        <w:rPr>
          <w:rFonts w:hint="eastAsia" w:ascii="仿宋" w:hAnsi="仿宋" w:eastAsia="仿宋" w:cs="仿宋"/>
          <w:bCs/>
          <w:sz w:val="32"/>
          <w:szCs w:val="32"/>
          <w:highlight w:val="none"/>
        </w:rPr>
        <w:t>（一）</w:t>
      </w:r>
      <w:r>
        <w:rPr>
          <w:rFonts w:hint="eastAsia" w:ascii="仿宋" w:hAnsi="仿宋" w:eastAsia="仿宋" w:cs="仿宋"/>
          <w:bCs/>
          <w:sz w:val="32"/>
          <w:szCs w:val="32"/>
          <w:highlight w:val="none"/>
          <w:lang w:val="en-US" w:eastAsia="zh-CN"/>
        </w:rPr>
        <w:t>决策</w:t>
      </w:r>
      <w:r>
        <w:rPr>
          <w:rFonts w:hint="eastAsia" w:ascii="仿宋" w:hAnsi="仿宋" w:eastAsia="仿宋" w:cs="仿宋"/>
          <w:bCs/>
          <w:sz w:val="32"/>
          <w:szCs w:val="32"/>
          <w:highlight w:val="none"/>
        </w:rPr>
        <w:t>分析</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10</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_Toc16944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highlight w:val="none"/>
        </w:rPr>
        <w:t>项目立项</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10</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kern w:val="2"/>
          <w:sz w:val="32"/>
          <w:szCs w:val="32"/>
          <w:lang w:val="en-US" w:eastAsia="zh-CN" w:bidi="ar-SA"/>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_Toc9615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2、绩效目标</w:t>
      </w:r>
      <w:r>
        <w:rPr>
          <w:rFonts w:hint="eastAsia" w:ascii="仿宋" w:hAnsi="仿宋" w:eastAsia="仿宋" w:cs="仿宋"/>
          <w:sz w:val="32"/>
          <w:szCs w:val="32"/>
        </w:rPr>
        <w:tab/>
      </w:r>
      <w:r>
        <w:rPr>
          <w:rFonts w:hint="eastAsia" w:ascii="仿宋" w:hAnsi="仿宋" w:eastAsia="仿宋" w:cs="仿宋"/>
          <w:sz w:val="32"/>
          <w:szCs w:val="32"/>
          <w:lang w:val="en-US" w:eastAsia="zh-CN"/>
        </w:rPr>
        <w:t>11</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3、</w:t>
      </w:r>
      <w:r>
        <w:rPr>
          <w:rFonts w:hint="eastAsia" w:ascii="仿宋" w:hAnsi="仿宋" w:eastAsia="仿宋" w:cs="仿宋"/>
          <w:sz w:val="32"/>
          <w:szCs w:val="32"/>
          <w:highlight w:val="none"/>
          <w:lang w:val="en-US" w:eastAsia="zh-CN"/>
        </w:rPr>
        <w:t>资金投入</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11</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_Toc24361 </w:instrText>
      </w:r>
      <w:r>
        <w:rPr>
          <w:rFonts w:hint="eastAsia" w:ascii="仿宋" w:hAnsi="仿宋" w:eastAsia="仿宋" w:cs="仿宋"/>
          <w:sz w:val="32"/>
          <w:szCs w:val="32"/>
        </w:rPr>
        <w:fldChar w:fldCharType="separate"/>
      </w:r>
      <w:r>
        <w:rPr>
          <w:rFonts w:hint="eastAsia" w:ascii="仿宋" w:hAnsi="仿宋" w:eastAsia="仿宋" w:cs="仿宋"/>
          <w:bCs/>
          <w:sz w:val="32"/>
          <w:szCs w:val="32"/>
          <w:highlight w:val="none"/>
        </w:rPr>
        <w:t>（二</w:t>
      </w:r>
      <w:r>
        <w:rPr>
          <w:rFonts w:hint="eastAsia" w:ascii="仿宋" w:hAnsi="仿宋" w:eastAsia="仿宋" w:cs="仿宋"/>
          <w:bCs/>
          <w:sz w:val="32"/>
          <w:szCs w:val="32"/>
          <w:highlight w:val="none"/>
          <w:lang w:eastAsia="zh-CN"/>
        </w:rPr>
        <w:t>）</w:t>
      </w:r>
      <w:r>
        <w:rPr>
          <w:rFonts w:hint="eastAsia" w:ascii="仿宋" w:hAnsi="仿宋" w:eastAsia="仿宋" w:cs="仿宋"/>
          <w:bCs/>
          <w:sz w:val="32"/>
          <w:szCs w:val="32"/>
          <w:highlight w:val="none"/>
        </w:rPr>
        <w:t>过程分析</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12</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_Toc23720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资金</w:t>
      </w:r>
      <w:r>
        <w:rPr>
          <w:rFonts w:hint="eastAsia" w:ascii="仿宋" w:hAnsi="仿宋" w:eastAsia="仿宋" w:cs="仿宋"/>
          <w:sz w:val="32"/>
          <w:szCs w:val="32"/>
        </w:rPr>
        <w:t>管理</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13</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_Toc9464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highlight w:val="none"/>
          <w:lang w:val="en-US" w:eastAsia="zh-CN"/>
        </w:rPr>
        <w:t>组织实施</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13</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_Toc2708 </w:instrText>
      </w:r>
      <w:r>
        <w:rPr>
          <w:rFonts w:hint="eastAsia" w:ascii="仿宋" w:hAnsi="仿宋" w:eastAsia="仿宋" w:cs="仿宋"/>
          <w:sz w:val="32"/>
          <w:szCs w:val="32"/>
        </w:rPr>
        <w:fldChar w:fldCharType="separate"/>
      </w:r>
      <w:r>
        <w:rPr>
          <w:rFonts w:hint="eastAsia" w:ascii="仿宋" w:hAnsi="仿宋" w:eastAsia="仿宋" w:cs="仿宋"/>
          <w:sz w:val="32"/>
          <w:szCs w:val="32"/>
          <w:highlight w:val="none"/>
          <w:lang w:eastAsia="zh-CN"/>
        </w:rPr>
        <w:t>（三）</w:t>
      </w:r>
      <w:r>
        <w:rPr>
          <w:rFonts w:hint="eastAsia" w:ascii="仿宋" w:hAnsi="仿宋" w:eastAsia="仿宋" w:cs="仿宋"/>
          <w:sz w:val="32"/>
          <w:szCs w:val="32"/>
          <w:highlight w:val="none"/>
          <w:lang w:val="en-US" w:eastAsia="zh-CN"/>
        </w:rPr>
        <w:t>产出分析</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14</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_Toc23366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highlight w:val="none"/>
          <w:lang w:val="en-US" w:eastAsia="zh-CN"/>
        </w:rPr>
        <w:t>产出数量</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14</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_Toc27915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highlight w:val="none"/>
          <w:lang w:val="en-US" w:eastAsia="zh-CN"/>
        </w:rPr>
        <w:t>产出质量</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14</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3、产出时效</w:t>
      </w:r>
      <w:r>
        <w:rPr>
          <w:rFonts w:hint="eastAsia" w:ascii="仿宋" w:hAnsi="仿宋" w:eastAsia="仿宋" w:cs="仿宋"/>
          <w:sz w:val="32"/>
          <w:szCs w:val="32"/>
        </w:rPr>
        <w:tab/>
      </w:r>
      <w:r>
        <w:rPr>
          <w:rFonts w:hint="eastAsia" w:ascii="仿宋" w:hAnsi="仿宋" w:eastAsia="仿宋" w:cs="仿宋"/>
          <w:sz w:val="32"/>
          <w:szCs w:val="32"/>
          <w:lang w:val="en-US" w:eastAsia="zh-CN"/>
        </w:rPr>
        <w:t>15</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4、产出成本</w:t>
      </w:r>
      <w:r>
        <w:rPr>
          <w:rFonts w:hint="eastAsia" w:ascii="仿宋" w:hAnsi="仿宋" w:eastAsia="仿宋" w:cs="仿宋"/>
          <w:sz w:val="32"/>
          <w:szCs w:val="32"/>
        </w:rPr>
        <w:tab/>
      </w:r>
      <w:r>
        <w:rPr>
          <w:rFonts w:hint="eastAsia" w:ascii="仿宋" w:hAnsi="仿宋" w:eastAsia="仿宋" w:cs="仿宋"/>
          <w:sz w:val="32"/>
          <w:szCs w:val="32"/>
          <w:lang w:val="en-US" w:eastAsia="zh-CN"/>
        </w:rPr>
        <w:t>15</w:t>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_Toc11592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（四）效益分析</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15</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_Toc22142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实施</w:t>
      </w:r>
      <w:r>
        <w:rPr>
          <w:rFonts w:hint="eastAsia" w:ascii="仿宋" w:hAnsi="仿宋" w:eastAsia="仿宋" w:cs="仿宋"/>
          <w:sz w:val="32"/>
          <w:szCs w:val="32"/>
        </w:rPr>
        <w:t>效益</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15</w:t>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320" w:firstLineChars="1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_Toc18750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2、满意度</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16</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_Toc8959 </w:instrText>
      </w:r>
      <w:r>
        <w:rPr>
          <w:rFonts w:hint="eastAsia" w:ascii="仿宋" w:hAnsi="仿宋" w:eastAsia="仿宋" w:cs="仿宋"/>
          <w:sz w:val="32"/>
          <w:szCs w:val="32"/>
        </w:rPr>
        <w:fldChar w:fldCharType="separate"/>
      </w:r>
      <w:r>
        <w:rPr>
          <w:rFonts w:hint="eastAsia" w:ascii="仿宋" w:hAnsi="仿宋" w:eastAsia="仿宋" w:cs="仿宋"/>
          <w:sz w:val="32"/>
          <w:szCs w:val="32"/>
          <w:highlight w:val="none"/>
          <w:shd w:val="clear" w:color="auto" w:fill="FFFFFF"/>
        </w:rPr>
        <w:t>五、存在</w:t>
      </w:r>
      <w:r>
        <w:rPr>
          <w:rFonts w:hint="eastAsia" w:ascii="仿宋" w:hAnsi="仿宋" w:eastAsia="仿宋" w:cs="仿宋"/>
          <w:sz w:val="32"/>
          <w:szCs w:val="32"/>
          <w:highlight w:val="none"/>
          <w:shd w:val="clear" w:color="auto" w:fill="FFFFFF"/>
          <w:lang w:eastAsia="zh-CN"/>
        </w:rPr>
        <w:t>的</w:t>
      </w:r>
      <w:r>
        <w:rPr>
          <w:rFonts w:hint="eastAsia" w:ascii="仿宋" w:hAnsi="仿宋" w:eastAsia="仿宋" w:cs="仿宋"/>
          <w:sz w:val="32"/>
          <w:szCs w:val="32"/>
          <w:highlight w:val="none"/>
          <w:shd w:val="clear" w:color="auto" w:fill="FFFFFF"/>
        </w:rPr>
        <w:t>问题</w:t>
      </w:r>
      <w:r>
        <w:rPr>
          <w:rFonts w:hint="eastAsia" w:ascii="仿宋" w:hAnsi="仿宋" w:eastAsia="仿宋" w:cs="仿宋"/>
          <w:sz w:val="32"/>
          <w:szCs w:val="32"/>
          <w:highlight w:val="none"/>
          <w:shd w:val="clear" w:color="auto" w:fill="FFFFFF"/>
          <w:lang w:val="en-US" w:eastAsia="zh-CN"/>
        </w:rPr>
        <w:t>及建议</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17</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ind w:right="105" w:rightChars="50"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_Toc11856 </w:instrText>
      </w:r>
      <w:r>
        <w:rPr>
          <w:rFonts w:hint="eastAsia" w:ascii="仿宋" w:hAnsi="仿宋" w:eastAsia="仿宋" w:cs="仿宋"/>
          <w:sz w:val="32"/>
          <w:szCs w:val="32"/>
        </w:rPr>
        <w:fldChar w:fldCharType="separate"/>
      </w:r>
      <w:r>
        <w:rPr>
          <w:rFonts w:hint="eastAsia" w:ascii="仿宋" w:hAnsi="仿宋" w:eastAsia="仿宋" w:cs="仿宋"/>
          <w:sz w:val="32"/>
          <w:szCs w:val="32"/>
          <w:highlight w:val="none"/>
          <w:shd w:val="clear" w:color="auto" w:fill="FFFFFF"/>
          <w:lang w:val="en-US" w:eastAsia="zh-CN"/>
        </w:rPr>
        <w:t>六</w:t>
      </w:r>
      <w:r>
        <w:rPr>
          <w:rFonts w:hint="eastAsia" w:ascii="仿宋" w:hAnsi="仿宋" w:eastAsia="仿宋" w:cs="仿宋"/>
          <w:sz w:val="32"/>
          <w:szCs w:val="32"/>
          <w:highlight w:val="none"/>
          <w:shd w:val="clear" w:color="auto" w:fill="FFFFFF"/>
        </w:rPr>
        <w:t>、其他需要说明的问题</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18</w:t>
      </w:r>
    </w:p>
    <w:p>
      <w:pPr>
        <w:keepNext w:val="0"/>
        <w:keepLines w:val="0"/>
        <w:pageBreakBefore w:val="0"/>
        <w:kinsoku/>
        <w:wordWrap/>
        <w:overflowPunct/>
        <w:topLinePunct w:val="0"/>
        <w:autoSpaceDE/>
        <w:autoSpaceDN/>
        <w:bidi w:val="0"/>
        <w:adjustRightInd/>
        <w:snapToGrid/>
        <w:spacing w:line="240" w:lineRule="auto"/>
        <w:ind w:right="105" w:rightChars="50"/>
        <w:textAlignment w:val="auto"/>
        <w:rPr>
          <w:rFonts w:hint="eastAsia" w:ascii="仿宋" w:hAnsi="仿宋" w:eastAsia="仿宋" w:cs="仿宋"/>
          <w:sz w:val="32"/>
          <w:szCs w:val="32"/>
        </w:rPr>
      </w:pPr>
      <w:r>
        <w:rPr>
          <w:rFonts w:hint="eastAsia" w:ascii="仿宋" w:hAnsi="仿宋" w:eastAsia="仿宋" w:cs="仿宋"/>
          <w:sz w:val="32"/>
          <w:szCs w:val="32"/>
        </w:rPr>
        <w:fldChar w:fldCharType="end"/>
      </w:r>
    </w:p>
    <w:p>
      <w:pPr>
        <w:keepNext w:val="0"/>
        <w:keepLines w:val="0"/>
        <w:pageBreakBefore w:val="0"/>
        <w:widowControl/>
        <w:kinsoku/>
        <w:wordWrap/>
        <w:overflowPunct/>
        <w:topLinePunct w:val="0"/>
        <w:autoSpaceDE w:val="0"/>
        <w:autoSpaceDN w:val="0"/>
        <w:bidi w:val="0"/>
        <w:adjustRightInd w:val="0"/>
        <w:snapToGrid w:val="0"/>
        <w:spacing w:line="240" w:lineRule="auto"/>
        <w:ind w:right="0"/>
        <w:textAlignment w:val="baseline"/>
        <w:rPr>
          <w:rFonts w:hint="eastAsia" w:ascii="仿宋" w:hAnsi="仿宋" w:eastAsia="仿宋" w:cs="仿宋"/>
          <w:spacing w:val="0"/>
          <w:w w:val="100"/>
          <w:kern w:val="2"/>
          <w:position w:val="0"/>
          <w:sz w:val="28"/>
          <w:szCs w:val="28"/>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600" w:lineRule="exact"/>
        <w:ind w:right="0"/>
        <w:textAlignment w:val="baseline"/>
        <w:rPr>
          <w:rFonts w:hint="eastAsia" w:ascii="仿宋" w:hAnsi="仿宋" w:eastAsia="仿宋" w:cs="仿宋"/>
          <w:spacing w:val="0"/>
          <w:w w:val="100"/>
          <w:kern w:val="2"/>
          <w:position w:val="0"/>
          <w:sz w:val="32"/>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600" w:lineRule="exact"/>
        <w:ind w:right="0"/>
        <w:textAlignment w:val="baseline"/>
        <w:rPr>
          <w:rFonts w:hint="eastAsia" w:ascii="仿宋" w:hAnsi="仿宋" w:eastAsia="仿宋" w:cs="仿宋"/>
          <w:spacing w:val="0"/>
          <w:w w:val="100"/>
          <w:kern w:val="2"/>
          <w:position w:val="0"/>
          <w:sz w:val="32"/>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600" w:lineRule="exact"/>
        <w:ind w:right="0"/>
        <w:textAlignment w:val="baseline"/>
        <w:rPr>
          <w:rFonts w:hint="eastAsia" w:ascii="仿宋" w:hAnsi="仿宋" w:eastAsia="仿宋" w:cs="仿宋"/>
          <w:spacing w:val="0"/>
          <w:w w:val="100"/>
          <w:kern w:val="2"/>
          <w:position w:val="0"/>
          <w:sz w:val="32"/>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600" w:lineRule="exact"/>
        <w:ind w:right="0"/>
        <w:textAlignment w:val="baseline"/>
        <w:rPr>
          <w:rFonts w:hint="eastAsia" w:ascii="仿宋" w:hAnsi="仿宋" w:eastAsia="仿宋" w:cs="仿宋"/>
          <w:spacing w:val="0"/>
          <w:w w:val="100"/>
          <w:kern w:val="2"/>
          <w:position w:val="0"/>
          <w:sz w:val="32"/>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600" w:lineRule="exact"/>
        <w:ind w:right="0"/>
        <w:textAlignment w:val="baseline"/>
        <w:rPr>
          <w:rFonts w:hint="eastAsia" w:ascii="仿宋" w:hAnsi="仿宋" w:eastAsia="仿宋" w:cs="仿宋"/>
          <w:spacing w:val="0"/>
          <w:w w:val="100"/>
          <w:kern w:val="2"/>
          <w:position w:val="0"/>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outlineLvl w:val="0"/>
        <w:rPr>
          <w:rFonts w:hint="eastAsia" w:ascii="仿宋" w:hAnsi="仿宋" w:eastAsia="仿宋" w:cs="仿宋"/>
          <w:bCs/>
          <w:sz w:val="30"/>
          <w:szCs w:val="30"/>
          <w:highlight w:val="none"/>
          <w:lang w:val="en-US" w:eastAsia="zh-CN"/>
        </w:rPr>
        <w:sectPr>
          <w:footerReference r:id="rId5" w:type="default"/>
          <w:pgSz w:w="11906" w:h="16838"/>
          <w:pgMar w:top="2098" w:right="1474" w:bottom="1984" w:left="1587" w:header="851" w:footer="992" w:gutter="0"/>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outlineLvl w:val="0"/>
        <w:rPr>
          <w:rFonts w:hint="eastAsia" w:ascii="仿宋" w:hAnsi="仿宋" w:eastAsia="仿宋" w:cs="仿宋"/>
          <w:bCs/>
          <w:sz w:val="32"/>
          <w:szCs w:val="32"/>
          <w:highlight w:val="none"/>
          <w:lang w:val="en-US" w:eastAsia="zh-CN"/>
        </w:rPr>
      </w:pPr>
      <w:r>
        <w:rPr>
          <w:rFonts w:hint="eastAsia" w:ascii="仿宋" w:hAnsi="仿宋" w:eastAsia="仿宋" w:cs="仿宋"/>
          <w:bCs/>
          <w:sz w:val="32"/>
          <w:szCs w:val="32"/>
          <w:highlight w:val="none"/>
          <w:lang w:val="en-US" w:eastAsia="zh-CN"/>
        </w:rPr>
        <w:t>巨鹿县卫生健康局</w:t>
      </w:r>
    </w:p>
    <w:p>
      <w:pPr>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outlineLvl w:val="0"/>
        <w:rPr>
          <w:rFonts w:hint="eastAsia" w:ascii="仿宋" w:hAnsi="仿宋" w:eastAsia="仿宋" w:cs="仿宋"/>
          <w:bCs/>
          <w:sz w:val="32"/>
          <w:szCs w:val="32"/>
          <w:highlight w:val="none"/>
          <w:lang w:val="en-US" w:eastAsia="zh-CN"/>
        </w:rPr>
      </w:pPr>
      <w:r>
        <w:rPr>
          <w:rFonts w:hint="eastAsia" w:ascii="仿宋" w:hAnsi="仿宋" w:eastAsia="仿宋" w:cs="仿宋"/>
          <w:bCs/>
          <w:sz w:val="32"/>
          <w:szCs w:val="32"/>
          <w:highlight w:val="none"/>
          <w:lang w:val="en-US" w:eastAsia="zh-CN"/>
        </w:rPr>
        <w:t>2024年度基本公共卫生服务资金</w:t>
      </w:r>
    </w:p>
    <w:p>
      <w:pPr>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outlineLvl w:val="0"/>
        <w:rPr>
          <w:rFonts w:hint="eastAsia" w:ascii="仿宋" w:hAnsi="仿宋" w:eastAsia="仿宋" w:cs="仿宋"/>
          <w:bCs/>
          <w:sz w:val="32"/>
          <w:szCs w:val="32"/>
          <w:highlight w:val="none"/>
          <w:lang w:val="en-US" w:eastAsia="zh-CN"/>
        </w:rPr>
      </w:pPr>
      <w:r>
        <w:rPr>
          <w:rFonts w:hint="eastAsia" w:ascii="仿宋" w:hAnsi="仿宋" w:eastAsia="仿宋" w:cs="仿宋"/>
          <w:bCs/>
          <w:sz w:val="32"/>
          <w:szCs w:val="32"/>
          <w:highlight w:val="none"/>
          <w:lang w:val="en-US" w:eastAsia="zh-CN"/>
        </w:rPr>
        <w:t>及妇女“两癌”筛查项目</w:t>
      </w:r>
    </w:p>
    <w:p>
      <w:pPr>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outlineLvl w:val="0"/>
        <w:rPr>
          <w:rFonts w:hint="eastAsia" w:ascii="仿宋" w:hAnsi="仿宋" w:eastAsia="仿宋" w:cs="仿宋"/>
          <w:bCs/>
          <w:sz w:val="32"/>
          <w:szCs w:val="32"/>
          <w:highlight w:val="none"/>
        </w:rPr>
      </w:pPr>
      <w:r>
        <w:rPr>
          <w:rFonts w:hint="eastAsia" w:ascii="仿宋" w:hAnsi="仿宋" w:eastAsia="仿宋" w:cs="仿宋"/>
          <w:bCs/>
          <w:sz w:val="32"/>
          <w:szCs w:val="32"/>
          <w:highlight w:val="none"/>
          <w:lang w:val="en-US" w:eastAsia="zh-CN"/>
        </w:rPr>
        <w:t>财政绩效评价报告</w:t>
      </w:r>
    </w:p>
    <w:p>
      <w:pPr>
        <w:keepNext w:val="0"/>
        <w:keepLines w:val="0"/>
        <w:pageBreakBefore w:val="0"/>
        <w:widowControl/>
        <w:kinsoku/>
        <w:wordWrap/>
        <w:overflowPunct/>
        <w:topLinePunct w:val="0"/>
        <w:autoSpaceDE w:val="0"/>
        <w:autoSpaceDN w:val="0"/>
        <w:bidi w:val="0"/>
        <w:adjustRightInd w:val="0"/>
        <w:snapToGrid w:val="0"/>
        <w:spacing w:line="520" w:lineRule="exact"/>
        <w:ind w:right="0"/>
        <w:textAlignment w:val="baseline"/>
        <w:rPr>
          <w:rFonts w:hint="eastAsia" w:ascii="仿宋" w:hAnsi="仿宋" w:eastAsia="仿宋" w:cs="仿宋"/>
          <w:spacing w:val="0"/>
          <w:w w:val="100"/>
          <w:kern w:val="2"/>
          <w:position w:val="0"/>
          <w:sz w:val="32"/>
          <w:szCs w:val="32"/>
          <w:highlight w:val="none"/>
        </w:rPr>
      </w:pPr>
      <w:r>
        <w:rPr>
          <w:rFonts w:hint="eastAsia" w:ascii="仿宋" w:hAnsi="仿宋" w:eastAsia="仿宋" w:cs="仿宋"/>
          <w:spacing w:val="0"/>
          <w:w w:val="100"/>
          <w:kern w:val="2"/>
          <w:position w:val="0"/>
          <w:sz w:val="32"/>
          <w:szCs w:val="32"/>
          <w:highlight w:val="none"/>
          <w:lang w:eastAsia="zh-CN"/>
        </w:rPr>
        <w:t>巨鹿县</w:t>
      </w:r>
      <w:r>
        <w:rPr>
          <w:rFonts w:hint="eastAsia" w:ascii="仿宋" w:hAnsi="仿宋" w:eastAsia="仿宋" w:cs="仿宋"/>
          <w:spacing w:val="0"/>
          <w:w w:val="100"/>
          <w:kern w:val="2"/>
          <w:position w:val="0"/>
          <w:sz w:val="32"/>
          <w:szCs w:val="32"/>
          <w:highlight w:val="none"/>
          <w:lang w:val="en-US" w:eastAsia="zh-CN"/>
        </w:rPr>
        <w:t>财政</w:t>
      </w:r>
      <w:r>
        <w:rPr>
          <w:rFonts w:hint="eastAsia" w:ascii="仿宋" w:hAnsi="仿宋" w:eastAsia="仿宋" w:cs="仿宋"/>
          <w:spacing w:val="0"/>
          <w:w w:val="100"/>
          <w:kern w:val="2"/>
          <w:position w:val="0"/>
          <w:sz w:val="32"/>
          <w:szCs w:val="32"/>
          <w:highlight w:val="none"/>
          <w:lang w:eastAsia="zh-CN"/>
        </w:rPr>
        <w:t>局</w:t>
      </w:r>
      <w:r>
        <w:rPr>
          <w:rFonts w:hint="eastAsia" w:ascii="仿宋" w:hAnsi="仿宋" w:eastAsia="仿宋" w:cs="仿宋"/>
          <w:spacing w:val="0"/>
          <w:w w:val="100"/>
          <w:kern w:val="2"/>
          <w:position w:val="0"/>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520" w:lineRule="exact"/>
        <w:ind w:left="0" w:leftChars="0" w:right="0" w:firstLine="640" w:firstLineChars="200"/>
        <w:textAlignment w:val="baseline"/>
        <w:rPr>
          <w:rFonts w:hint="eastAsia" w:ascii="仿宋" w:hAnsi="仿宋" w:eastAsia="仿宋" w:cs="仿宋"/>
          <w:spacing w:val="0"/>
          <w:w w:val="100"/>
          <w:kern w:val="2"/>
          <w:position w:val="0"/>
          <w:sz w:val="32"/>
          <w:szCs w:val="32"/>
          <w:highlight w:val="none"/>
        </w:rPr>
      </w:pPr>
      <w:r>
        <w:rPr>
          <w:rFonts w:hint="eastAsia" w:ascii="仿宋" w:hAnsi="仿宋" w:eastAsia="仿宋" w:cs="仿宋"/>
          <w:sz w:val="32"/>
          <w:szCs w:val="32"/>
          <w:lang w:val="en-US" w:eastAsia="zh-CN"/>
        </w:rPr>
        <w:t>我公司根据贵局下发的《</w:t>
      </w:r>
      <w:r>
        <w:rPr>
          <w:rFonts w:hint="eastAsia" w:ascii="仿宋" w:hAnsi="仿宋" w:eastAsia="仿宋" w:cs="仿宋"/>
          <w:spacing w:val="0"/>
          <w:w w:val="100"/>
          <w:kern w:val="2"/>
          <w:position w:val="0"/>
          <w:sz w:val="32"/>
          <w:szCs w:val="32"/>
          <w:highlight w:val="none"/>
          <w:lang w:val="en-US" w:eastAsia="zh-CN"/>
        </w:rPr>
        <w:t>巨鹿</w:t>
      </w:r>
      <w:r>
        <w:rPr>
          <w:rFonts w:hint="eastAsia" w:ascii="仿宋" w:hAnsi="仿宋" w:eastAsia="仿宋" w:cs="仿宋"/>
          <w:spacing w:val="0"/>
          <w:w w:val="100"/>
          <w:kern w:val="2"/>
          <w:position w:val="0"/>
          <w:sz w:val="32"/>
          <w:szCs w:val="32"/>
          <w:highlight w:val="none"/>
          <w:lang w:eastAsia="zh-CN"/>
        </w:rPr>
        <w:t>县</w:t>
      </w:r>
      <w:r>
        <w:rPr>
          <w:rFonts w:hint="eastAsia" w:ascii="仿宋" w:hAnsi="仿宋" w:eastAsia="仿宋" w:cs="仿宋"/>
          <w:spacing w:val="0"/>
          <w:w w:val="100"/>
          <w:kern w:val="2"/>
          <w:position w:val="0"/>
          <w:sz w:val="32"/>
          <w:szCs w:val="32"/>
          <w:highlight w:val="none"/>
          <w:lang w:val="en-US" w:eastAsia="zh-CN"/>
        </w:rPr>
        <w:t>财政局关于开展2024年度部门绩效自评和重点自评工作</w:t>
      </w:r>
      <w:r>
        <w:rPr>
          <w:rFonts w:hint="eastAsia" w:ascii="仿宋" w:hAnsi="仿宋" w:eastAsia="仿宋" w:cs="仿宋"/>
          <w:spacing w:val="0"/>
          <w:w w:val="100"/>
          <w:kern w:val="2"/>
          <w:position w:val="0"/>
          <w:sz w:val="32"/>
          <w:szCs w:val="32"/>
          <w:highlight w:val="none"/>
        </w:rPr>
        <w:t>的通知</w:t>
      </w:r>
      <w:r>
        <w:rPr>
          <w:rFonts w:hint="eastAsia" w:ascii="仿宋" w:hAnsi="仿宋" w:eastAsia="仿宋" w:cs="仿宋"/>
          <w:sz w:val="32"/>
          <w:szCs w:val="32"/>
          <w:lang w:val="en-US" w:eastAsia="zh-CN"/>
        </w:rPr>
        <w:t>》的要求，接受委托对</w:t>
      </w:r>
      <w:r>
        <w:rPr>
          <w:rFonts w:hint="eastAsia" w:ascii="仿宋" w:hAnsi="仿宋" w:eastAsia="仿宋" w:cs="仿宋"/>
          <w:sz w:val="32"/>
          <w:szCs w:val="32"/>
          <w:highlight w:val="none"/>
          <w:lang w:val="en-US" w:eastAsia="zh-CN"/>
        </w:rPr>
        <w:t>2024年度基本公共卫生服务资金及妇女“两癌”筛查项目开展财政绩</w:t>
      </w:r>
      <w:r>
        <w:rPr>
          <w:rFonts w:hint="eastAsia" w:ascii="仿宋" w:hAnsi="仿宋" w:eastAsia="仿宋" w:cs="仿宋"/>
          <w:sz w:val="32"/>
          <w:szCs w:val="32"/>
          <w:lang w:val="en-US" w:eastAsia="zh-CN"/>
        </w:rPr>
        <w:t>效评价工作。巨鹿县卫生健康局(以下简称“县卫健局”)作为被评价对象，对其提供材料的真实性、准确性负责，我公司及其签字的专审人(主评人)对所出具的专项报告(绩效评价报告)的真实性、准确性、完整性负责。现将有关情况报告如下：</w:t>
      </w:r>
    </w:p>
    <w:p>
      <w:pPr>
        <w:keepNext w:val="0"/>
        <w:keepLines w:val="0"/>
        <w:pageBreakBefore w:val="0"/>
        <w:widowControl/>
        <w:kinsoku/>
        <w:wordWrap/>
        <w:overflowPunct/>
        <w:topLinePunct w:val="0"/>
        <w:autoSpaceDE w:val="0"/>
        <w:autoSpaceDN w:val="0"/>
        <w:bidi w:val="0"/>
        <w:adjustRightInd w:val="0"/>
        <w:snapToGrid w:val="0"/>
        <w:spacing w:line="520" w:lineRule="exact"/>
        <w:ind w:right="0" w:firstLine="640" w:firstLineChars="200"/>
        <w:textAlignment w:val="baseline"/>
        <w:rPr>
          <w:rFonts w:hint="eastAsia" w:ascii="仿宋" w:hAnsi="仿宋" w:eastAsia="仿宋" w:cs="仿宋"/>
          <w:b w:val="0"/>
          <w:bCs w:val="0"/>
          <w:spacing w:val="0"/>
          <w:w w:val="100"/>
          <w:kern w:val="2"/>
          <w:position w:val="0"/>
          <w:sz w:val="32"/>
          <w:szCs w:val="32"/>
          <w:highlight w:val="none"/>
          <w:lang w:val="en-US" w:eastAsia="zh-CN"/>
        </w:rPr>
      </w:pPr>
      <w:r>
        <w:rPr>
          <w:rFonts w:hint="eastAsia" w:ascii="仿宋" w:hAnsi="仿宋" w:eastAsia="仿宋" w:cs="仿宋"/>
          <w:b w:val="0"/>
          <w:bCs w:val="0"/>
          <w:spacing w:val="0"/>
          <w:w w:val="100"/>
          <w:kern w:val="2"/>
          <w:position w:val="0"/>
          <w:sz w:val="32"/>
          <w:szCs w:val="32"/>
          <w:highlight w:val="none"/>
          <w:lang w:val="en-US" w:eastAsia="zh-CN"/>
        </w:rPr>
        <w:t>一、基本情况</w:t>
      </w:r>
    </w:p>
    <w:p>
      <w:pPr>
        <w:keepNext w:val="0"/>
        <w:keepLines w:val="0"/>
        <w:pageBreakBefore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项目概况</w:t>
      </w:r>
    </w:p>
    <w:p>
      <w:pPr>
        <w:keepNext w:val="0"/>
        <w:keepLines w:val="0"/>
        <w:pageBreakBefore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1、项目实施背景</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color w:val="auto"/>
          <w:kern w:val="2"/>
          <w:sz w:val="32"/>
          <w:szCs w:val="32"/>
          <w:highlight w:val="none"/>
          <w:lang w:val="en-US" w:eastAsia="zh-CN" w:bidi="ar-SA"/>
        </w:rPr>
        <w:t>巨鹿县辖10个乡镇，常住人口33.17万人。</w:t>
      </w:r>
      <w:r>
        <w:rPr>
          <w:rFonts w:hint="eastAsia" w:ascii="仿宋" w:hAnsi="仿宋" w:eastAsia="仿宋" w:cs="仿宋"/>
          <w:sz w:val="32"/>
          <w:szCs w:val="32"/>
          <w:lang w:val="en-US" w:eastAsia="zh-CN"/>
        </w:rPr>
        <w:t>基本公共卫生服务项目是促进基本公共卫生服务逐步均等化的重要内容，是深化医药卫生体制改革的重要工作。是我国政府针对当前城乡居民存在的主要健康问题，以儿童、孕产妇、老年人、慢性疾病患者为重点人群，面向全体居民免费提供的最基本的公共卫生服务。按照市卫健委、市财政局《关于做好2024年基本公共卫生服务工作的通知》工作要求，持</w:t>
      </w:r>
      <w:r>
        <w:rPr>
          <w:rFonts w:hint="eastAsia" w:ascii="仿宋" w:hAnsi="仿宋" w:eastAsia="仿宋" w:cs="仿宋"/>
          <w:spacing w:val="0"/>
          <w:w w:val="100"/>
          <w:kern w:val="2"/>
          <w:position w:val="0"/>
          <w:sz w:val="32"/>
          <w:szCs w:val="32"/>
          <w:highlight w:val="none"/>
          <w:lang w:val="en-US" w:eastAsia="zh-CN"/>
        </w:rPr>
        <w:t>续推进基本公共卫生服务高质量发展，进一步提升城乡居民服务感受度和满意度。</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sz w:val="32"/>
          <w:szCs w:val="32"/>
          <w:lang w:val="en-US" w:eastAsia="zh-CN"/>
        </w:rPr>
      </w:pPr>
      <w:r>
        <w:rPr>
          <w:rFonts w:hint="eastAsia" w:ascii="仿宋" w:hAnsi="仿宋" w:eastAsia="仿宋" w:cs="仿宋"/>
          <w:sz w:val="32"/>
          <w:szCs w:val="32"/>
          <w:lang w:val="en-US" w:eastAsia="zh-CN"/>
        </w:rPr>
        <w:t>为深入贯彻落实国家《加速消除宫颈癌行动计划(2023-</w:t>
      </w:r>
      <w:r>
        <w:rPr>
          <w:rFonts w:hint="default" w:ascii="仿宋" w:hAnsi="仿宋" w:eastAsia="仿宋" w:cs="仿宋"/>
          <w:sz w:val="32"/>
          <w:szCs w:val="32"/>
          <w:lang w:val="en-US" w:eastAsia="zh-CN"/>
        </w:rPr>
        <w:t>2030年)》和《国家卫生健康委办公厅关于印发</w:t>
      </w:r>
      <w:r>
        <w:rPr>
          <w:rFonts w:hint="eastAsia" w:ascii="仿宋" w:hAnsi="仿宋" w:eastAsia="仿宋" w:cs="仿宋"/>
          <w:sz w:val="32"/>
          <w:szCs w:val="32"/>
          <w:lang w:val="en-US" w:eastAsia="zh-CN"/>
        </w:rPr>
        <w:t>宫</w:t>
      </w:r>
      <w:r>
        <w:rPr>
          <w:rFonts w:hint="default" w:ascii="仿宋" w:hAnsi="仿宋" w:eastAsia="仿宋" w:cs="仿宋"/>
          <w:sz w:val="32"/>
          <w:szCs w:val="32"/>
          <w:lang w:val="en-US" w:eastAsia="zh-CN"/>
        </w:rPr>
        <w:t>颈癌筛查工作方案和乳腺癌筛查工作方案的通知》(国卫办妇幼函</w:t>
      </w:r>
      <w:r>
        <w:rPr>
          <w:rFonts w:hint="eastAsia" w:ascii="仿宋" w:hAnsi="仿宋" w:eastAsia="仿宋" w:cs="仿宋"/>
          <w:spacing w:val="0"/>
          <w:w w:val="100"/>
          <w:kern w:val="2"/>
          <w:position w:val="0"/>
          <w:sz w:val="32"/>
          <w:szCs w:val="32"/>
          <w:highlight w:val="none"/>
          <w:lang w:val="en-US" w:eastAsia="zh-CN"/>
        </w:rPr>
        <w:t>〔</w:t>
      </w:r>
      <w:r>
        <w:rPr>
          <w:rFonts w:hint="default" w:ascii="仿宋" w:hAnsi="仿宋" w:eastAsia="仿宋" w:cs="仿宋"/>
          <w:sz w:val="32"/>
          <w:szCs w:val="32"/>
          <w:lang w:val="en-US" w:eastAsia="zh-CN"/>
        </w:rPr>
        <w:t>2021</w:t>
      </w:r>
      <w:r>
        <w:rPr>
          <w:rFonts w:hint="eastAsia" w:ascii="仿宋" w:hAnsi="仿宋" w:eastAsia="仿宋" w:cs="仿宋"/>
          <w:spacing w:val="0"/>
          <w:w w:val="100"/>
          <w:kern w:val="2"/>
          <w:position w:val="0"/>
          <w:sz w:val="32"/>
          <w:szCs w:val="32"/>
          <w:highlight w:val="none"/>
          <w:lang w:val="en-US" w:eastAsia="zh-CN"/>
        </w:rPr>
        <w:t>〕</w:t>
      </w:r>
      <w:r>
        <w:rPr>
          <w:rFonts w:hint="default" w:ascii="仿宋" w:hAnsi="仿宋" w:eastAsia="仿宋" w:cs="仿宋"/>
          <w:sz w:val="32"/>
          <w:szCs w:val="32"/>
          <w:lang w:val="en-US" w:eastAsia="zh-CN"/>
        </w:rPr>
        <w:t>635号)要求，省卫生健康委、省财政厅共同制定了《2024年河北省妇女“两癌”筛查项目实施方案》,</w:t>
      </w:r>
      <w:r>
        <w:rPr>
          <w:rFonts w:hint="eastAsia" w:ascii="仿宋" w:hAnsi="仿宋" w:eastAsia="仿宋" w:cs="仿宋"/>
          <w:sz w:val="32"/>
          <w:szCs w:val="32"/>
          <w:lang w:val="en-US" w:eastAsia="zh-CN"/>
        </w:rPr>
        <w:t>县卫健局、妇幼保健院根据工作要求</w:t>
      </w:r>
      <w:r>
        <w:rPr>
          <w:rFonts w:hint="default" w:ascii="仿宋" w:hAnsi="仿宋" w:eastAsia="仿宋" w:cs="仿宋"/>
          <w:sz w:val="32"/>
          <w:szCs w:val="32"/>
          <w:lang w:val="en-US" w:eastAsia="zh-CN"/>
        </w:rPr>
        <w:t>，认真做好适龄妇女“两癌”筛查项目工作。</w:t>
      </w:r>
      <w:r>
        <w:rPr>
          <w:rFonts w:hint="eastAsia" w:ascii="仿宋" w:hAnsi="仿宋" w:eastAsia="仿宋" w:cs="仿宋"/>
          <w:sz w:val="32"/>
          <w:szCs w:val="32"/>
          <w:lang w:val="en-US" w:eastAsia="zh-CN"/>
        </w:rPr>
        <w:t>进一步扩大适龄妇女宫颈癌、乳腺癌筛查受益范围，规范</w:t>
      </w:r>
      <w:r>
        <w:rPr>
          <w:rFonts w:hint="default" w:ascii="仿宋" w:hAnsi="仿宋" w:eastAsia="仿宋" w:cs="仿宋"/>
          <w:sz w:val="32"/>
          <w:szCs w:val="32"/>
          <w:lang w:val="en-US" w:eastAsia="zh-CN"/>
        </w:rPr>
        <w:t>宫颈癌、乳腺癌筛查技术管理，提升筛查质量，有效保障妇女健康权益，提高妇女健康水平</w:t>
      </w:r>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2、项目实施及主要内容</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2"/>
          <w:sz w:val="32"/>
          <w:szCs w:val="32"/>
          <w:lang w:val="en-US" w:eastAsia="zh-CN"/>
        </w:rPr>
      </w:pPr>
      <w:r>
        <w:rPr>
          <w:rFonts w:hint="eastAsia" w:ascii="仿宋" w:hAnsi="仿宋" w:eastAsia="仿宋" w:cs="仿宋"/>
          <w:sz w:val="32"/>
          <w:szCs w:val="32"/>
          <w:lang w:val="en-US" w:eastAsia="zh-CN"/>
        </w:rPr>
        <w:t>该项目由县卫健局主要负责实施，进行2024年度基本公共卫生服务资金及妇女“两癌”筛查项目资金的发放。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b w:val="0"/>
          <w:bCs w:val="0"/>
          <w:color w:val="auto"/>
          <w:kern w:val="0"/>
          <w:sz w:val="32"/>
          <w:szCs w:val="32"/>
          <w:lang w:val="en-US" w:eastAsia="zh-CN" w:bidi="ar"/>
        </w:rPr>
        <w:t>该项目主要内容：为城乡居民提供建立居民健康档案、健康教育、预防接种、0-6岁儿童健康管理、孕产妇健康管理、65岁以上老年人等重点人群健康管理、孕产妇健康管理、慢性病（高血压、2型糖尿病）患者健康管理、慢阻肺患者健康管理、严重精神障碍患者健康管理、传染病及突发公共卫生事件报告和处理、中医药健康管理、卫生监督协管等免费服务。覆盖承担项目的3家城区县级医疗机构、10家乡镇卫生</w:t>
      </w:r>
      <w:r>
        <w:rPr>
          <w:rFonts w:hint="eastAsia" w:ascii="仿宋" w:hAnsi="仿宋" w:eastAsia="仿宋" w:cs="仿宋"/>
          <w:b w:val="0"/>
          <w:bCs w:val="0"/>
          <w:color w:val="auto"/>
          <w:kern w:val="0"/>
          <w:sz w:val="32"/>
          <w:szCs w:val="32"/>
          <w:highlight w:val="none"/>
          <w:lang w:val="en-US" w:eastAsia="zh-CN" w:bidi="ar"/>
        </w:rPr>
        <w:t>院和333家一体化村卫生室、30所小区卫生站等医疗卫生机构。</w:t>
      </w:r>
      <w:r>
        <w:rPr>
          <w:rFonts w:hint="eastAsia" w:ascii="仿宋" w:hAnsi="仿宋" w:eastAsia="仿宋" w:cs="仿宋"/>
          <w:color w:val="auto"/>
          <w:kern w:val="2"/>
          <w:sz w:val="32"/>
          <w:szCs w:val="32"/>
          <w:highlight w:val="none"/>
          <w:lang w:val="en-US" w:eastAsia="zh-CN" w:bidi="ar-SA"/>
        </w:rPr>
        <w:t>对影响居民健康的主要卫生问题实施干预，减少主要健康危险因素，有效预防和控制主要传染病及慢性病，使城乡居民逐步享有均等化的公共卫生服务。</w:t>
      </w:r>
    </w:p>
    <w:p>
      <w:pPr>
        <w:pStyle w:val="3"/>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县卫健局</w:t>
      </w:r>
      <w:r>
        <w:rPr>
          <w:rFonts w:hint="eastAsia" w:ascii="仿宋" w:hAnsi="仿宋" w:eastAsia="仿宋" w:cs="仿宋"/>
          <w:color w:val="auto"/>
          <w:kern w:val="2"/>
          <w:sz w:val="32"/>
          <w:szCs w:val="32"/>
          <w:highlight w:val="none"/>
          <w:lang w:val="en-US" w:eastAsia="zh-CN" w:bidi="ar-SA"/>
        </w:rPr>
        <w:t>按相关文件要求将公共卫生服务补助资金、妇女“两癌”筛查资金按时拨付到相关实施单位，涉及10家乡镇卫生院、县妇幼保健院和333所一体化村卫生室等基层医疗卫生机构。</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（二）项目资金下达及使用情况</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color w:val="auto"/>
          <w:sz w:val="32"/>
          <w:szCs w:val="32"/>
          <w:highlight w:val="none"/>
          <w:lang w:val="en-US" w:eastAsia="zh-CN"/>
        </w:rPr>
        <w:t>2024年</w:t>
      </w:r>
      <w:r>
        <w:rPr>
          <w:rFonts w:hint="eastAsia" w:ascii="仿宋" w:hAnsi="仿宋" w:eastAsia="仿宋" w:cs="仿宋"/>
          <w:sz w:val="32"/>
          <w:szCs w:val="32"/>
          <w:lang w:val="en-US" w:eastAsia="zh-CN"/>
        </w:rPr>
        <w:t>基本公共卫生服务</w:t>
      </w:r>
      <w:r>
        <w:rPr>
          <w:rFonts w:hint="eastAsia" w:ascii="仿宋" w:hAnsi="仿宋" w:eastAsia="仿宋" w:cs="仿宋"/>
          <w:color w:val="auto"/>
          <w:sz w:val="32"/>
          <w:szCs w:val="32"/>
          <w:highlight w:val="none"/>
          <w:lang w:val="en-US" w:eastAsia="zh-CN"/>
        </w:rPr>
        <w:t>项目资金2893.94万元，其中中央下达的专项转移支付预算资金1637.73万元</w:t>
      </w:r>
      <w:r>
        <w:rPr>
          <w:rFonts w:hint="eastAsia" w:ascii="仿宋" w:hAnsi="仿宋" w:eastAsia="仿宋" w:cs="仿宋"/>
          <w:spacing w:val="0"/>
          <w:w w:val="100"/>
          <w:kern w:val="2"/>
          <w:position w:val="0"/>
          <w:sz w:val="32"/>
          <w:szCs w:val="32"/>
          <w:highlight w:val="none"/>
          <w:lang w:val="en-US" w:eastAsia="zh-CN"/>
        </w:rPr>
        <w:t>，资金已支付</w:t>
      </w:r>
      <w:r>
        <w:rPr>
          <w:rFonts w:hint="eastAsia" w:ascii="仿宋" w:hAnsi="仿宋" w:eastAsia="仿宋" w:cs="仿宋"/>
          <w:color w:val="auto"/>
          <w:sz w:val="32"/>
          <w:szCs w:val="32"/>
          <w:highlight w:val="none"/>
          <w:lang w:val="en-US" w:eastAsia="zh-CN"/>
        </w:rPr>
        <w:t>2893.94万元</w:t>
      </w:r>
      <w:r>
        <w:rPr>
          <w:rFonts w:hint="eastAsia" w:ascii="仿宋" w:hAnsi="仿宋" w:eastAsia="仿宋" w:cs="仿宋"/>
          <w:spacing w:val="0"/>
          <w:w w:val="100"/>
          <w:kern w:val="2"/>
          <w:position w:val="0"/>
          <w:sz w:val="32"/>
          <w:szCs w:val="32"/>
          <w:highlight w:val="none"/>
          <w:lang w:val="en-US" w:eastAsia="zh-CN"/>
        </w:rPr>
        <w:t>，资金执行率100%。</w:t>
      </w:r>
    </w:p>
    <w:p>
      <w:pPr>
        <w:pStyle w:val="3"/>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color w:val="auto"/>
          <w:kern w:val="2"/>
          <w:sz w:val="32"/>
          <w:szCs w:val="32"/>
          <w:highlight w:val="none"/>
          <w:lang w:val="en-US" w:eastAsia="zh-CN" w:bidi="ar-SA"/>
        </w:rPr>
        <w:t>妇女“两癌”筛查项目资金126.99万元，</w:t>
      </w:r>
      <w:r>
        <w:rPr>
          <w:rFonts w:hint="eastAsia" w:ascii="仿宋" w:hAnsi="仿宋" w:eastAsia="仿宋" w:cs="仿宋"/>
          <w:spacing w:val="0"/>
          <w:w w:val="100"/>
          <w:kern w:val="2"/>
          <w:position w:val="0"/>
          <w:sz w:val="32"/>
          <w:szCs w:val="32"/>
          <w:highlight w:val="none"/>
          <w:lang w:val="en-US" w:eastAsia="zh-CN"/>
        </w:rPr>
        <w:t>资金已支付126.99万元，资金执行率100%。</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2024年该项目年度资金预算及执行情况详见表1。</w:t>
      </w:r>
    </w:p>
    <w:p>
      <w:pPr>
        <w:keepNext w:val="0"/>
        <w:keepLines w:val="0"/>
        <w:pageBreakBefore w:val="0"/>
        <w:widowControl/>
        <w:kinsoku/>
        <w:wordWrap/>
        <w:overflowPunct/>
        <w:topLinePunct w:val="0"/>
        <w:autoSpaceDE w:val="0"/>
        <w:autoSpaceDN w:val="0"/>
        <w:bidi w:val="0"/>
        <w:adjustRightInd w:val="0"/>
        <w:snapToGrid w:val="0"/>
        <w:spacing w:before="91" w:line="600" w:lineRule="exact"/>
        <w:ind w:firstLine="608" w:firstLineChars="200"/>
        <w:jc w:val="center"/>
        <w:rPr>
          <w:rFonts w:hint="eastAsia" w:ascii="仿宋" w:hAnsi="仿宋" w:eastAsia="仿宋" w:cs="仿宋"/>
          <w:sz w:val="32"/>
          <w:szCs w:val="32"/>
          <w:highlight w:val="none"/>
        </w:rPr>
      </w:pPr>
      <w:r>
        <w:rPr>
          <w:rFonts w:hint="eastAsia" w:ascii="仿宋" w:hAnsi="仿宋" w:eastAsia="仿宋" w:cs="仿宋"/>
          <w:spacing w:val="-8"/>
          <w:sz w:val="32"/>
          <w:szCs w:val="32"/>
          <w:highlight w:val="none"/>
          <w:lang w:val="en-US" w:eastAsia="zh-CN"/>
        </w:rPr>
        <w:t>表1：</w:t>
      </w:r>
      <w:r>
        <w:rPr>
          <w:rFonts w:hint="eastAsia" w:ascii="仿宋" w:hAnsi="仿宋" w:eastAsia="仿宋" w:cs="仿宋"/>
          <w:spacing w:val="-8"/>
          <w:sz w:val="32"/>
          <w:szCs w:val="32"/>
          <w:highlight w:val="none"/>
        </w:rPr>
        <w:t>202</w:t>
      </w:r>
      <w:r>
        <w:rPr>
          <w:rFonts w:hint="eastAsia" w:ascii="仿宋" w:hAnsi="仿宋" w:eastAsia="仿宋" w:cs="仿宋"/>
          <w:spacing w:val="-8"/>
          <w:sz w:val="32"/>
          <w:szCs w:val="32"/>
          <w:highlight w:val="none"/>
          <w:lang w:val="en-US" w:eastAsia="zh-CN"/>
        </w:rPr>
        <w:t>4</w:t>
      </w:r>
      <w:r>
        <w:rPr>
          <w:rFonts w:hint="eastAsia" w:ascii="仿宋" w:hAnsi="仿宋" w:eastAsia="仿宋" w:cs="仿宋"/>
          <w:spacing w:val="-8"/>
          <w:sz w:val="32"/>
          <w:szCs w:val="32"/>
          <w:highlight w:val="none"/>
        </w:rPr>
        <w:t>年度资金投入情况表</w:t>
      </w:r>
    </w:p>
    <w:tbl>
      <w:tblPr>
        <w:tblStyle w:val="14"/>
        <w:tblW w:w="9045"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1575"/>
        <w:gridCol w:w="1756"/>
        <w:gridCol w:w="2084"/>
        <w:gridCol w:w="1815"/>
        <w:gridCol w:w="11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0" w:hRule="atLeast"/>
        </w:trPr>
        <w:tc>
          <w:tcPr>
            <w:tcW w:w="660" w:type="dxa"/>
            <w:tcBorders>
              <w:bottom w:val="single" w:color="auto" w:sz="4" w:space="0"/>
            </w:tcBorders>
            <w:vAlign w:val="center"/>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序号</w:t>
            </w:r>
          </w:p>
        </w:tc>
        <w:tc>
          <w:tcPr>
            <w:tcW w:w="1575" w:type="dxa"/>
            <w:tcBorders>
              <w:bottom w:val="single" w:color="auto" w:sz="4" w:space="0"/>
            </w:tcBorders>
            <w:vAlign w:val="center"/>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子项名称</w:t>
            </w:r>
          </w:p>
        </w:tc>
        <w:tc>
          <w:tcPr>
            <w:tcW w:w="1756" w:type="dxa"/>
            <w:tcBorders>
              <w:bottom w:val="single" w:color="auto" w:sz="4" w:space="0"/>
            </w:tcBorders>
            <w:vAlign w:val="top"/>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年初预算</w:t>
            </w:r>
          </w:p>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(万元)</w:t>
            </w:r>
          </w:p>
        </w:tc>
        <w:tc>
          <w:tcPr>
            <w:tcW w:w="2084" w:type="dxa"/>
            <w:tcBorders>
              <w:bottom w:val="single" w:color="auto" w:sz="4" w:space="0"/>
            </w:tcBorders>
            <w:vAlign w:val="top"/>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调整后预算</w:t>
            </w:r>
          </w:p>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(万元)</w:t>
            </w:r>
          </w:p>
        </w:tc>
        <w:tc>
          <w:tcPr>
            <w:tcW w:w="1815" w:type="dxa"/>
            <w:tcBorders>
              <w:bottom w:val="single" w:color="auto" w:sz="4" w:space="0"/>
            </w:tcBorders>
            <w:vAlign w:val="top"/>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资金执行</w:t>
            </w:r>
          </w:p>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(万元)</w:t>
            </w:r>
          </w:p>
        </w:tc>
        <w:tc>
          <w:tcPr>
            <w:tcW w:w="1155" w:type="dxa"/>
            <w:tcBorders>
              <w:bottom w:val="single" w:color="auto" w:sz="4" w:space="0"/>
            </w:tcBorders>
            <w:vAlign w:val="top"/>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执行率(%)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95" w:hRule="atLeast"/>
        </w:trPr>
        <w:tc>
          <w:tcPr>
            <w:tcW w:w="660" w:type="dxa"/>
            <w:tcBorders>
              <w:top w:val="single" w:color="auto" w:sz="4" w:space="0"/>
              <w:left w:val="single" w:color="auto" w:sz="4" w:space="0"/>
              <w:bottom w:val="single" w:color="auto" w:sz="4" w:space="0"/>
            </w:tcBorders>
            <w:vAlign w:val="top"/>
          </w:tcPr>
          <w:p>
            <w:pPr>
              <w:keepNext w:val="0"/>
              <w:keepLines w:val="0"/>
              <w:pageBreakBefore w:val="0"/>
              <w:widowControl/>
              <w:kinsoku/>
              <w:wordWrap/>
              <w:overflowPunct/>
              <w:topLinePunct w:val="0"/>
              <w:autoSpaceDE w:val="0"/>
              <w:autoSpaceDN w:val="0"/>
              <w:bidi w:val="0"/>
              <w:adjustRightInd w:val="0"/>
              <w:snapToGrid w:val="0"/>
              <w:spacing w:before="249" w:line="600" w:lineRule="exact"/>
              <w:jc w:val="center"/>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w:t>
            </w:r>
          </w:p>
        </w:tc>
        <w:tc>
          <w:tcPr>
            <w:tcW w:w="1575" w:type="dxa"/>
            <w:tcBorders>
              <w:top w:val="single" w:color="auto" w:sz="4" w:space="0"/>
              <w:bottom w:val="single" w:color="auto" w:sz="4" w:space="0"/>
            </w:tcBorders>
            <w:vAlign w:val="center"/>
          </w:tcPr>
          <w:p>
            <w:pPr>
              <w:keepNext w:val="0"/>
              <w:keepLines w:val="0"/>
              <w:widowControl/>
              <w:suppressLineNumbers w:val="0"/>
              <w:snapToGrid w:val="0"/>
              <w:jc w:val="center"/>
              <w:textAlignment w:val="center"/>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i w:val="0"/>
                <w:iCs w:val="0"/>
                <w:color w:val="000000"/>
                <w:kern w:val="0"/>
                <w:sz w:val="28"/>
                <w:szCs w:val="28"/>
                <w:u w:val="none"/>
                <w:lang w:val="en-US" w:eastAsia="zh-CN" w:bidi="ar"/>
              </w:rPr>
              <w:t>原基本公共卫生服务（含老年健康与医养结合服务）</w:t>
            </w:r>
          </w:p>
        </w:tc>
        <w:tc>
          <w:tcPr>
            <w:tcW w:w="1756"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2889.07</w:t>
            </w:r>
          </w:p>
        </w:tc>
        <w:tc>
          <w:tcPr>
            <w:tcW w:w="2084"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2893.94</w:t>
            </w:r>
          </w:p>
        </w:tc>
        <w:tc>
          <w:tcPr>
            <w:tcW w:w="1815"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jc w:val="center"/>
              <w:rPr>
                <w:rFonts w:hint="eastAsia" w:ascii="仿宋" w:hAnsi="仿宋" w:eastAsia="仿宋" w:cs="仿宋"/>
                <w:b w:val="0"/>
                <w:bCs w:val="0"/>
                <w:color w:val="000000"/>
                <w:kern w:val="0"/>
                <w:sz w:val="28"/>
                <w:szCs w:val="28"/>
                <w:highlight w:val="none"/>
                <w:lang w:val="en-US" w:eastAsia="zh-CN"/>
              </w:rPr>
            </w:pPr>
            <w:r>
              <w:rPr>
                <w:rFonts w:hint="eastAsia" w:ascii="仿宋" w:hAnsi="仿宋" w:eastAsia="仿宋" w:cs="仿宋"/>
                <w:b w:val="0"/>
                <w:bCs w:val="0"/>
                <w:color w:val="000000"/>
                <w:kern w:val="0"/>
                <w:sz w:val="28"/>
                <w:szCs w:val="28"/>
                <w:highlight w:val="none"/>
                <w:lang w:val="en-US" w:eastAsia="zh-CN"/>
              </w:rPr>
              <w:t>2893.94</w:t>
            </w:r>
          </w:p>
        </w:tc>
        <w:tc>
          <w:tcPr>
            <w:tcW w:w="1155"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jc w:val="center"/>
              <w:rPr>
                <w:rFonts w:hint="default" w:ascii="仿宋" w:hAnsi="仿宋" w:eastAsia="仿宋" w:cs="仿宋"/>
                <w:b w:val="0"/>
                <w:bCs w:val="0"/>
                <w:sz w:val="28"/>
                <w:szCs w:val="28"/>
                <w:highlight w:val="none"/>
                <w:lang w:val="en-US" w:eastAsia="zh-CN"/>
              </w:rPr>
            </w:pPr>
            <w:r>
              <w:rPr>
                <w:rFonts w:hint="default" w:ascii="仿宋" w:hAnsi="仿宋" w:eastAsia="仿宋" w:cs="仿宋"/>
                <w:b w:val="0"/>
                <w:bCs w:val="0"/>
                <w:sz w:val="28"/>
                <w:szCs w:val="28"/>
                <w:highlight w:val="none"/>
                <w:lang w:val="en-US" w:eastAsia="zh-CN"/>
              </w:rPr>
              <w:t>100%</w:t>
            </w:r>
          </w:p>
        </w:tc>
      </w:tr>
    </w:tbl>
    <w:tbl>
      <w:tblPr>
        <w:tblStyle w:val="10"/>
        <w:tblW w:w="906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0"/>
        <w:gridCol w:w="1455"/>
        <w:gridCol w:w="1739"/>
        <w:gridCol w:w="1831"/>
        <w:gridCol w:w="1840"/>
        <w:gridCol w:w="1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061" w:type="dxa"/>
            <w:gridSpan w:val="6"/>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val="0"/>
              <w:autoSpaceDN w:val="0"/>
              <w:bidi w:val="0"/>
              <w:adjustRightInd w:val="0"/>
              <w:snapToGrid w:val="0"/>
              <w:spacing w:before="91" w:line="600" w:lineRule="exact"/>
              <w:ind w:firstLine="608" w:firstLineChars="200"/>
              <w:jc w:val="center"/>
              <w:rPr>
                <w:rFonts w:hint="eastAsia" w:ascii="宋体" w:hAnsi="宋体" w:eastAsia="宋体" w:cs="宋体"/>
                <w:i w:val="0"/>
                <w:iCs w:val="0"/>
                <w:color w:val="000000"/>
                <w:sz w:val="36"/>
                <w:szCs w:val="36"/>
                <w:u w:val="none"/>
              </w:rPr>
            </w:pPr>
            <w:bookmarkStart w:id="2" w:name="_bookmark3"/>
            <w:bookmarkEnd w:id="2"/>
            <w:r>
              <w:rPr>
                <w:rFonts w:hint="eastAsia" w:ascii="仿宋" w:hAnsi="仿宋" w:eastAsia="仿宋" w:cs="仿宋"/>
                <w:spacing w:val="-8"/>
                <w:sz w:val="32"/>
                <w:szCs w:val="32"/>
                <w:highlight w:val="none"/>
                <w:lang w:val="en-US" w:eastAsia="zh-CN"/>
              </w:rPr>
              <w:t>2024年度资金投入情况表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81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序号</w:t>
            </w:r>
          </w:p>
        </w:tc>
        <w:tc>
          <w:tcPr>
            <w:tcW w:w="145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子项名称</w:t>
            </w:r>
          </w:p>
        </w:tc>
        <w:tc>
          <w:tcPr>
            <w:tcW w:w="173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年初预算</w:t>
            </w:r>
          </w:p>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（万元）</w:t>
            </w:r>
          </w:p>
        </w:tc>
        <w:tc>
          <w:tcPr>
            <w:tcW w:w="183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调整后预算</w:t>
            </w:r>
          </w:p>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（万元）</w:t>
            </w:r>
          </w:p>
        </w:tc>
        <w:tc>
          <w:tcPr>
            <w:tcW w:w="184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资金执行</w:t>
            </w:r>
          </w:p>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（万元）</w:t>
            </w:r>
          </w:p>
        </w:tc>
        <w:tc>
          <w:tcPr>
            <w:tcW w:w="138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jc w:val="center"/>
        </w:trPr>
        <w:tc>
          <w:tcPr>
            <w:tcW w:w="810"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napToGrid w:val="0"/>
              <w:jc w:val="center"/>
              <w:textAlignment w:val="center"/>
              <w:rPr>
                <w:rFonts w:hint="eastAsia" w:ascii="仿宋" w:hAnsi="仿宋" w:eastAsia="仿宋" w:cs="仿宋"/>
                <w:b w:val="0"/>
                <w:bCs w:val="0"/>
                <w:i w:val="0"/>
                <w:iCs w:val="0"/>
                <w:color w:val="000000"/>
                <w:kern w:val="0"/>
                <w:sz w:val="28"/>
                <w:szCs w:val="28"/>
                <w:u w:val="none"/>
                <w:lang w:val="en-US" w:eastAsia="zh-CN" w:bidi="ar"/>
              </w:rPr>
            </w:pPr>
            <w:r>
              <w:rPr>
                <w:rFonts w:hint="eastAsia" w:ascii="仿宋" w:hAnsi="仿宋" w:eastAsia="仿宋" w:cs="仿宋"/>
                <w:b w:val="0"/>
                <w:bCs w:val="0"/>
                <w:i w:val="0"/>
                <w:iCs w:val="0"/>
                <w:color w:val="000000"/>
                <w:kern w:val="0"/>
                <w:sz w:val="28"/>
                <w:szCs w:val="28"/>
                <w:u w:val="none"/>
                <w:lang w:val="en-US" w:eastAsia="zh-CN" w:bidi="ar"/>
              </w:rPr>
              <w:t>1</w:t>
            </w:r>
          </w:p>
        </w:tc>
        <w:tc>
          <w:tcPr>
            <w:tcW w:w="14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napToGrid w:val="0"/>
              <w:jc w:val="center"/>
              <w:textAlignment w:val="center"/>
              <w:rPr>
                <w:rFonts w:hint="eastAsia" w:ascii="仿宋" w:hAnsi="仿宋" w:eastAsia="仿宋" w:cs="仿宋"/>
                <w:b w:val="0"/>
                <w:bCs w:val="0"/>
                <w:i w:val="0"/>
                <w:iCs w:val="0"/>
                <w:color w:val="000000"/>
                <w:kern w:val="0"/>
                <w:sz w:val="28"/>
                <w:szCs w:val="28"/>
                <w:u w:val="none"/>
                <w:lang w:val="en-US" w:eastAsia="zh-CN" w:bidi="ar"/>
              </w:rPr>
            </w:pPr>
            <w:r>
              <w:rPr>
                <w:rFonts w:hint="eastAsia" w:ascii="仿宋" w:hAnsi="仿宋" w:eastAsia="仿宋" w:cs="仿宋"/>
                <w:b w:val="0"/>
                <w:bCs w:val="0"/>
                <w:i w:val="0"/>
                <w:iCs w:val="0"/>
                <w:color w:val="000000"/>
                <w:kern w:val="0"/>
                <w:sz w:val="28"/>
                <w:szCs w:val="28"/>
                <w:u w:val="none"/>
                <w:lang w:val="en-US" w:eastAsia="zh-CN" w:bidi="ar"/>
              </w:rPr>
              <w:t>妇女“两癌”筛查项目</w:t>
            </w:r>
          </w:p>
        </w:tc>
        <w:tc>
          <w:tcPr>
            <w:tcW w:w="173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napToGrid w:val="0"/>
              <w:jc w:val="center"/>
              <w:textAlignment w:val="center"/>
              <w:rPr>
                <w:rFonts w:hint="eastAsia" w:ascii="仿宋" w:hAnsi="仿宋" w:eastAsia="仿宋" w:cs="仿宋"/>
                <w:b w:val="0"/>
                <w:bCs w:val="0"/>
                <w:i w:val="0"/>
                <w:iCs w:val="0"/>
                <w:color w:val="000000"/>
                <w:kern w:val="0"/>
                <w:sz w:val="28"/>
                <w:szCs w:val="28"/>
                <w:u w:val="none"/>
                <w:lang w:val="en-US" w:eastAsia="zh-CN" w:bidi="ar"/>
              </w:rPr>
            </w:pPr>
            <w:r>
              <w:rPr>
                <w:rFonts w:hint="eastAsia" w:ascii="仿宋" w:hAnsi="仿宋" w:eastAsia="仿宋" w:cs="仿宋"/>
                <w:b w:val="0"/>
                <w:bCs w:val="0"/>
                <w:i w:val="0"/>
                <w:iCs w:val="0"/>
                <w:color w:val="000000"/>
                <w:kern w:val="0"/>
                <w:sz w:val="28"/>
                <w:szCs w:val="28"/>
                <w:u w:val="none"/>
                <w:lang w:val="en-US" w:eastAsia="zh-CN" w:bidi="ar"/>
              </w:rPr>
              <w:t>126.99</w:t>
            </w:r>
          </w:p>
        </w:tc>
        <w:tc>
          <w:tcPr>
            <w:tcW w:w="183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napToGrid w:val="0"/>
              <w:jc w:val="center"/>
              <w:textAlignment w:val="center"/>
              <w:rPr>
                <w:rFonts w:hint="eastAsia" w:ascii="仿宋" w:hAnsi="仿宋" w:eastAsia="仿宋" w:cs="仿宋"/>
                <w:b w:val="0"/>
                <w:bCs w:val="0"/>
                <w:i w:val="0"/>
                <w:iCs w:val="0"/>
                <w:color w:val="000000"/>
                <w:kern w:val="0"/>
                <w:sz w:val="28"/>
                <w:szCs w:val="28"/>
                <w:u w:val="none"/>
                <w:lang w:val="en-US" w:eastAsia="zh-CN" w:bidi="ar"/>
              </w:rPr>
            </w:pPr>
            <w:r>
              <w:rPr>
                <w:rFonts w:hint="eastAsia" w:ascii="仿宋" w:hAnsi="仿宋" w:eastAsia="仿宋" w:cs="仿宋"/>
                <w:b w:val="0"/>
                <w:bCs w:val="0"/>
                <w:i w:val="0"/>
                <w:iCs w:val="0"/>
                <w:color w:val="000000"/>
                <w:kern w:val="0"/>
                <w:sz w:val="28"/>
                <w:szCs w:val="28"/>
                <w:u w:val="none"/>
                <w:lang w:val="en-US" w:eastAsia="zh-CN" w:bidi="ar"/>
              </w:rPr>
              <w:t>126.99</w:t>
            </w:r>
          </w:p>
        </w:tc>
        <w:tc>
          <w:tcPr>
            <w:tcW w:w="184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napToGrid w:val="0"/>
              <w:jc w:val="center"/>
              <w:textAlignment w:val="center"/>
              <w:rPr>
                <w:rFonts w:hint="eastAsia" w:ascii="仿宋" w:hAnsi="仿宋" w:eastAsia="仿宋" w:cs="仿宋"/>
                <w:b w:val="0"/>
                <w:bCs w:val="0"/>
                <w:i w:val="0"/>
                <w:iCs w:val="0"/>
                <w:color w:val="000000"/>
                <w:kern w:val="0"/>
                <w:sz w:val="28"/>
                <w:szCs w:val="28"/>
                <w:u w:val="none"/>
                <w:lang w:val="en-US" w:eastAsia="zh-CN" w:bidi="ar"/>
              </w:rPr>
            </w:pPr>
            <w:r>
              <w:rPr>
                <w:rFonts w:hint="eastAsia" w:ascii="仿宋" w:hAnsi="仿宋" w:eastAsia="仿宋" w:cs="仿宋"/>
                <w:b w:val="0"/>
                <w:bCs w:val="0"/>
                <w:i w:val="0"/>
                <w:iCs w:val="0"/>
                <w:color w:val="000000"/>
                <w:kern w:val="0"/>
                <w:sz w:val="28"/>
                <w:szCs w:val="28"/>
                <w:u w:val="none"/>
                <w:lang w:val="en-US" w:eastAsia="zh-CN" w:bidi="ar"/>
              </w:rPr>
              <w:t>126.99</w:t>
            </w:r>
          </w:p>
        </w:tc>
        <w:tc>
          <w:tcPr>
            <w:tcW w:w="1386"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napToGrid w:val="0"/>
              <w:jc w:val="center"/>
              <w:textAlignment w:val="center"/>
              <w:rPr>
                <w:rFonts w:hint="eastAsia" w:ascii="仿宋" w:hAnsi="仿宋" w:eastAsia="仿宋" w:cs="仿宋"/>
                <w:b w:val="0"/>
                <w:bCs w:val="0"/>
                <w:i w:val="0"/>
                <w:iCs w:val="0"/>
                <w:color w:val="000000"/>
                <w:kern w:val="0"/>
                <w:sz w:val="28"/>
                <w:szCs w:val="28"/>
                <w:u w:val="none"/>
                <w:lang w:val="en-US" w:eastAsia="zh-CN" w:bidi="ar"/>
              </w:rPr>
            </w:pPr>
            <w:r>
              <w:rPr>
                <w:rFonts w:hint="eastAsia" w:ascii="仿宋" w:hAnsi="仿宋" w:eastAsia="仿宋" w:cs="仿宋"/>
                <w:b w:val="0"/>
                <w:bCs w:val="0"/>
                <w:i w:val="0"/>
                <w:iCs w:val="0"/>
                <w:color w:val="000000"/>
                <w:kern w:val="0"/>
                <w:sz w:val="28"/>
                <w:szCs w:val="28"/>
                <w:u w:val="none"/>
                <w:lang w:val="en-US" w:eastAsia="zh-CN" w:bidi="ar"/>
              </w:rPr>
              <w:t>100%</w:t>
            </w:r>
          </w:p>
        </w:tc>
      </w:tr>
    </w:tbl>
    <w:p>
      <w:pPr>
        <w:keepNext w:val="0"/>
        <w:keepLines w:val="0"/>
        <w:pageBreakBefore w:val="0"/>
        <w:widowControl w:val="0"/>
        <w:tabs>
          <w:tab w:val="left" w:pos="8820"/>
        </w:tabs>
        <w:kinsoku/>
        <w:wordWrap/>
        <w:overflowPunct/>
        <w:topLinePunct w:val="0"/>
        <w:autoSpaceDE/>
        <w:autoSpaceDN/>
        <w:bidi w:val="0"/>
        <w:adjustRightInd/>
        <w:snapToGrid/>
        <w:spacing w:line="520" w:lineRule="exact"/>
        <w:ind w:right="105" w:rightChars="50" w:firstLine="600" w:firstLineChars="200"/>
        <w:jc w:val="both"/>
        <w:textAlignment w:val="auto"/>
        <w:rPr>
          <w:rFonts w:hint="eastAsia" w:ascii="仿宋" w:hAnsi="仿宋" w:eastAsia="仿宋" w:cs="仿宋"/>
          <w:sz w:val="30"/>
          <w:szCs w:val="30"/>
          <w:lang w:val="en-US" w:eastAsia="zh-CN"/>
        </w:rPr>
      </w:pPr>
    </w:p>
    <w:p>
      <w:pPr>
        <w:keepNext w:val="0"/>
        <w:keepLines w:val="0"/>
        <w:pageBreakBefore w:val="0"/>
        <w:widowControl w:val="0"/>
        <w:tabs>
          <w:tab w:val="left" w:pos="8820"/>
        </w:tabs>
        <w:kinsoku/>
        <w:wordWrap/>
        <w:overflowPunct/>
        <w:topLinePunct w:val="0"/>
        <w:autoSpaceDE/>
        <w:autoSpaceDN/>
        <w:bidi w:val="0"/>
        <w:adjustRightInd/>
        <w:snapToGrid/>
        <w:spacing w:line="520" w:lineRule="exact"/>
        <w:ind w:right="105" w:rightChars="5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（三）项目绩效目标</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县卫健局按照预算绩效管理要求，制定了2024年度部门项目绩效目标，并制定了</w:t>
      </w:r>
      <w:r>
        <w:rPr>
          <w:rFonts w:hint="eastAsia" w:ascii="仿宋" w:hAnsi="仿宋" w:eastAsia="仿宋" w:cs="仿宋"/>
          <w:sz w:val="32"/>
          <w:szCs w:val="32"/>
          <w:highlight w:val="none"/>
          <w:lang w:val="en-US" w:eastAsia="zh-CN"/>
        </w:rPr>
        <w:t>2024年度基本公共卫生服务资金及妇女“两癌”筛查项目</w:t>
      </w:r>
      <w:r>
        <w:rPr>
          <w:rFonts w:hint="eastAsia" w:ascii="仿宋" w:hAnsi="仿宋" w:eastAsia="仿宋" w:cs="仿宋"/>
          <w:spacing w:val="0"/>
          <w:w w:val="100"/>
          <w:kern w:val="2"/>
          <w:position w:val="0"/>
          <w:sz w:val="32"/>
          <w:szCs w:val="32"/>
          <w:highlight w:val="none"/>
          <w:lang w:val="en-US" w:eastAsia="zh-CN"/>
        </w:rPr>
        <w:t>实施方案。加强基本公共卫生服务项目资金管理工作，严格规范基本公共卫生服务项目资金发放操作规程，严格执行国家和省里有关财政专项资金管理办法，确保基本公共卫生服务项目资金专款专用。建立健全项目监督机制，加强对项目实施全过程的监督检查。县卫健局定期对各乡镇(处)项目执行情况进行检查，发现问题及时督促整改，真正实现动态管理下的应补尽补，不漏一人。同时，按照各项补助资金预算安排，就农村计划生育基本公共卫生服务项目补贴资金及妇女“两癌”筛查项目资金分别制定了具体绩效指标。详见表2。</w:t>
      </w:r>
    </w:p>
    <w:p>
      <w:pPr>
        <w:keepNext w:val="0"/>
        <w:keepLines w:val="0"/>
        <w:pageBreakBefore w:val="0"/>
        <w:widowControl/>
        <w:kinsoku/>
        <w:wordWrap/>
        <w:overflowPunct/>
        <w:topLinePunct w:val="0"/>
        <w:autoSpaceDE w:val="0"/>
        <w:autoSpaceDN w:val="0"/>
        <w:bidi w:val="0"/>
        <w:adjustRightInd w:val="0"/>
        <w:snapToGrid w:val="0"/>
        <w:spacing w:before="91" w:line="520" w:lineRule="exact"/>
        <w:ind w:firstLine="660" w:firstLineChars="200"/>
        <w:textAlignment w:val="auto"/>
        <w:rPr>
          <w:rFonts w:hint="eastAsia" w:ascii="仿宋" w:hAnsi="仿宋" w:eastAsia="仿宋" w:cs="仿宋"/>
          <w:spacing w:val="5"/>
          <w:sz w:val="32"/>
          <w:szCs w:val="32"/>
        </w:rPr>
      </w:pPr>
    </w:p>
    <w:p>
      <w:pPr>
        <w:keepNext w:val="0"/>
        <w:keepLines w:val="0"/>
        <w:pageBreakBefore w:val="0"/>
        <w:widowControl/>
        <w:kinsoku/>
        <w:wordWrap/>
        <w:overflowPunct/>
        <w:topLinePunct w:val="0"/>
        <w:autoSpaceDE w:val="0"/>
        <w:autoSpaceDN w:val="0"/>
        <w:bidi w:val="0"/>
        <w:adjustRightInd w:val="0"/>
        <w:snapToGrid w:val="0"/>
        <w:spacing w:before="91" w:line="520" w:lineRule="exact"/>
        <w:textAlignment w:val="auto"/>
        <w:rPr>
          <w:rFonts w:hint="eastAsia" w:ascii="仿宋" w:hAnsi="仿宋" w:eastAsia="仿宋" w:cs="仿宋"/>
          <w:spacing w:val="5"/>
          <w:sz w:val="32"/>
          <w:szCs w:val="32"/>
        </w:rPr>
        <w:sectPr>
          <w:footerReference r:id="rId6" w:type="default"/>
          <w:pgSz w:w="11906" w:h="16838"/>
          <w:pgMar w:top="2098" w:right="1474" w:bottom="1984" w:left="1587" w:header="851" w:footer="992" w:gutter="0"/>
          <w:pgNumType w:fmt="decimal" w:start="1"/>
          <w:cols w:space="720" w:num="1"/>
          <w:docGrid w:type="lines" w:linePitch="312" w:charSpace="0"/>
        </w:sectPr>
      </w:pPr>
    </w:p>
    <w:p>
      <w:pPr>
        <w:keepNext w:val="0"/>
        <w:keepLines w:val="0"/>
        <w:pageBreakBefore w:val="0"/>
        <w:widowControl/>
        <w:kinsoku/>
        <w:wordWrap/>
        <w:overflowPunct/>
        <w:topLinePunct w:val="0"/>
        <w:autoSpaceDE w:val="0"/>
        <w:autoSpaceDN w:val="0"/>
        <w:bidi w:val="0"/>
        <w:adjustRightInd w:val="0"/>
        <w:snapToGrid w:val="0"/>
        <w:spacing w:before="91" w:line="600" w:lineRule="exact"/>
        <w:jc w:val="center"/>
        <w:rPr>
          <w:rFonts w:hint="eastAsia" w:ascii="仿宋" w:hAnsi="仿宋" w:eastAsia="仿宋" w:cs="仿宋"/>
          <w:sz w:val="30"/>
          <w:szCs w:val="30"/>
          <w:highlight w:val="none"/>
        </w:rPr>
      </w:pPr>
      <w:r>
        <w:rPr>
          <w:rFonts w:hint="eastAsia" w:ascii="仿宋" w:hAnsi="仿宋" w:eastAsia="仿宋" w:cs="仿宋"/>
          <w:spacing w:val="-16"/>
          <w:sz w:val="32"/>
          <w:szCs w:val="32"/>
          <w:highlight w:val="none"/>
        </w:rPr>
        <w:t>表</w:t>
      </w:r>
      <w:r>
        <w:rPr>
          <w:rFonts w:hint="eastAsia" w:ascii="仿宋" w:hAnsi="仿宋" w:eastAsia="仿宋" w:cs="仿宋"/>
          <w:spacing w:val="-8"/>
          <w:sz w:val="32"/>
          <w:szCs w:val="32"/>
          <w:highlight w:val="none"/>
          <w:lang w:val="en-US" w:eastAsia="zh-CN"/>
        </w:rPr>
        <w:t>2</w:t>
      </w:r>
      <w:r>
        <w:rPr>
          <w:rFonts w:hint="eastAsia" w:ascii="仿宋" w:hAnsi="仿宋" w:eastAsia="仿宋" w:cs="仿宋"/>
          <w:spacing w:val="-8"/>
          <w:sz w:val="32"/>
          <w:szCs w:val="32"/>
          <w:highlight w:val="none"/>
        </w:rPr>
        <w:t>：</w:t>
      </w:r>
      <w:r>
        <w:rPr>
          <w:rFonts w:hint="eastAsia" w:ascii="仿宋" w:hAnsi="仿宋" w:eastAsia="仿宋" w:cs="仿宋"/>
          <w:spacing w:val="-8"/>
          <w:sz w:val="32"/>
          <w:szCs w:val="32"/>
          <w:highlight w:val="none"/>
          <w:lang w:val="en-US" w:eastAsia="zh-CN"/>
        </w:rPr>
        <w:t>预算项目绩效</w:t>
      </w:r>
      <w:r>
        <w:rPr>
          <w:rFonts w:hint="eastAsia" w:ascii="仿宋" w:hAnsi="仿宋" w:eastAsia="仿宋" w:cs="仿宋"/>
          <w:spacing w:val="-8"/>
          <w:sz w:val="32"/>
          <w:szCs w:val="32"/>
          <w:highlight w:val="none"/>
        </w:rPr>
        <w:t>表</w:t>
      </w:r>
    </w:p>
    <w:p>
      <w:pPr>
        <w:keepNext w:val="0"/>
        <w:keepLines w:val="0"/>
        <w:pageBreakBefore w:val="0"/>
        <w:widowControl w:val="0"/>
        <w:kinsoku/>
        <w:wordWrap/>
        <w:overflowPunct/>
        <w:topLinePunct w:val="0"/>
        <w:autoSpaceDE w:val="0"/>
        <w:autoSpaceDN w:val="0"/>
        <w:bidi w:val="0"/>
        <w:adjustRightInd w:val="0"/>
        <w:snapToGrid w:val="0"/>
        <w:spacing w:line="600" w:lineRule="exact"/>
        <w:textAlignment w:val="baseline"/>
        <w:rPr>
          <w:rFonts w:hint="eastAsia" w:ascii="仿宋" w:hAnsi="仿宋" w:eastAsia="仿宋" w:cs="仿宋"/>
          <w:spacing w:val="5"/>
          <w:sz w:val="32"/>
          <w:szCs w:val="32"/>
          <w:lang w:eastAsia="zh-CN"/>
        </w:rPr>
      </w:pPr>
      <w:r>
        <w:rPr>
          <w:rFonts w:hint="eastAsia" w:ascii="仿宋" w:hAnsi="仿宋" w:eastAsia="仿宋" w:cs="仿宋"/>
          <w:spacing w:val="5"/>
          <w:sz w:val="32"/>
          <w:szCs w:val="32"/>
          <w:lang w:eastAsia="zh-CN"/>
        </w:rPr>
        <w:drawing>
          <wp:anchor distT="0" distB="0" distL="114300" distR="114300" simplePos="0" relativeHeight="251660288" behindDoc="0" locked="0" layoutInCell="1" allowOverlap="1">
            <wp:simplePos x="0" y="0"/>
            <wp:positionH relativeFrom="column">
              <wp:posOffset>-448945</wp:posOffset>
            </wp:positionH>
            <wp:positionV relativeFrom="paragraph">
              <wp:posOffset>15240</wp:posOffset>
            </wp:positionV>
            <wp:extent cx="9107170" cy="4157980"/>
            <wp:effectExtent l="0" t="0" r="17780" b="13970"/>
            <wp:wrapSquare wrapText="bothSides"/>
            <wp:docPr id="4" name="图片 4" descr="3d09a1ac-fed9-4279-b273-fa0284db3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d09a1ac-fed9-4279-b273-fa0284db32b7"/>
                    <pic:cNvPicPr>
                      <a:picLocks noChangeAspect="1"/>
                    </pic:cNvPicPr>
                  </pic:nvPicPr>
                  <pic:blipFill>
                    <a:blip r:embed="rId9"/>
                    <a:stretch>
                      <a:fillRect/>
                    </a:stretch>
                  </pic:blipFill>
                  <pic:spPr>
                    <a:xfrm>
                      <a:off x="0" y="0"/>
                      <a:ext cx="9107170" cy="4157980"/>
                    </a:xfrm>
                    <a:prstGeom prst="rect">
                      <a:avLst/>
                    </a:prstGeom>
                  </pic:spPr>
                </pic:pic>
              </a:graphicData>
            </a:graphic>
          </wp:anchor>
        </w:drawing>
      </w:r>
    </w:p>
    <w:p>
      <w:pPr>
        <w:pStyle w:val="3"/>
        <w:rPr>
          <w:rFonts w:hint="eastAsia" w:ascii="仿宋" w:hAnsi="仿宋" w:eastAsia="仿宋" w:cs="仿宋"/>
          <w:spacing w:val="5"/>
          <w:sz w:val="32"/>
          <w:szCs w:val="32"/>
          <w:lang w:eastAsia="zh-CN"/>
        </w:rPr>
      </w:pPr>
    </w:p>
    <w:p>
      <w:pPr>
        <w:rPr>
          <w:rFonts w:hint="eastAsia"/>
          <w:lang w:eastAsia="zh-CN"/>
        </w:rPr>
        <w:sectPr>
          <w:pgSz w:w="16838" w:h="11906" w:orient="landscape"/>
          <w:pgMar w:top="1587" w:right="2098" w:bottom="1474" w:left="1984" w:header="851" w:footer="992" w:gutter="0"/>
          <w:pgNumType w:fmt="decimal"/>
          <w:cols w:space="720" w:num="1"/>
          <w:docGrid w:type="lines" w:linePitch="312" w:charSpace="0"/>
        </w:sectPr>
      </w:pP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绩效评价工作开展情况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（一）绩效评价目的、对象和内容</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pacing w:val="0"/>
          <w:w w:val="100"/>
          <w:kern w:val="2"/>
          <w:position w:val="0"/>
          <w:sz w:val="32"/>
          <w:szCs w:val="32"/>
          <w:highlight w:val="none"/>
          <w:lang w:val="en-US" w:eastAsia="zh-CN"/>
        </w:rPr>
        <w:t>为深入贯彻落实中共中央、国务院《关于全面实施预算绩效管理的意见》(中发〔2018〕34号)、《财政部关于贯彻落实&lt;中共中央国务院关于全面实施预算绩效管理的意见&gt;的通知》(财预〔2018〕167号)等文件要求，根据《项目支出绩效评价管理办法》(财预〔2020〕10号)文件精神，聚焦</w:t>
      </w:r>
      <w:r>
        <w:rPr>
          <w:rFonts w:hint="eastAsia" w:ascii="仿宋" w:hAnsi="仿宋" w:eastAsia="仿宋" w:cs="仿宋"/>
          <w:sz w:val="32"/>
          <w:szCs w:val="32"/>
          <w:highlight w:val="none"/>
          <w:lang w:val="en-US" w:eastAsia="zh-CN"/>
        </w:rPr>
        <w:t>2024年度基本公共卫生服务资金及妇女“两癌”筛查项目</w:t>
      </w:r>
      <w:r>
        <w:rPr>
          <w:rFonts w:hint="eastAsia" w:ascii="仿宋" w:hAnsi="仿宋" w:eastAsia="仿宋" w:cs="仿宋"/>
          <w:spacing w:val="0"/>
          <w:w w:val="100"/>
          <w:kern w:val="2"/>
          <w:position w:val="0"/>
          <w:sz w:val="32"/>
          <w:szCs w:val="32"/>
          <w:highlight w:val="none"/>
          <w:lang w:val="en-US" w:eastAsia="zh-CN"/>
        </w:rPr>
        <w:t>补助资金，围绕决策、过程、产出及效益情况开展评价，总结经验，发现问题，剖析原因，提出改进建议，为相关部门科学决策、规范管理提供参考，进一步优化</w:t>
      </w:r>
      <w:r>
        <w:rPr>
          <w:rFonts w:hint="eastAsia" w:ascii="仿宋" w:hAnsi="仿宋" w:eastAsia="仿宋" w:cs="仿宋"/>
          <w:sz w:val="32"/>
          <w:szCs w:val="32"/>
          <w:highlight w:val="none"/>
          <w:lang w:val="en-US" w:eastAsia="zh-CN"/>
        </w:rPr>
        <w:t>2024年度基本公共卫生服务资金及妇女“两癌”筛查项目</w:t>
      </w:r>
      <w:r>
        <w:rPr>
          <w:rFonts w:hint="eastAsia" w:ascii="仿宋" w:hAnsi="仿宋" w:eastAsia="仿宋" w:cs="仿宋"/>
          <w:spacing w:val="0"/>
          <w:w w:val="100"/>
          <w:kern w:val="2"/>
          <w:position w:val="0"/>
          <w:sz w:val="32"/>
          <w:szCs w:val="32"/>
          <w:highlight w:val="none"/>
          <w:lang w:val="en-US" w:eastAsia="zh-CN"/>
        </w:rPr>
        <w:t>工作，提高财政资金配置效率和使用效益。</w:t>
      </w:r>
      <w:r>
        <w:rPr>
          <w:rFonts w:hint="eastAsia" w:ascii="仿宋" w:hAnsi="仿宋" w:eastAsia="仿宋" w:cs="仿宋"/>
          <w:spacing w:val="0"/>
          <w:w w:val="100"/>
          <w:kern w:val="2"/>
          <w:position w:val="0"/>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（二）绩效评价原则、评价方法</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1、评价原则</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本次评价本着问题导向、系统评价、科学客观、公平公正、讲求绩效的原则。</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客观公正原则：根据该项目客观事实进行评价，避免个人情感和主观意见的影响。评价方法科学、合理，符合项自评价的实际情况和要求。</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科学性原则：评价人员根据科学的评价方法和标准，对项目进行全面、客观、准确的评估，确保评价结果的可信度和有效性。</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全面性原则：项目评价全面、系统的进行，涵盖项目的各个方面和环节。评价人员对项目的经济效益、社会效益、环境效益等进行全面评估，确保评价结果的全面性和完整性。</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有效性原则：评价注重实际效果，对项自的实施效果进行评估和分析，找出存在的问题和不足，提出改进建议和措施，确保项目实施的有效性和可持续性。</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风险控制原则：评价关注项目的风险因素，对项目的风险进行评估和控制，确保项自实施的安全性和稳定性。</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定量与定性相结合原则：评价采用定量与定性相结合的方法，对项目的经济效益、社会效益、环境效益等进行量化评估和定性分析，确保评价结果的准确性和可靠性。</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持续改进原则：评价结果应成为改进项自管理的依据和参考，评价人员应该根据评价结果提出改进建议和措施，促进项目的持续改进和发展。</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政策法规遵循原则：评价人员在评价过程中遵守相关政策法规，确保项自评价的合法性和合规性。同时，项目实施单位也应该遵守相关政策法规，确保项自实施符合政策要求。</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总之，项目绩效评价的原则是确保项目评价公正、客观、准确的重要保障，也是促进项目可持续发展的重要手段。在项目绩效评价中，我们应该认真遵循这些原则，不断提高项目绩效评价的水平，为推动社会经济可持续发展做出贡献。</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2、评价方法</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采用全面评价和重点评价相结合、现场评价和非现场评价相结合、定性分析与定量分析相结合的方式，运用案卷研究、专家咨询、座谈访谈、实地进行项目调查走访等方法，对项目决策、过程、产出、效益四方面进行综合评价。</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（三）评价标准</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项目绩效评价得分标准：依据项目绩效得分情况设定为优、良、中、差。得分90分以上为“优”（含90分），得分80~90（含80）分为“良”，得分60~80（含60）分为“中”，得分60分以下为“差”。</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（四）评价指标体系</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本次评价指标体系根据《项目支出绩效评价管理办法》(财预〔2020〕10号)有关要求设置，包括决策、过程、产出及效益4个一级指标，11个二级指标和18个三级指标(指标体系见附件1)，满分为100分。一是决策(10分)，主要评价项目立项、绩效目标和资金投入情况。二是过程(20分)，主要评价资金管理和组织实施情况。三是产出(40分)，主要评价产出数量、产出质量、产出时效和产出成本完成情况。四是效益(30分)，主要评价项目经济效益、社会效益、生态效益、可持续影响和满意度实现情况。</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（五）绩效评价工作过程</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1、前期准备阶段</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建立了由第三方评价机构组成的绩效评价工作组。工作组根据</w:t>
      </w:r>
      <w:r>
        <w:rPr>
          <w:rFonts w:hint="eastAsia" w:ascii="仿宋" w:hAnsi="仿宋" w:eastAsia="仿宋" w:cs="仿宋"/>
          <w:sz w:val="32"/>
          <w:szCs w:val="32"/>
          <w:highlight w:val="none"/>
          <w:lang w:val="en-US" w:eastAsia="zh-CN"/>
        </w:rPr>
        <w:t>2024年度基本公共卫生服务资金及妇女“两癌”筛查项目</w:t>
      </w:r>
      <w:r>
        <w:rPr>
          <w:rFonts w:hint="eastAsia" w:ascii="仿宋" w:hAnsi="仿宋" w:eastAsia="仿宋" w:cs="仿宋"/>
          <w:spacing w:val="0"/>
          <w:w w:val="100"/>
          <w:kern w:val="2"/>
          <w:position w:val="0"/>
          <w:sz w:val="32"/>
          <w:szCs w:val="32"/>
          <w:highlight w:val="none"/>
          <w:lang w:val="en-US" w:eastAsia="zh-CN"/>
        </w:rPr>
        <w:t>内容及特点，通过与县卫健局等相关单位座谈、查阅资料等方式，充分了解项目背景、目的、实施等情况，制定评价工作方案，明确评价思路，细化评价指标体系及评分标准。</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2、组织实施阶段</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按照既定评价工作安排，综合考虑巨鹿县基本公共卫生服务项目资金分配、实施内容等相关因素，评价工作组最终选择对本次绩效评价进行现场踏勘、调研工作。通过与调研单位、县卫健局等单位现场座谈，了解项目组织管理、实施成效、资金到位及使用等情况；通过查阅资料，核实调研单位任务完成情况及资金使用规范性；通过集中座谈、发放调研问卷等方式，掌握补助对象对项目实施的满意度。</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在现场调研的基础上，评价机构于2025年12月18日召开了项目专题讨论会，会议就绩效评价的概念与背景、项目立项背景、评价对象内容、评价方式方法、工作程序和内容进行了沟通，对项目的疑难点进行了充分交流，于当天下午召开了专题评价会议，会议就现场调研、现场评价中发现的问题进行了归纳总结，并逐条与项目相关负责人进行了充分交流，并根据沟通情况对该项目进行了综合评价，形成了初步评价结论。</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3、报告撰写及归档阶段</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评价工作组在梳理、分析调研资料和相关数据的基础上，根据县卫健局等单位反馈意见修订完善评价结论，撰写绩效评价报告。</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三、综合评价情况及评价结论</w:t>
      </w:r>
    </w:p>
    <w:p>
      <w:pPr>
        <w:keepNext w:val="0"/>
        <w:keepLines w:val="0"/>
        <w:pageBreakBefore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（一）综合评价情况,详见表3。</w:t>
      </w:r>
    </w:p>
    <w:p>
      <w:pPr>
        <w:pStyle w:val="5"/>
        <w:keepNext w:val="0"/>
        <w:keepLines w:val="0"/>
        <w:pageBreakBefore w:val="0"/>
        <w:widowControl w:val="0"/>
        <w:kinsoku/>
        <w:wordWrap/>
        <w:overflowPunct/>
        <w:topLinePunct w:val="0"/>
        <w:autoSpaceDE/>
        <w:autoSpaceDN/>
        <w:bidi w:val="0"/>
        <w:adjustRightInd/>
        <w:snapToGrid/>
        <w:spacing w:line="520" w:lineRule="exact"/>
        <w:ind w:left="0" w:right="0"/>
        <w:textAlignment w:val="auto"/>
        <w:rPr>
          <w:rFonts w:hint="default"/>
          <w:lang w:val="en-US" w:eastAsia="zh-CN"/>
        </w:rPr>
      </w:pPr>
      <w:r>
        <w:rPr>
          <w:rFonts w:hint="eastAsia" w:ascii="仿宋" w:hAnsi="仿宋" w:eastAsia="仿宋" w:cs="仿宋"/>
          <w:i w:val="0"/>
          <w:iCs w:val="0"/>
          <w:color w:val="auto"/>
          <w:kern w:val="2"/>
          <w:sz w:val="32"/>
          <w:szCs w:val="32"/>
          <w:lang w:val="en-US" w:eastAsia="zh-CN" w:bidi="ar-SA"/>
        </w:rPr>
        <w:t>表3综合得分情况表</w:t>
      </w:r>
    </w:p>
    <w:tbl>
      <w:tblPr>
        <w:tblStyle w:val="14"/>
        <w:tblpPr w:leftFromText="180" w:rightFromText="180" w:vertAnchor="text" w:horzAnchor="page" w:tblpX="3327" w:tblpY="38"/>
        <w:tblOverlap w:val="never"/>
        <w:tblW w:w="56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3"/>
        <w:gridCol w:w="961"/>
        <w:gridCol w:w="1583"/>
        <w:gridCol w:w="15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cantSplit/>
          <w:trHeight w:val="674" w:hRule="atLeast"/>
        </w:trPr>
        <w:tc>
          <w:tcPr>
            <w:tcW w:w="150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一级指标</w:t>
            </w:r>
          </w:p>
        </w:tc>
        <w:tc>
          <w:tcPr>
            <w:tcW w:w="961"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分值</w:t>
            </w:r>
          </w:p>
        </w:tc>
        <w:tc>
          <w:tcPr>
            <w:tcW w:w="158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得分</w:t>
            </w:r>
          </w:p>
        </w:tc>
        <w:tc>
          <w:tcPr>
            <w:tcW w:w="1579"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得分率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cantSplit/>
          <w:trHeight w:val="539" w:hRule="atLeast"/>
        </w:trPr>
        <w:tc>
          <w:tcPr>
            <w:tcW w:w="150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决策</w:t>
            </w:r>
          </w:p>
        </w:tc>
        <w:tc>
          <w:tcPr>
            <w:tcW w:w="961"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10</w:t>
            </w:r>
          </w:p>
        </w:tc>
        <w:tc>
          <w:tcPr>
            <w:tcW w:w="158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9.00</w:t>
            </w:r>
          </w:p>
        </w:tc>
        <w:tc>
          <w:tcPr>
            <w:tcW w:w="1579"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90.00%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cantSplit/>
          <w:trHeight w:val="540" w:hRule="atLeast"/>
        </w:trPr>
        <w:tc>
          <w:tcPr>
            <w:tcW w:w="150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过程</w:t>
            </w:r>
          </w:p>
        </w:tc>
        <w:tc>
          <w:tcPr>
            <w:tcW w:w="961"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20</w:t>
            </w:r>
          </w:p>
        </w:tc>
        <w:tc>
          <w:tcPr>
            <w:tcW w:w="158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17.00</w:t>
            </w:r>
          </w:p>
        </w:tc>
        <w:tc>
          <w:tcPr>
            <w:tcW w:w="1579"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lang w:val="en-US" w:eastAsia="zh-CN"/>
              </w:rPr>
              <w:t>85.00</w:t>
            </w:r>
            <w:r>
              <w:rPr>
                <w:rFonts w:hint="eastAsia" w:ascii="仿宋" w:hAnsi="仿宋" w:eastAsia="仿宋" w:cs="仿宋"/>
                <w:spacing w:val="0"/>
                <w:w w:val="100"/>
                <w:kern w:val="2"/>
                <w:position w:val="0"/>
                <w:sz w:val="28"/>
                <w:szCs w:val="28"/>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cantSplit/>
          <w:trHeight w:val="564" w:hRule="atLeast"/>
        </w:trPr>
        <w:tc>
          <w:tcPr>
            <w:tcW w:w="150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产出</w:t>
            </w:r>
          </w:p>
        </w:tc>
        <w:tc>
          <w:tcPr>
            <w:tcW w:w="961"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40</w:t>
            </w:r>
          </w:p>
        </w:tc>
        <w:tc>
          <w:tcPr>
            <w:tcW w:w="158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38.10</w:t>
            </w:r>
          </w:p>
        </w:tc>
        <w:tc>
          <w:tcPr>
            <w:tcW w:w="1579"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95.25%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cantSplit/>
          <w:trHeight w:val="558" w:hRule="atLeast"/>
        </w:trPr>
        <w:tc>
          <w:tcPr>
            <w:tcW w:w="150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效益</w:t>
            </w:r>
          </w:p>
        </w:tc>
        <w:tc>
          <w:tcPr>
            <w:tcW w:w="961"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30</w:t>
            </w:r>
          </w:p>
        </w:tc>
        <w:tc>
          <w:tcPr>
            <w:tcW w:w="158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26.19</w:t>
            </w:r>
          </w:p>
        </w:tc>
        <w:tc>
          <w:tcPr>
            <w:tcW w:w="1579"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87.30%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cantSplit/>
          <w:trHeight w:val="496" w:hRule="atLeast"/>
        </w:trPr>
        <w:tc>
          <w:tcPr>
            <w:tcW w:w="150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合计</w:t>
            </w:r>
          </w:p>
        </w:tc>
        <w:tc>
          <w:tcPr>
            <w:tcW w:w="961"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100</w:t>
            </w:r>
          </w:p>
        </w:tc>
        <w:tc>
          <w:tcPr>
            <w:tcW w:w="1583"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90.29</w:t>
            </w:r>
          </w:p>
        </w:tc>
        <w:tc>
          <w:tcPr>
            <w:tcW w:w="1579" w:type="dxa"/>
            <w:vAlign w:val="center"/>
          </w:tcPr>
          <w:p>
            <w:pPr>
              <w:keepNext/>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90.29%</w:t>
            </w:r>
          </w:p>
        </w:tc>
      </w:tr>
    </w:tbl>
    <w:p>
      <w:pPr>
        <w:pStyle w:val="5"/>
        <w:jc w:val="center"/>
        <w:rPr>
          <w:rFonts w:hint="eastAsia" w:ascii="仿宋" w:hAnsi="仿宋" w:eastAsia="仿宋" w:cs="仿宋"/>
          <w:i w:val="0"/>
          <w:iCs w:val="0"/>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（二）评价结论</w:t>
      </w:r>
    </w:p>
    <w:p>
      <w:pPr>
        <w:keepNext w:val="0"/>
        <w:keepLines w:val="0"/>
        <w:pageBreakBefore w:val="0"/>
        <w:widowControl/>
        <w:kinsoku/>
        <w:wordWrap/>
        <w:overflowPunct/>
        <w:topLinePunct w:val="0"/>
        <w:autoSpaceDE w:val="0"/>
        <w:autoSpaceDN w:val="0"/>
        <w:bidi w:val="0"/>
        <w:adjustRightInd w:val="0"/>
        <w:snapToGrid w:val="0"/>
        <w:spacing w:line="520" w:lineRule="exact"/>
        <w:ind w:right="0" w:firstLine="640" w:firstLineChars="200"/>
        <w:textAlignment w:val="baseline"/>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项目综合评价得分90.29分，评价等级为“优”。</w:t>
      </w:r>
    </w:p>
    <w:p>
      <w:pPr>
        <w:keepNext w:val="0"/>
        <w:keepLines w:val="0"/>
        <w:pageBreakBefore w:val="0"/>
        <w:widowControl/>
        <w:kinsoku/>
        <w:wordWrap/>
        <w:overflowPunct/>
        <w:topLinePunct w:val="0"/>
        <w:autoSpaceDE w:val="0"/>
        <w:autoSpaceDN w:val="0"/>
        <w:bidi w:val="0"/>
        <w:adjustRightInd w:val="0"/>
        <w:snapToGrid w:val="0"/>
        <w:spacing w:line="520" w:lineRule="exact"/>
        <w:ind w:right="0" w:firstLine="640" w:firstLineChars="200"/>
        <w:textAlignment w:val="baseline"/>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四、绩效评价分析</w:t>
      </w:r>
    </w:p>
    <w:p>
      <w:pPr>
        <w:keepNext w:val="0"/>
        <w:keepLines w:val="0"/>
        <w:pageBreakBefore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（一）决策分析</w:t>
      </w:r>
    </w:p>
    <w:p>
      <w:pPr>
        <w:keepNext w:val="0"/>
        <w:keepLines w:val="0"/>
        <w:pageBreakBefore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1、项目立项</w:t>
      </w:r>
    </w:p>
    <w:p>
      <w:pPr>
        <w:keepNext w:val="0"/>
        <w:keepLines w:val="0"/>
        <w:pageBreakBefore w:val="0"/>
        <w:widowControl/>
        <w:kinsoku/>
        <w:wordWrap/>
        <w:overflowPunct/>
        <w:topLinePunct w:val="0"/>
        <w:autoSpaceDE w:val="0"/>
        <w:autoSpaceDN w:val="0"/>
        <w:bidi w:val="0"/>
        <w:adjustRightInd w:val="0"/>
        <w:snapToGrid w:val="0"/>
        <w:spacing w:line="520" w:lineRule="exact"/>
        <w:ind w:right="0" w:firstLine="640" w:firstLineChars="200"/>
        <w:textAlignment w:val="baseline"/>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该指标分值10分，得分9.00分，得分率90.00%。详见表4。</w:t>
      </w:r>
    </w:p>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32"/>
          <w:szCs w:val="32"/>
          <w:highlight w:val="none"/>
          <w:lang w:eastAsia="zh-CN"/>
        </w:rPr>
      </w:pPr>
      <w:r>
        <w:rPr>
          <w:rFonts w:hint="eastAsia" w:ascii="仿宋" w:hAnsi="仿宋" w:eastAsia="仿宋" w:cs="仿宋"/>
          <w:spacing w:val="0"/>
          <w:w w:val="100"/>
          <w:kern w:val="2"/>
          <w:position w:val="0"/>
          <w:sz w:val="32"/>
          <w:szCs w:val="32"/>
          <w:highlight w:val="none"/>
          <w:lang w:val="en-US" w:eastAsia="zh-CN"/>
        </w:rPr>
        <w:t>表4：</w:t>
      </w:r>
      <w:r>
        <w:rPr>
          <w:rFonts w:hint="eastAsia" w:ascii="仿宋" w:hAnsi="仿宋" w:eastAsia="仿宋" w:cs="仿宋"/>
          <w:spacing w:val="0"/>
          <w:w w:val="100"/>
          <w:kern w:val="2"/>
          <w:position w:val="0"/>
          <w:sz w:val="32"/>
          <w:szCs w:val="32"/>
          <w:highlight w:val="none"/>
        </w:rPr>
        <w:t>决策指标设定及评分情况表</w:t>
      </w:r>
    </w:p>
    <w:tbl>
      <w:tblPr>
        <w:tblStyle w:val="14"/>
        <w:tblW w:w="781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9"/>
        <w:gridCol w:w="1474"/>
        <w:gridCol w:w="2745"/>
        <w:gridCol w:w="1047"/>
        <w:gridCol w:w="12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5" w:hRule="atLeast"/>
          <w:jc w:val="center"/>
        </w:trPr>
        <w:tc>
          <w:tcPr>
            <w:tcW w:w="1349" w:type="dxa"/>
            <w:tcBorders>
              <w:top w:val="single" w:color="auto" w:sz="4" w:space="0"/>
              <w:lef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一级指标</w:t>
            </w:r>
          </w:p>
        </w:tc>
        <w:tc>
          <w:tcPr>
            <w:tcW w:w="1474"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二级指标</w:t>
            </w:r>
          </w:p>
        </w:tc>
        <w:tc>
          <w:tcPr>
            <w:tcW w:w="2745" w:type="dxa"/>
            <w:tcBorders>
              <w:lef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三级指标</w:t>
            </w:r>
          </w:p>
        </w:tc>
        <w:tc>
          <w:tcPr>
            <w:tcW w:w="1047"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分值</w:t>
            </w:r>
          </w:p>
        </w:tc>
        <w:tc>
          <w:tcPr>
            <w:tcW w:w="120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jc w:val="center"/>
        </w:trPr>
        <w:tc>
          <w:tcPr>
            <w:tcW w:w="1349" w:type="dxa"/>
            <w:vMerge w:val="restart"/>
            <w:tcBorders>
              <w:left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lang w:eastAsia="zh-CN"/>
              </w:rPr>
            </w:pPr>
            <w:r>
              <w:rPr>
                <w:rFonts w:hint="eastAsia" w:ascii="仿宋" w:hAnsi="仿宋" w:eastAsia="仿宋" w:cs="仿宋"/>
                <w:spacing w:val="0"/>
                <w:w w:val="100"/>
                <w:kern w:val="2"/>
                <w:position w:val="0"/>
                <w:sz w:val="28"/>
                <w:szCs w:val="28"/>
                <w:highlight w:val="none"/>
              </w:rPr>
              <w:t>决策</w:t>
            </w:r>
            <w:r>
              <w:rPr>
                <w:rFonts w:hint="eastAsia" w:ascii="仿宋" w:hAnsi="仿宋" w:eastAsia="仿宋" w:cs="仿宋"/>
                <w:spacing w:val="0"/>
                <w:w w:val="100"/>
                <w:kern w:val="2"/>
                <w:position w:val="0"/>
                <w:sz w:val="28"/>
                <w:szCs w:val="28"/>
                <w:highlight w:val="none"/>
                <w:lang w:val="en-US" w:eastAsia="zh-CN"/>
              </w:rPr>
              <w:t xml:space="preserve">   </w:t>
            </w:r>
            <w:r>
              <w:rPr>
                <w:rFonts w:hint="eastAsia" w:ascii="仿宋" w:hAnsi="仿宋" w:eastAsia="仿宋" w:cs="仿宋"/>
                <w:spacing w:val="0"/>
                <w:w w:val="100"/>
                <w:kern w:val="2"/>
                <w:position w:val="0"/>
                <w:sz w:val="28"/>
                <w:szCs w:val="28"/>
                <w:highlight w:val="none"/>
                <w:lang w:eastAsia="zh-CN"/>
              </w:rPr>
              <w:t>（</w:t>
            </w:r>
            <w:r>
              <w:rPr>
                <w:rFonts w:hint="eastAsia" w:ascii="仿宋" w:hAnsi="仿宋" w:eastAsia="仿宋" w:cs="仿宋"/>
                <w:spacing w:val="0"/>
                <w:w w:val="100"/>
                <w:kern w:val="2"/>
                <w:position w:val="0"/>
                <w:sz w:val="28"/>
                <w:szCs w:val="28"/>
                <w:highlight w:val="none"/>
                <w:lang w:val="en-US" w:eastAsia="zh-CN"/>
              </w:rPr>
              <w:t>10分</w:t>
            </w:r>
            <w:r>
              <w:rPr>
                <w:rFonts w:hint="eastAsia" w:ascii="仿宋" w:hAnsi="仿宋" w:eastAsia="仿宋" w:cs="仿宋"/>
                <w:spacing w:val="0"/>
                <w:w w:val="100"/>
                <w:kern w:val="2"/>
                <w:position w:val="0"/>
                <w:sz w:val="28"/>
                <w:szCs w:val="28"/>
                <w:highlight w:val="none"/>
                <w:lang w:eastAsia="zh-CN"/>
              </w:rPr>
              <w:t>）</w:t>
            </w:r>
          </w:p>
        </w:tc>
        <w:tc>
          <w:tcPr>
            <w:tcW w:w="1474" w:type="dxa"/>
            <w:vMerge w:val="restart"/>
            <w:tcBorders>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项目立项</w:t>
            </w:r>
          </w:p>
        </w:tc>
        <w:tc>
          <w:tcPr>
            <w:tcW w:w="2745" w:type="dxa"/>
            <w:tcBorders>
              <w:lef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立项依据充分性</w:t>
            </w:r>
          </w:p>
        </w:tc>
        <w:tc>
          <w:tcPr>
            <w:tcW w:w="1047"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2</w:t>
            </w:r>
          </w:p>
        </w:tc>
        <w:tc>
          <w:tcPr>
            <w:tcW w:w="120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lang w:val="en-US"/>
              </w:rPr>
            </w:pPr>
            <w:r>
              <w:rPr>
                <w:rFonts w:hint="eastAsia" w:ascii="仿宋" w:hAnsi="仿宋" w:eastAsia="仿宋" w:cs="仿宋"/>
                <w:spacing w:val="0"/>
                <w:w w:val="100"/>
                <w:kern w:val="2"/>
                <w:position w:val="0"/>
                <w:sz w:val="28"/>
                <w:szCs w:val="28"/>
                <w:highlight w:val="none"/>
                <w:lang w:val="en-US" w:eastAsia="zh-CN"/>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8" w:hRule="atLeast"/>
          <w:jc w:val="center"/>
        </w:trPr>
        <w:tc>
          <w:tcPr>
            <w:tcW w:w="1349" w:type="dxa"/>
            <w:vMerge w:val="continue"/>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1474" w:type="dxa"/>
            <w:vMerge w:val="continue"/>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2745" w:type="dxa"/>
            <w:tcBorders>
              <w:lef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立项程序规范性</w:t>
            </w:r>
          </w:p>
        </w:tc>
        <w:tc>
          <w:tcPr>
            <w:tcW w:w="1047"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1</w:t>
            </w:r>
          </w:p>
        </w:tc>
        <w:tc>
          <w:tcPr>
            <w:tcW w:w="120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75" w:hRule="atLeast"/>
          <w:jc w:val="center"/>
        </w:trPr>
        <w:tc>
          <w:tcPr>
            <w:tcW w:w="1349" w:type="dxa"/>
            <w:vMerge w:val="continue"/>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1474" w:type="dxa"/>
            <w:vMerge w:val="restart"/>
            <w:tcBorders>
              <w:top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绩效目标</w:t>
            </w:r>
          </w:p>
        </w:tc>
        <w:tc>
          <w:tcPr>
            <w:tcW w:w="2745"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绩效目标合理性</w:t>
            </w:r>
          </w:p>
        </w:tc>
        <w:tc>
          <w:tcPr>
            <w:tcW w:w="1047"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2</w:t>
            </w:r>
          </w:p>
        </w:tc>
        <w:tc>
          <w:tcPr>
            <w:tcW w:w="120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lang w:val="en-US" w:eastAsia="zh-CN"/>
              </w:rPr>
              <w:t>1.5</w:t>
            </w:r>
            <w:r>
              <w:rPr>
                <w:rFonts w:hint="eastAsia" w:ascii="仿宋" w:hAnsi="仿宋" w:eastAsia="仿宋" w:cs="仿宋"/>
                <w:spacing w:val="0"/>
                <w:w w:val="100"/>
                <w:kern w:val="2"/>
                <w:position w:val="0"/>
                <w:sz w:val="28"/>
                <w:szCs w:val="28"/>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2" w:hRule="atLeast"/>
          <w:jc w:val="center"/>
        </w:trPr>
        <w:tc>
          <w:tcPr>
            <w:tcW w:w="1349" w:type="dxa"/>
            <w:vMerge w:val="continue"/>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1474" w:type="dxa"/>
            <w:vMerge w:val="continue"/>
            <w:tcBorders>
              <w:top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2745"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绩效指标明确性</w:t>
            </w:r>
          </w:p>
        </w:tc>
        <w:tc>
          <w:tcPr>
            <w:tcW w:w="1047"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2</w:t>
            </w:r>
          </w:p>
        </w:tc>
        <w:tc>
          <w:tcPr>
            <w:tcW w:w="120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lang w:val="en-US" w:eastAsia="zh-CN"/>
              </w:rPr>
              <w:t>2</w:t>
            </w:r>
            <w:r>
              <w:rPr>
                <w:rFonts w:hint="eastAsia" w:ascii="仿宋" w:hAnsi="仿宋" w:eastAsia="仿宋" w:cs="仿宋"/>
                <w:spacing w:val="0"/>
                <w:w w:val="100"/>
                <w:kern w:val="2"/>
                <w:position w:val="0"/>
                <w:sz w:val="28"/>
                <w:szCs w:val="28"/>
                <w:highlight w:val="none"/>
              </w:rPr>
              <w:t>.</w:t>
            </w:r>
            <w:r>
              <w:rPr>
                <w:rFonts w:hint="eastAsia" w:ascii="仿宋" w:hAnsi="仿宋" w:eastAsia="仿宋" w:cs="仿宋"/>
                <w:spacing w:val="0"/>
                <w:w w:val="100"/>
                <w:kern w:val="2"/>
                <w:position w:val="0"/>
                <w:sz w:val="28"/>
                <w:szCs w:val="28"/>
                <w:highlight w:val="none"/>
                <w:lang w:val="en-US" w:eastAsia="zh-CN"/>
              </w:rPr>
              <w:t>0</w:t>
            </w:r>
            <w:r>
              <w:rPr>
                <w:rFonts w:hint="eastAsia" w:ascii="仿宋" w:hAnsi="仿宋" w:eastAsia="仿宋" w:cs="仿宋"/>
                <w:spacing w:val="0"/>
                <w:w w:val="100"/>
                <w:kern w:val="2"/>
                <w:position w:val="0"/>
                <w:sz w:val="28"/>
                <w:szCs w:val="28"/>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44" w:hRule="atLeast"/>
          <w:jc w:val="center"/>
        </w:trPr>
        <w:tc>
          <w:tcPr>
            <w:tcW w:w="1349" w:type="dxa"/>
            <w:vMerge w:val="continue"/>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1474" w:type="dxa"/>
            <w:vMerge w:val="restart"/>
            <w:tcBorders>
              <w:top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资金投入</w:t>
            </w:r>
          </w:p>
        </w:tc>
        <w:tc>
          <w:tcPr>
            <w:tcW w:w="2745"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预算编制科学性</w:t>
            </w:r>
          </w:p>
        </w:tc>
        <w:tc>
          <w:tcPr>
            <w:tcW w:w="1047"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2</w:t>
            </w:r>
          </w:p>
        </w:tc>
        <w:tc>
          <w:tcPr>
            <w:tcW w:w="120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lang w:val="en-US" w:eastAsia="zh-CN"/>
              </w:rPr>
              <w:t>1.5</w:t>
            </w:r>
            <w:r>
              <w:rPr>
                <w:rFonts w:hint="eastAsia" w:ascii="仿宋" w:hAnsi="仿宋" w:eastAsia="仿宋" w:cs="仿宋"/>
                <w:spacing w:val="0"/>
                <w:w w:val="100"/>
                <w:kern w:val="2"/>
                <w:position w:val="0"/>
                <w:sz w:val="28"/>
                <w:szCs w:val="28"/>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22" w:hRule="atLeast"/>
          <w:jc w:val="center"/>
        </w:trPr>
        <w:tc>
          <w:tcPr>
            <w:tcW w:w="1349" w:type="dxa"/>
            <w:vMerge w:val="continue"/>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1474" w:type="dxa"/>
            <w:vMerge w:val="continue"/>
            <w:tcBorders>
              <w:top w:val="single" w:color="auto" w:sz="4" w:space="0"/>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2745"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资金分配合理性</w:t>
            </w:r>
          </w:p>
        </w:tc>
        <w:tc>
          <w:tcPr>
            <w:tcW w:w="1047"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1</w:t>
            </w:r>
          </w:p>
        </w:tc>
        <w:tc>
          <w:tcPr>
            <w:tcW w:w="120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1.00</w:t>
            </w:r>
          </w:p>
        </w:tc>
      </w:tr>
    </w:tbl>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立项依据充分性</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textAlignment w:val="auto"/>
        <w:rPr>
          <w:rFonts w:hint="default"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项目立项依据充分。项目依据巨鹿县卫生健康局、巨鹿县财政局关于印发《巨鹿县2024年度国家基本公共卫生服务项目实施方案》的通知“巨卫基层〔</w:t>
      </w:r>
      <w:r>
        <w:rPr>
          <w:rFonts w:hint="default" w:ascii="仿宋" w:hAnsi="仿宋" w:eastAsia="仿宋" w:cs="仿宋"/>
          <w:spacing w:val="0"/>
          <w:w w:val="100"/>
          <w:kern w:val="2"/>
          <w:position w:val="0"/>
          <w:sz w:val="32"/>
          <w:szCs w:val="32"/>
          <w:highlight w:val="none"/>
          <w:lang w:val="en-US" w:eastAsia="zh-CN"/>
        </w:rPr>
        <w:t>202</w:t>
      </w:r>
      <w:r>
        <w:rPr>
          <w:rFonts w:hint="eastAsia" w:ascii="仿宋" w:hAnsi="仿宋" w:eastAsia="仿宋" w:cs="仿宋"/>
          <w:spacing w:val="0"/>
          <w:w w:val="100"/>
          <w:kern w:val="2"/>
          <w:position w:val="0"/>
          <w:sz w:val="32"/>
          <w:szCs w:val="32"/>
          <w:highlight w:val="none"/>
          <w:lang w:val="en-US" w:eastAsia="zh-CN"/>
        </w:rPr>
        <w:t>4〕8号”文件，冀卫妇幼函〔2024〕5号文件河北省卫生健康委员会</w:t>
      </w:r>
      <w:r>
        <w:rPr>
          <w:rFonts w:hint="default" w:ascii="仿宋" w:hAnsi="仿宋" w:eastAsia="仿宋" w:cs="仿宋"/>
          <w:spacing w:val="0"/>
          <w:w w:val="100"/>
          <w:kern w:val="2"/>
          <w:position w:val="0"/>
          <w:sz w:val="32"/>
          <w:szCs w:val="32"/>
          <w:highlight w:val="none"/>
          <w:lang w:val="en-US" w:eastAsia="zh-CN"/>
        </w:rPr>
        <w:t>河北省财政厅</w:t>
      </w:r>
      <w:r>
        <w:rPr>
          <w:rFonts w:hint="eastAsia" w:ascii="仿宋" w:hAnsi="仿宋" w:eastAsia="仿宋" w:cs="仿宋"/>
          <w:spacing w:val="0"/>
          <w:w w:val="100"/>
          <w:kern w:val="2"/>
          <w:position w:val="0"/>
          <w:sz w:val="32"/>
          <w:szCs w:val="32"/>
          <w:highlight w:val="none"/>
          <w:lang w:val="en-US" w:eastAsia="zh-CN"/>
        </w:rPr>
        <w:t>关于印发《2024</w:t>
      </w:r>
      <w:r>
        <w:rPr>
          <w:rFonts w:hint="default" w:ascii="仿宋" w:hAnsi="仿宋" w:eastAsia="仿宋" w:cs="仿宋"/>
          <w:spacing w:val="0"/>
          <w:w w:val="100"/>
          <w:kern w:val="2"/>
          <w:position w:val="0"/>
          <w:sz w:val="32"/>
          <w:szCs w:val="32"/>
          <w:highlight w:val="none"/>
          <w:lang w:val="en-US" w:eastAsia="zh-CN"/>
        </w:rPr>
        <w:t>年河北省适龄妇女“两癌”筛查项目实施方案》的通知</w:t>
      </w:r>
      <w:r>
        <w:rPr>
          <w:rFonts w:hint="eastAsia" w:ascii="仿宋" w:hAnsi="仿宋" w:eastAsia="仿宋" w:cs="仿宋"/>
          <w:spacing w:val="0"/>
          <w:w w:val="100"/>
          <w:kern w:val="2"/>
          <w:position w:val="0"/>
          <w:sz w:val="32"/>
          <w:szCs w:val="32"/>
          <w:highlight w:val="none"/>
          <w:lang w:val="en-US" w:eastAsia="zh-CN"/>
        </w:rPr>
        <w:t>组织项目实施。</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(2)立项程序规范性</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项目立项程序较规范。项目资金通过县卫健局2024年部门预算一并批复，立项申报、审批程序规范，立项材料及文件保留较齐全，符合财政预算项目立项规定的相关要求。</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2、绩效目标</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(1)绩效目标合理性</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项目绩效目标较合理。县卫健局制定了部门项目绩效目标，包括了巨鹿县基本公共卫生服务项目补助资金相关工作年度目标任务，与项目实际工作内容具有相关性，但与项目年初预算金额不完全匹配，扣0.50分。</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(2)绩效指标明确性</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spacing w:val="1"/>
          <w:sz w:val="32"/>
          <w:szCs w:val="32"/>
          <w:lang w:val="en-US" w:eastAsia="zh-CN"/>
        </w:rPr>
      </w:pPr>
      <w:r>
        <w:rPr>
          <w:rFonts w:hint="eastAsia" w:ascii="仿宋" w:hAnsi="仿宋" w:eastAsia="仿宋" w:cs="仿宋"/>
          <w:spacing w:val="0"/>
          <w:w w:val="100"/>
          <w:kern w:val="2"/>
          <w:position w:val="0"/>
          <w:sz w:val="32"/>
          <w:szCs w:val="32"/>
          <w:highlight w:val="none"/>
          <w:lang w:val="en-US" w:eastAsia="zh-CN"/>
        </w:rPr>
        <w:t>项目绩效指标较明确，但部分绩效指标设置不够准确、全面。围绕年度绩效目标任务，县卫健局将项目绩效目标细化分解为了具体绩效指标。但是，项目绩效指标值存在指标值设置偏低、项目绩效指标值设置过于简单。</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3、资金投入</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(1)预算编制科学性</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项目预算资金编制较科学合理，项目预算规模与项目内容较匹配。年初预算编制与项目投资额不匹配，扣0.50分。</w:t>
      </w:r>
    </w:p>
    <w:p>
      <w:pPr>
        <w:keepNext w:val="0"/>
        <w:keepLines w:val="0"/>
        <w:pageBreakBefore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(2)资金分配合理性</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项目资金分配合理性良好。</w:t>
      </w:r>
      <w:r>
        <w:rPr>
          <w:rFonts w:hint="eastAsia" w:ascii="仿宋" w:hAnsi="仿宋" w:eastAsia="仿宋" w:cs="仿宋"/>
          <w:sz w:val="32"/>
          <w:szCs w:val="32"/>
          <w:highlight w:val="none"/>
        </w:rPr>
        <w:t>202</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rPr>
        <w:t>年全</w:t>
      </w:r>
      <w:r>
        <w:rPr>
          <w:rFonts w:hint="eastAsia" w:ascii="仿宋" w:hAnsi="仿宋" w:eastAsia="仿宋" w:cs="仿宋"/>
          <w:sz w:val="32"/>
          <w:szCs w:val="32"/>
          <w:highlight w:val="none"/>
          <w:lang w:val="en-US" w:eastAsia="zh-CN"/>
        </w:rPr>
        <w:t>县</w:t>
      </w:r>
      <w:r>
        <w:rPr>
          <w:rFonts w:hint="eastAsia" w:ascii="仿宋" w:hAnsi="仿宋" w:eastAsia="仿宋" w:cs="仿宋"/>
          <w:sz w:val="32"/>
          <w:szCs w:val="32"/>
          <w:highlight w:val="none"/>
        </w:rPr>
        <w:t>基</w:t>
      </w:r>
      <w:r>
        <w:rPr>
          <w:rFonts w:hint="eastAsia" w:ascii="仿宋" w:hAnsi="仿宋" w:eastAsia="仿宋" w:cs="仿宋"/>
          <w:sz w:val="32"/>
          <w:szCs w:val="32"/>
          <w:highlight w:val="none"/>
          <w:lang w:val="en-US" w:eastAsia="zh-CN"/>
        </w:rPr>
        <w:t>本</w:t>
      </w:r>
      <w:r>
        <w:rPr>
          <w:rFonts w:hint="eastAsia" w:ascii="仿宋" w:hAnsi="仿宋" w:eastAsia="仿宋" w:cs="仿宋"/>
          <w:sz w:val="32"/>
          <w:szCs w:val="32"/>
          <w:highlight w:val="none"/>
        </w:rPr>
        <w:t>公共卫生服务项目常住人口数为</w:t>
      </w:r>
      <w:r>
        <w:rPr>
          <w:rFonts w:hint="eastAsia" w:ascii="仿宋" w:hAnsi="仿宋" w:eastAsia="仿宋" w:cs="仿宋"/>
          <w:sz w:val="32"/>
          <w:szCs w:val="32"/>
          <w:highlight w:val="none"/>
          <w:lang w:val="en-US" w:eastAsia="zh-CN"/>
        </w:rPr>
        <w:t>331700</w:t>
      </w:r>
      <w:r>
        <w:rPr>
          <w:rFonts w:hint="eastAsia" w:ascii="仿宋" w:hAnsi="仿宋" w:eastAsia="仿宋" w:cs="仿宋"/>
          <w:sz w:val="32"/>
          <w:szCs w:val="32"/>
          <w:highlight w:val="none"/>
        </w:rPr>
        <w:t>人，资金补助标准为</w:t>
      </w:r>
      <w:r>
        <w:rPr>
          <w:rFonts w:hint="eastAsia" w:ascii="仿宋" w:hAnsi="仿宋" w:eastAsia="仿宋" w:cs="仿宋"/>
          <w:sz w:val="32"/>
          <w:szCs w:val="32"/>
          <w:highlight w:val="none"/>
          <w:lang w:val="en-US" w:eastAsia="zh-CN"/>
        </w:rPr>
        <w:t>85</w:t>
      </w:r>
      <w:r>
        <w:rPr>
          <w:rFonts w:hint="eastAsia" w:ascii="仿宋" w:hAnsi="仿宋" w:eastAsia="仿宋" w:cs="仿宋"/>
          <w:sz w:val="32"/>
          <w:szCs w:val="32"/>
          <w:highlight w:val="none"/>
        </w:rPr>
        <w:t>元/人。全年基本公卫项目资金预</w:t>
      </w:r>
      <w:r>
        <w:rPr>
          <w:rFonts w:hint="eastAsia" w:ascii="仿宋" w:hAnsi="仿宋" w:eastAsia="仿宋" w:cs="仿宋"/>
          <w:color w:val="auto"/>
          <w:sz w:val="32"/>
          <w:szCs w:val="32"/>
          <w:highlight w:val="none"/>
        </w:rPr>
        <w:t>算</w:t>
      </w:r>
      <w:r>
        <w:rPr>
          <w:rFonts w:hint="eastAsia" w:ascii="仿宋" w:hAnsi="仿宋" w:eastAsia="仿宋" w:cs="仿宋"/>
          <w:color w:val="auto"/>
          <w:sz w:val="32"/>
          <w:szCs w:val="32"/>
          <w:highlight w:val="none"/>
          <w:lang w:val="en-US" w:eastAsia="zh-CN"/>
        </w:rPr>
        <w:t>2893.94</w:t>
      </w:r>
      <w:r>
        <w:rPr>
          <w:rFonts w:hint="eastAsia" w:ascii="仿宋" w:hAnsi="仿宋" w:eastAsia="仿宋" w:cs="仿宋"/>
          <w:color w:val="auto"/>
          <w:sz w:val="32"/>
          <w:szCs w:val="32"/>
          <w:highlight w:val="none"/>
        </w:rPr>
        <w:t>万元，财政拨付</w:t>
      </w:r>
      <w:r>
        <w:rPr>
          <w:rFonts w:hint="eastAsia" w:ascii="仿宋" w:hAnsi="仿宋" w:eastAsia="仿宋" w:cs="仿宋"/>
          <w:color w:val="auto"/>
          <w:sz w:val="32"/>
          <w:szCs w:val="32"/>
          <w:highlight w:val="none"/>
          <w:lang w:val="en-US" w:eastAsia="zh-CN"/>
        </w:rPr>
        <w:t>卫健</w:t>
      </w:r>
      <w:r>
        <w:rPr>
          <w:rFonts w:hint="eastAsia" w:ascii="仿宋" w:hAnsi="仿宋" w:eastAsia="仿宋" w:cs="仿宋"/>
          <w:color w:val="auto"/>
          <w:sz w:val="32"/>
          <w:szCs w:val="32"/>
          <w:highlight w:val="none"/>
        </w:rPr>
        <w:t>系统项目资金</w:t>
      </w:r>
      <w:r>
        <w:rPr>
          <w:rFonts w:hint="eastAsia" w:ascii="仿宋" w:hAnsi="仿宋" w:eastAsia="仿宋" w:cs="仿宋"/>
          <w:color w:val="auto"/>
          <w:sz w:val="32"/>
          <w:szCs w:val="32"/>
          <w:highlight w:val="none"/>
          <w:lang w:val="en-US" w:eastAsia="zh-CN"/>
        </w:rPr>
        <w:t>2893.94</w:t>
      </w:r>
      <w:r>
        <w:rPr>
          <w:rFonts w:hint="eastAsia" w:ascii="仿宋" w:hAnsi="仿宋" w:eastAsia="仿宋" w:cs="仿宋"/>
          <w:color w:val="auto"/>
          <w:sz w:val="32"/>
          <w:szCs w:val="32"/>
          <w:highlight w:val="none"/>
        </w:rPr>
        <w:t>万元，资金拨付率</w:t>
      </w:r>
      <w:r>
        <w:rPr>
          <w:rFonts w:hint="eastAsia" w:ascii="仿宋" w:hAnsi="仿宋" w:eastAsia="仿宋" w:cs="仿宋"/>
          <w:color w:val="auto"/>
          <w:sz w:val="32"/>
          <w:szCs w:val="32"/>
          <w:highlight w:val="none"/>
          <w:lang w:val="en-US" w:eastAsia="zh-CN"/>
        </w:rPr>
        <w:t>100</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资金分配采用上一年度自评结果与资金挂钩方式分配。2023年巨鹿县突出资金规范管理，突出项目执行质量，同时绩效评价结果将作为2024年度转移支付项目安排、奖励或扣减补助经费的重要依据。按照2023年度上半年评价结果占40%，下半年评价结果占60%汇总分数，对基层医疗卫生机构进行排名。</w:t>
      </w:r>
      <w:r>
        <w:rPr>
          <w:rFonts w:hint="eastAsia" w:ascii="仿宋" w:hAnsi="仿宋" w:eastAsia="仿宋" w:cs="仿宋"/>
          <w:spacing w:val="0"/>
          <w:w w:val="100"/>
          <w:kern w:val="2"/>
          <w:position w:val="0"/>
          <w:sz w:val="32"/>
          <w:szCs w:val="32"/>
          <w:highlight w:val="none"/>
          <w:lang w:val="en-US" w:eastAsia="zh-CN"/>
        </w:rPr>
        <w:t>县卫健局、县财政局根据本县情况，使用因素法，综合考虑补助对象数量分布、补助对象类型，在统筹使用项目资金的基础上，合理资金分配，资金分配依据充分合理，分配额度符合各乡镇基层卫生院实际情况。</w:t>
      </w:r>
    </w:p>
    <w:p>
      <w:pPr>
        <w:keepNext w:val="0"/>
        <w:keepLines w:val="0"/>
        <w:pageBreakBefore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（二）过程分析</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leftChars="0" w:right="0" w:firstLine="640" w:firstLineChars="200"/>
        <w:textAlignment w:val="baseline"/>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项目预算资金足额、及时到位，预算执行率较高，但是项目管理制度仍不够健全，财务管理制度欠完备，对资金发放后的资金使用管理不够到位。该指标分值20分，得分17.00分，得分率85.00%。详见表5。</w:t>
      </w:r>
    </w:p>
    <w:p>
      <w:pPr>
        <w:keepNext w:val="0"/>
        <w:keepLines w:val="0"/>
        <w:pageBreakBefore w:val="0"/>
        <w:widowControl/>
        <w:kinsoku/>
        <w:wordWrap/>
        <w:overflowPunct/>
        <w:topLinePunct w:val="0"/>
        <w:autoSpaceDE w:val="0"/>
        <w:autoSpaceDN w:val="0"/>
        <w:bidi w:val="0"/>
        <w:adjustRightInd w:val="0"/>
        <w:snapToGrid w:val="0"/>
        <w:spacing w:line="600" w:lineRule="exact"/>
        <w:ind w:right="0" w:firstLine="1920" w:firstLineChars="600"/>
        <w:jc w:val="both"/>
        <w:textAlignment w:val="baseline"/>
        <w:rPr>
          <w:rFonts w:hint="eastAsia" w:ascii="仿宋" w:hAnsi="仿宋" w:eastAsia="仿宋" w:cs="仿宋"/>
          <w:spacing w:val="0"/>
          <w:w w:val="100"/>
          <w:kern w:val="2"/>
          <w:position w:val="0"/>
          <w:sz w:val="32"/>
          <w:szCs w:val="32"/>
          <w:highlight w:val="none"/>
          <w:lang w:eastAsia="zh-CN"/>
        </w:rPr>
      </w:pPr>
      <w:r>
        <w:rPr>
          <w:rFonts w:hint="eastAsia" w:ascii="仿宋" w:hAnsi="仿宋" w:eastAsia="仿宋" w:cs="仿宋"/>
          <w:spacing w:val="0"/>
          <w:w w:val="100"/>
          <w:kern w:val="2"/>
          <w:position w:val="0"/>
          <w:sz w:val="32"/>
          <w:szCs w:val="32"/>
          <w:highlight w:val="none"/>
          <w:lang w:val="en-US" w:eastAsia="zh-CN"/>
        </w:rPr>
        <w:t>表5：</w:t>
      </w:r>
      <w:r>
        <w:rPr>
          <w:rFonts w:hint="eastAsia" w:ascii="仿宋" w:hAnsi="仿宋" w:eastAsia="仿宋" w:cs="仿宋"/>
          <w:spacing w:val="0"/>
          <w:w w:val="100"/>
          <w:kern w:val="2"/>
          <w:position w:val="0"/>
          <w:sz w:val="32"/>
          <w:szCs w:val="32"/>
          <w:highlight w:val="none"/>
        </w:rPr>
        <w:t>过程指标设定及评分情况表</w:t>
      </w:r>
    </w:p>
    <w:tbl>
      <w:tblPr>
        <w:tblStyle w:val="14"/>
        <w:tblW w:w="7777"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3"/>
        <w:gridCol w:w="1535"/>
        <w:gridCol w:w="2900"/>
        <w:gridCol w:w="873"/>
        <w:gridCol w:w="11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5" w:hRule="atLeast"/>
          <w:jc w:val="center"/>
        </w:trPr>
        <w:tc>
          <w:tcPr>
            <w:tcW w:w="127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一级指标</w:t>
            </w:r>
          </w:p>
        </w:tc>
        <w:tc>
          <w:tcPr>
            <w:tcW w:w="1535"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二级指标</w:t>
            </w:r>
          </w:p>
        </w:tc>
        <w:tc>
          <w:tcPr>
            <w:tcW w:w="2900"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三级指标</w:t>
            </w:r>
          </w:p>
        </w:tc>
        <w:tc>
          <w:tcPr>
            <w:tcW w:w="87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分值</w:t>
            </w:r>
          </w:p>
        </w:tc>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14:textOutline w14:w="3614" w14:cap="flat" w14:cmpd="sng">
                  <w14:solidFill>
                    <w14:srgbClr w14:val="000000"/>
                  </w14:solidFill>
                  <w14:prstDash w14:val="solid"/>
                  <w14:miter w14:val="0"/>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36" w:hRule="atLeast"/>
          <w:jc w:val="center"/>
        </w:trPr>
        <w:tc>
          <w:tcPr>
            <w:tcW w:w="1273"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过程</w:t>
            </w:r>
          </w:p>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lang w:eastAsia="zh-CN"/>
              </w:rPr>
            </w:pPr>
            <w:r>
              <w:rPr>
                <w:rFonts w:hint="eastAsia" w:ascii="仿宋" w:hAnsi="仿宋" w:eastAsia="仿宋" w:cs="仿宋"/>
                <w:spacing w:val="0"/>
                <w:w w:val="100"/>
                <w:kern w:val="2"/>
                <w:position w:val="0"/>
                <w:sz w:val="28"/>
                <w:szCs w:val="28"/>
                <w:highlight w:val="none"/>
                <w:lang w:eastAsia="zh-CN"/>
              </w:rPr>
              <w:t>（</w:t>
            </w:r>
            <w:r>
              <w:rPr>
                <w:rFonts w:hint="eastAsia" w:ascii="仿宋" w:hAnsi="仿宋" w:eastAsia="仿宋" w:cs="仿宋"/>
                <w:spacing w:val="0"/>
                <w:w w:val="100"/>
                <w:kern w:val="2"/>
                <w:position w:val="0"/>
                <w:sz w:val="28"/>
                <w:szCs w:val="28"/>
                <w:highlight w:val="none"/>
                <w:lang w:val="en-US" w:eastAsia="zh-CN"/>
              </w:rPr>
              <w:t>20分</w:t>
            </w:r>
            <w:r>
              <w:rPr>
                <w:rFonts w:hint="eastAsia" w:ascii="仿宋" w:hAnsi="仿宋" w:eastAsia="仿宋" w:cs="仿宋"/>
                <w:spacing w:val="0"/>
                <w:w w:val="100"/>
                <w:kern w:val="2"/>
                <w:position w:val="0"/>
                <w:sz w:val="28"/>
                <w:szCs w:val="28"/>
                <w:highlight w:val="none"/>
                <w:lang w:eastAsia="zh-CN"/>
              </w:rPr>
              <w:t>）</w:t>
            </w:r>
          </w:p>
        </w:tc>
        <w:tc>
          <w:tcPr>
            <w:tcW w:w="1535"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资金管理</w:t>
            </w:r>
          </w:p>
        </w:tc>
        <w:tc>
          <w:tcPr>
            <w:tcW w:w="2900"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资金到位率</w:t>
            </w:r>
          </w:p>
        </w:tc>
        <w:tc>
          <w:tcPr>
            <w:tcW w:w="87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2</w:t>
            </w:r>
          </w:p>
        </w:tc>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2" w:hRule="atLeast"/>
          <w:jc w:val="center"/>
        </w:trPr>
        <w:tc>
          <w:tcPr>
            <w:tcW w:w="1273"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153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2900"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预算执行率</w:t>
            </w:r>
          </w:p>
        </w:tc>
        <w:tc>
          <w:tcPr>
            <w:tcW w:w="87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4</w:t>
            </w:r>
          </w:p>
        </w:tc>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62" w:hRule="atLeast"/>
          <w:jc w:val="center"/>
        </w:trPr>
        <w:tc>
          <w:tcPr>
            <w:tcW w:w="1273"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1535" w:type="dxa"/>
            <w:vMerge w:val="continue"/>
            <w:tcBorders>
              <w:bottom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2900"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资金使用合法合规性</w:t>
            </w:r>
          </w:p>
        </w:tc>
        <w:tc>
          <w:tcPr>
            <w:tcW w:w="87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4</w:t>
            </w:r>
          </w:p>
        </w:tc>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lang w:val="en-US" w:eastAsia="zh-CN"/>
              </w:rPr>
            </w:pPr>
            <w:r>
              <w:rPr>
                <w:rFonts w:hint="eastAsia" w:ascii="仿宋" w:hAnsi="仿宋" w:eastAsia="仿宋" w:cs="仿宋"/>
                <w:spacing w:val="0"/>
                <w:w w:val="100"/>
                <w:kern w:val="2"/>
                <w:position w:val="0"/>
                <w:sz w:val="28"/>
                <w:szCs w:val="28"/>
                <w:highlight w:val="none"/>
                <w:lang w:val="en-US" w:eastAsia="zh-CN"/>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5" w:hRule="atLeast"/>
          <w:jc w:val="center"/>
        </w:trPr>
        <w:tc>
          <w:tcPr>
            <w:tcW w:w="1273"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153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组织实施</w:t>
            </w:r>
          </w:p>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2900" w:type="dxa"/>
            <w:tcBorders>
              <w:lef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管理制度健全性</w:t>
            </w:r>
          </w:p>
        </w:tc>
        <w:tc>
          <w:tcPr>
            <w:tcW w:w="87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5</w:t>
            </w:r>
          </w:p>
        </w:tc>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lang w:val="en-US"/>
              </w:rPr>
            </w:pPr>
            <w:r>
              <w:rPr>
                <w:rFonts w:hint="eastAsia" w:ascii="仿宋" w:hAnsi="仿宋" w:eastAsia="仿宋" w:cs="仿宋"/>
                <w:spacing w:val="0"/>
                <w:w w:val="100"/>
                <w:kern w:val="2"/>
                <w:position w:val="0"/>
                <w:sz w:val="28"/>
                <w:szCs w:val="28"/>
                <w:highlight w:val="none"/>
                <w:lang w:val="en-US" w:eastAsia="zh-C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64" w:hRule="atLeast"/>
          <w:jc w:val="center"/>
        </w:trPr>
        <w:tc>
          <w:tcPr>
            <w:tcW w:w="1273"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153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560" w:firstLineChars="200"/>
              <w:jc w:val="center"/>
              <w:textAlignment w:val="baseline"/>
              <w:rPr>
                <w:rFonts w:hint="eastAsia" w:ascii="仿宋" w:hAnsi="仿宋" w:eastAsia="仿宋" w:cs="仿宋"/>
                <w:spacing w:val="0"/>
                <w:w w:val="100"/>
                <w:kern w:val="2"/>
                <w:position w:val="0"/>
                <w:sz w:val="28"/>
                <w:szCs w:val="28"/>
                <w:highlight w:val="none"/>
              </w:rPr>
            </w:pPr>
          </w:p>
        </w:tc>
        <w:tc>
          <w:tcPr>
            <w:tcW w:w="2900" w:type="dxa"/>
            <w:tcBorders>
              <w:left w:val="sing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制度执行有效性</w:t>
            </w:r>
          </w:p>
        </w:tc>
        <w:tc>
          <w:tcPr>
            <w:tcW w:w="873"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rPr>
            </w:pPr>
            <w:r>
              <w:rPr>
                <w:rFonts w:hint="eastAsia" w:ascii="仿宋" w:hAnsi="仿宋" w:eastAsia="仿宋" w:cs="仿宋"/>
                <w:spacing w:val="0"/>
                <w:w w:val="100"/>
                <w:kern w:val="2"/>
                <w:position w:val="0"/>
                <w:sz w:val="28"/>
                <w:szCs w:val="28"/>
                <w:highlight w:val="none"/>
              </w:rPr>
              <w:t>5</w:t>
            </w:r>
          </w:p>
        </w:tc>
        <w:tc>
          <w:tcPr>
            <w:tcW w:w="1196" w:type="dxa"/>
            <w:vAlign w:val="center"/>
          </w:tcPr>
          <w:p>
            <w:pPr>
              <w:keepNext w:val="0"/>
              <w:keepLines w:val="0"/>
              <w:pageBreakBefore w:val="0"/>
              <w:widowControl/>
              <w:kinsoku/>
              <w:wordWrap/>
              <w:overflowPunct/>
              <w:topLinePunct w:val="0"/>
              <w:autoSpaceDE w:val="0"/>
              <w:autoSpaceDN w:val="0"/>
              <w:bidi w:val="0"/>
              <w:adjustRightInd w:val="0"/>
              <w:snapToGrid w:val="0"/>
              <w:spacing w:line="600" w:lineRule="exact"/>
              <w:ind w:right="0"/>
              <w:jc w:val="center"/>
              <w:textAlignment w:val="baseline"/>
              <w:rPr>
                <w:rFonts w:hint="eastAsia" w:ascii="仿宋" w:hAnsi="仿宋" w:eastAsia="仿宋" w:cs="仿宋"/>
                <w:snapToGrid w:val="0"/>
                <w:color w:val="000000"/>
                <w:spacing w:val="0"/>
                <w:w w:val="100"/>
                <w:kern w:val="2"/>
                <w:position w:val="0"/>
                <w:sz w:val="28"/>
                <w:szCs w:val="28"/>
                <w:highlight w:val="none"/>
                <w:lang w:val="en-US"/>
              </w:rPr>
            </w:pPr>
            <w:r>
              <w:rPr>
                <w:rFonts w:hint="eastAsia" w:ascii="仿宋" w:hAnsi="仿宋" w:eastAsia="仿宋" w:cs="仿宋"/>
                <w:spacing w:val="0"/>
                <w:w w:val="100"/>
                <w:kern w:val="2"/>
                <w:position w:val="0"/>
                <w:sz w:val="28"/>
                <w:szCs w:val="28"/>
                <w:highlight w:val="none"/>
                <w:lang w:val="en-US" w:eastAsia="zh-CN"/>
              </w:rPr>
              <w:t>4.00</w:t>
            </w:r>
          </w:p>
        </w:tc>
      </w:tr>
    </w:tbl>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1、资金管理</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(1)资金到位率、预算执行率</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项目各级财政资金均足额、及时到位。基本公共卫生服务项目资金2893.94万元，截至2024年12月31日，支出总金额2893.94万，预算执行率100%。</w:t>
      </w:r>
    </w:p>
    <w:p>
      <w:pPr>
        <w:pStyle w:val="3"/>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color w:val="auto"/>
          <w:kern w:val="2"/>
          <w:sz w:val="32"/>
          <w:szCs w:val="32"/>
          <w:highlight w:val="none"/>
          <w:lang w:val="en-US" w:eastAsia="zh-CN" w:bidi="ar-SA"/>
        </w:rPr>
        <w:t>妇女“两癌”筛查项目资金126.99万元，</w:t>
      </w:r>
      <w:r>
        <w:rPr>
          <w:rFonts w:hint="eastAsia" w:ascii="仿宋" w:hAnsi="仿宋" w:eastAsia="仿宋" w:cs="仿宋"/>
          <w:spacing w:val="0"/>
          <w:w w:val="100"/>
          <w:kern w:val="2"/>
          <w:position w:val="0"/>
          <w:sz w:val="32"/>
          <w:szCs w:val="32"/>
          <w:highlight w:val="none"/>
          <w:lang w:val="en-US" w:eastAsia="zh-CN"/>
        </w:rPr>
        <w:t>资金已支付126.99万元，资金执行率100%。</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1"/>
          <w:sz w:val="32"/>
          <w:szCs w:val="32"/>
          <w:lang w:val="en-US" w:eastAsia="zh-CN"/>
        </w:rPr>
      </w:pPr>
      <w:r>
        <w:rPr>
          <w:rFonts w:hint="eastAsia" w:ascii="仿宋" w:hAnsi="仿宋" w:eastAsia="仿宋" w:cs="仿宋"/>
          <w:spacing w:val="0"/>
          <w:w w:val="100"/>
          <w:kern w:val="2"/>
          <w:position w:val="0"/>
          <w:sz w:val="32"/>
          <w:szCs w:val="32"/>
          <w:highlight w:val="none"/>
          <w:lang w:val="en-US" w:eastAsia="zh-CN"/>
        </w:rPr>
        <w:t>(2)资金使用合规性</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项目资金使用合规。项目资金拨付审批程序及手续相关资料齐全，各资金执行单位对项目资金均进行了独立核算，资金支出不存在截留、虚列支出等情况。</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2、组织实施</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（1）管理制度健全性</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管理制度不够健全完善。项目依据项目各相关政策文件实施，各项政策文件对项目执行主体单位职责、执行标准、认定条件等内容进行了明确，对项目资料审核、资金管理使用、监督检查等工作环节具有一定约束作用。但是，县卫健局未根据本县实际情况制定适用于该项目的财务管理动态监督管理制度，对于各基层卫生院对该项目资金的使用情况缺少监督管理。</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（2）制度执行有效性</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各项制度执行较有效。县卫健局作为项目执行主要责任单位，严格落实各项政策要求，认真组织开展该项目资金申报、资料审核、资金发放、信息公开公示和资料存档等工作。但是，需加强资金发放后资金使用的监督管理、信息更新工作。</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（三）产出分析</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项目年度主要产出按照预期目标完成，项目实施过程中采取了一定成本节约措施，但部分工作内容未能及时完成，完成时效有待进一步提高。该指标分值40分，得分38.10分，得分率95.25%。评分见表6。</w:t>
      </w:r>
    </w:p>
    <w:p>
      <w:pPr>
        <w:keepNext w:val="0"/>
        <w:keepLines w:val="0"/>
        <w:pageBreakBefore w:val="0"/>
        <w:kinsoku/>
        <w:wordWrap/>
        <w:overflowPunct/>
        <w:topLinePunct w:val="0"/>
        <w:bidi w:val="0"/>
        <w:adjustRightInd w:val="0"/>
        <w:snapToGrid w:val="0"/>
        <w:spacing w:line="600" w:lineRule="exact"/>
        <w:jc w:val="center"/>
        <w:rPr>
          <w:rFonts w:hint="eastAsia" w:ascii="仿宋" w:hAnsi="仿宋" w:eastAsia="仿宋" w:cs="仿宋"/>
          <w:iCs/>
          <w:sz w:val="32"/>
          <w:szCs w:val="32"/>
        </w:rPr>
      </w:pPr>
      <w:r>
        <w:rPr>
          <w:rFonts w:hint="eastAsia" w:ascii="仿宋" w:hAnsi="仿宋" w:eastAsia="仿宋" w:cs="仿宋"/>
          <w:iCs/>
          <w:sz w:val="32"/>
          <w:szCs w:val="32"/>
        </w:rPr>
        <w:t>表</w:t>
      </w:r>
      <w:r>
        <w:rPr>
          <w:rFonts w:hint="eastAsia" w:ascii="仿宋" w:hAnsi="仿宋" w:eastAsia="仿宋" w:cs="仿宋"/>
          <w:iCs/>
          <w:sz w:val="32"/>
          <w:szCs w:val="32"/>
          <w:lang w:val="en-US" w:eastAsia="zh-CN"/>
        </w:rPr>
        <w:t>6</w:t>
      </w:r>
      <w:r>
        <w:rPr>
          <w:rFonts w:hint="eastAsia" w:ascii="仿宋" w:hAnsi="仿宋" w:eastAsia="仿宋" w:cs="仿宋"/>
          <w:iCs/>
          <w:sz w:val="32"/>
          <w:szCs w:val="32"/>
        </w:rPr>
        <w:t>：产出指标设定及评分情况表</w:t>
      </w:r>
    </w:p>
    <w:tbl>
      <w:tblPr>
        <w:tblStyle w:val="10"/>
        <w:tblW w:w="89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846"/>
        <w:gridCol w:w="3165"/>
        <w:gridCol w:w="1206"/>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blHeader/>
          <w:jc w:val="center"/>
        </w:trPr>
        <w:tc>
          <w:tcPr>
            <w:tcW w:w="1399" w:type="dxa"/>
            <w:noWrap w:val="0"/>
            <w:vAlign w:val="center"/>
          </w:tcPr>
          <w:p>
            <w:pPr>
              <w:keepNext w:val="0"/>
              <w:keepLines w:val="0"/>
              <w:pageBreakBefore w:val="0"/>
              <w:widowControl/>
              <w:kinsoku/>
              <w:wordWrap/>
              <w:overflowPunct/>
              <w:topLinePunct w:val="0"/>
              <w:bidi w:val="0"/>
              <w:adjustRightInd w:val="0"/>
              <w:snapToGrid w:val="0"/>
              <w:spacing w:line="600" w:lineRule="exact"/>
              <w:jc w:val="both"/>
              <w:rPr>
                <w:rFonts w:hint="eastAsia" w:ascii="仿宋" w:hAnsi="仿宋" w:eastAsia="仿宋" w:cs="仿宋"/>
                <w:b/>
                <w:bCs/>
                <w:iCs/>
                <w:kern w:val="0"/>
                <w:sz w:val="28"/>
                <w:szCs w:val="28"/>
              </w:rPr>
            </w:pPr>
            <w:r>
              <w:rPr>
                <w:rFonts w:hint="eastAsia" w:ascii="仿宋" w:hAnsi="仿宋" w:eastAsia="仿宋" w:cs="仿宋"/>
                <w:b/>
                <w:bCs/>
                <w:iCs/>
                <w:kern w:val="0"/>
                <w:sz w:val="28"/>
                <w:szCs w:val="28"/>
              </w:rPr>
              <w:t>一级指标</w:t>
            </w:r>
          </w:p>
        </w:tc>
        <w:tc>
          <w:tcPr>
            <w:tcW w:w="184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b/>
                <w:bCs/>
                <w:iCs/>
                <w:kern w:val="0"/>
                <w:sz w:val="28"/>
                <w:szCs w:val="28"/>
              </w:rPr>
            </w:pPr>
            <w:r>
              <w:rPr>
                <w:rFonts w:hint="eastAsia" w:ascii="仿宋" w:hAnsi="仿宋" w:eastAsia="仿宋" w:cs="仿宋"/>
                <w:b/>
                <w:bCs/>
                <w:iCs/>
                <w:kern w:val="0"/>
                <w:sz w:val="28"/>
                <w:szCs w:val="28"/>
              </w:rPr>
              <w:t>二级指标</w:t>
            </w:r>
          </w:p>
        </w:tc>
        <w:tc>
          <w:tcPr>
            <w:tcW w:w="3165"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b/>
                <w:bCs/>
                <w:iCs/>
                <w:kern w:val="0"/>
                <w:sz w:val="28"/>
                <w:szCs w:val="28"/>
              </w:rPr>
            </w:pPr>
            <w:r>
              <w:rPr>
                <w:rFonts w:hint="eastAsia" w:ascii="仿宋" w:hAnsi="仿宋" w:eastAsia="仿宋" w:cs="仿宋"/>
                <w:b/>
                <w:bCs/>
                <w:iCs/>
                <w:kern w:val="0"/>
                <w:sz w:val="28"/>
                <w:szCs w:val="28"/>
              </w:rPr>
              <w:t>三级指标</w:t>
            </w:r>
          </w:p>
        </w:tc>
        <w:tc>
          <w:tcPr>
            <w:tcW w:w="120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b/>
                <w:bCs/>
                <w:iCs/>
                <w:kern w:val="0"/>
                <w:sz w:val="28"/>
                <w:szCs w:val="28"/>
              </w:rPr>
            </w:pPr>
            <w:r>
              <w:rPr>
                <w:rFonts w:hint="eastAsia" w:ascii="仿宋" w:hAnsi="仿宋" w:eastAsia="仿宋" w:cs="仿宋"/>
                <w:b/>
                <w:bCs/>
                <w:iCs/>
                <w:kern w:val="0"/>
                <w:sz w:val="28"/>
                <w:szCs w:val="28"/>
              </w:rPr>
              <w:t>分值</w:t>
            </w:r>
          </w:p>
        </w:tc>
        <w:tc>
          <w:tcPr>
            <w:tcW w:w="1382"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b/>
                <w:bCs/>
                <w:iCs/>
                <w:kern w:val="0"/>
                <w:sz w:val="28"/>
                <w:szCs w:val="28"/>
              </w:rPr>
            </w:pPr>
            <w:r>
              <w:rPr>
                <w:rFonts w:hint="eastAsia" w:ascii="仿宋" w:hAnsi="仿宋" w:eastAsia="仿宋" w:cs="仿宋"/>
                <w:b/>
                <w:bCs/>
                <w:iCs/>
                <w:kern w:val="0"/>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1399" w:type="dxa"/>
            <w:vMerge w:val="restart"/>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产出</w:t>
            </w:r>
          </w:p>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w:t>
            </w:r>
            <w:r>
              <w:rPr>
                <w:rFonts w:hint="eastAsia" w:ascii="仿宋" w:hAnsi="仿宋" w:eastAsia="仿宋" w:cs="仿宋"/>
                <w:iCs/>
                <w:kern w:val="0"/>
                <w:sz w:val="28"/>
                <w:szCs w:val="28"/>
                <w:lang w:val="en-US" w:eastAsia="zh-CN"/>
              </w:rPr>
              <w:t>4</w:t>
            </w:r>
            <w:r>
              <w:rPr>
                <w:rFonts w:hint="eastAsia" w:ascii="仿宋" w:hAnsi="仿宋" w:eastAsia="仿宋" w:cs="仿宋"/>
                <w:iCs/>
                <w:kern w:val="0"/>
                <w:sz w:val="28"/>
                <w:szCs w:val="28"/>
              </w:rPr>
              <w:t>0分）</w:t>
            </w:r>
          </w:p>
        </w:tc>
        <w:tc>
          <w:tcPr>
            <w:tcW w:w="184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产出数量</w:t>
            </w:r>
          </w:p>
        </w:tc>
        <w:tc>
          <w:tcPr>
            <w:tcW w:w="3165" w:type="dxa"/>
            <w:shd w:val="clear" w:color="auto" w:fill="auto"/>
            <w:noWrap w:val="0"/>
            <w:vAlign w:val="top"/>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lang w:val="en-US" w:eastAsia="zh-CN"/>
              </w:rPr>
            </w:pPr>
            <w:r>
              <w:rPr>
                <w:rFonts w:hint="eastAsia" w:ascii="仿宋" w:hAnsi="仿宋" w:eastAsia="仿宋" w:cs="仿宋"/>
                <w:iCs/>
                <w:kern w:val="0"/>
                <w:sz w:val="28"/>
                <w:szCs w:val="28"/>
              </w:rPr>
              <w:t>应补尽补完成率</w:t>
            </w:r>
          </w:p>
        </w:tc>
        <w:tc>
          <w:tcPr>
            <w:tcW w:w="120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sz w:val="28"/>
                <w:szCs w:val="28"/>
              </w:rPr>
              <w:t>10</w:t>
            </w:r>
          </w:p>
        </w:tc>
        <w:tc>
          <w:tcPr>
            <w:tcW w:w="1382"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lang w:val="en-US" w:eastAsia="zh-CN"/>
              </w:rPr>
            </w:pPr>
            <w:r>
              <w:rPr>
                <w:rFonts w:hint="eastAsia" w:ascii="仿宋" w:hAnsi="仿宋" w:eastAsia="仿宋" w:cs="仿宋"/>
                <w:iCs/>
                <w:kern w:val="0"/>
                <w:sz w:val="28"/>
                <w:szCs w:val="28"/>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1399" w:type="dxa"/>
            <w:vMerge w:val="continue"/>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p>
        </w:tc>
        <w:tc>
          <w:tcPr>
            <w:tcW w:w="184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产出质量</w:t>
            </w:r>
          </w:p>
        </w:tc>
        <w:tc>
          <w:tcPr>
            <w:tcW w:w="3165" w:type="dxa"/>
            <w:noWrap w:val="0"/>
            <w:vAlign w:val="top"/>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补助对象资格准确情况</w:t>
            </w:r>
          </w:p>
        </w:tc>
        <w:tc>
          <w:tcPr>
            <w:tcW w:w="120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sz w:val="28"/>
                <w:szCs w:val="28"/>
              </w:rPr>
              <w:t>10</w:t>
            </w:r>
          </w:p>
        </w:tc>
        <w:tc>
          <w:tcPr>
            <w:tcW w:w="1382"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lang w:val="en-US" w:eastAsia="zh-CN"/>
              </w:rPr>
            </w:pPr>
            <w:r>
              <w:rPr>
                <w:rFonts w:hint="eastAsia" w:ascii="仿宋" w:hAnsi="仿宋" w:eastAsia="仿宋" w:cs="仿宋"/>
                <w:iCs/>
                <w:kern w:val="0"/>
                <w:sz w:val="28"/>
                <w:szCs w:val="28"/>
                <w:lang w:val="en-US"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1399" w:type="dxa"/>
            <w:vMerge w:val="continue"/>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p>
        </w:tc>
        <w:tc>
          <w:tcPr>
            <w:tcW w:w="184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产出时效</w:t>
            </w:r>
          </w:p>
        </w:tc>
        <w:tc>
          <w:tcPr>
            <w:tcW w:w="3165" w:type="dxa"/>
            <w:noWrap w:val="0"/>
            <w:vAlign w:val="top"/>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补助资金发放及时性</w:t>
            </w:r>
          </w:p>
        </w:tc>
        <w:tc>
          <w:tcPr>
            <w:tcW w:w="120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sz w:val="28"/>
                <w:szCs w:val="28"/>
              </w:rPr>
              <w:t>10</w:t>
            </w:r>
          </w:p>
        </w:tc>
        <w:tc>
          <w:tcPr>
            <w:tcW w:w="1382"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lang w:val="en-US" w:eastAsia="zh-CN"/>
              </w:rPr>
            </w:pPr>
            <w:r>
              <w:rPr>
                <w:rFonts w:hint="eastAsia" w:ascii="仿宋" w:hAnsi="仿宋" w:eastAsia="仿宋" w:cs="仿宋"/>
                <w:iCs/>
                <w:kern w:val="0"/>
                <w:sz w:val="28"/>
                <w:szCs w:val="28"/>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1399" w:type="dxa"/>
            <w:vMerge w:val="continue"/>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p>
        </w:tc>
        <w:tc>
          <w:tcPr>
            <w:tcW w:w="184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产出成本</w:t>
            </w:r>
          </w:p>
        </w:tc>
        <w:tc>
          <w:tcPr>
            <w:tcW w:w="3165" w:type="dxa"/>
            <w:noWrap w:val="0"/>
            <w:vAlign w:val="top"/>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补助标准准确率</w:t>
            </w:r>
          </w:p>
        </w:tc>
        <w:tc>
          <w:tcPr>
            <w:tcW w:w="1206"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sz w:val="28"/>
                <w:szCs w:val="28"/>
              </w:rPr>
              <w:t>10</w:t>
            </w:r>
          </w:p>
        </w:tc>
        <w:tc>
          <w:tcPr>
            <w:tcW w:w="1382" w:type="dxa"/>
            <w:noWrap w:val="0"/>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lang w:val="en-US" w:eastAsia="zh-CN"/>
              </w:rPr>
            </w:pPr>
            <w:r>
              <w:rPr>
                <w:rFonts w:hint="eastAsia" w:ascii="仿宋" w:hAnsi="仿宋" w:eastAsia="仿宋" w:cs="仿宋"/>
                <w:iCs/>
                <w:kern w:val="0"/>
                <w:sz w:val="28"/>
                <w:szCs w:val="28"/>
                <w:lang w:val="en-US" w:eastAsia="zh-CN"/>
              </w:rPr>
              <w:t>10.00</w:t>
            </w:r>
          </w:p>
        </w:tc>
      </w:tr>
    </w:tbl>
    <w:p>
      <w:pPr>
        <w:keepNext w:val="0"/>
        <w:keepLines w:val="0"/>
        <w:pageBreakBefore w:val="0"/>
        <w:kinsoku/>
        <w:wordWrap/>
        <w:overflowPunct/>
        <w:topLinePunct w:val="0"/>
        <w:autoSpaceDE/>
        <w:autoSpaceDN/>
        <w:bidi w:val="0"/>
        <w:adjustRightInd/>
        <w:snapToGrid/>
        <w:spacing w:line="520" w:lineRule="exact"/>
        <w:ind w:right="105" w:rightChars="50" w:firstLine="600" w:firstLineChars="200"/>
        <w:textAlignment w:val="auto"/>
        <w:rPr>
          <w:rFonts w:hint="eastAsia" w:ascii="仿宋" w:hAnsi="仿宋" w:eastAsia="仿宋" w:cs="仿宋"/>
          <w:sz w:val="30"/>
          <w:szCs w:val="30"/>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产出数量</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1"/>
          <w:sz w:val="32"/>
          <w:szCs w:val="32"/>
          <w:lang w:val="en-US" w:eastAsia="zh-CN"/>
        </w:rPr>
      </w:pPr>
      <w:r>
        <w:rPr>
          <w:rFonts w:hint="eastAsia" w:ascii="仿宋" w:hAnsi="仿宋" w:eastAsia="仿宋" w:cs="仿宋"/>
          <w:spacing w:val="0"/>
          <w:w w:val="100"/>
          <w:kern w:val="2"/>
          <w:position w:val="0"/>
          <w:sz w:val="32"/>
          <w:szCs w:val="32"/>
          <w:highlight w:val="none"/>
          <w:lang w:val="en-US" w:eastAsia="zh-CN"/>
        </w:rPr>
        <w:t>项目资金发放完成率良好，各项资金均足额发放到位，项目产出完成率100%。</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2、产出质量</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color w:val="0C0C0C"/>
          <w:sz w:val="32"/>
          <w:szCs w:val="32"/>
          <w:lang w:val="en-US" w:eastAsia="zh-CN"/>
        </w:rPr>
        <w:t>基本公卫资金使用</w:t>
      </w:r>
      <w:r>
        <w:rPr>
          <w:rFonts w:hint="eastAsia" w:ascii="仿宋" w:hAnsi="仿宋" w:eastAsia="仿宋" w:cs="仿宋"/>
          <w:color w:val="0C0C0C"/>
          <w:sz w:val="32"/>
          <w:szCs w:val="32"/>
        </w:rPr>
        <w:t>以乡镇</w:t>
      </w:r>
      <w:r>
        <w:rPr>
          <w:rFonts w:hint="eastAsia" w:ascii="仿宋" w:hAnsi="仿宋" w:eastAsia="仿宋" w:cs="仿宋"/>
          <w:color w:val="0C0C0C"/>
          <w:sz w:val="32"/>
          <w:szCs w:val="32"/>
          <w:lang w:eastAsia="zh-CN"/>
        </w:rPr>
        <w:t>（</w:t>
      </w:r>
      <w:r>
        <w:rPr>
          <w:rFonts w:hint="eastAsia" w:ascii="仿宋" w:hAnsi="仿宋" w:eastAsia="仿宋" w:cs="仿宋"/>
          <w:color w:val="0C0C0C"/>
          <w:sz w:val="32"/>
          <w:szCs w:val="32"/>
          <w:lang w:val="en-US" w:eastAsia="zh-CN"/>
        </w:rPr>
        <w:t>含</w:t>
      </w:r>
      <w:r>
        <w:rPr>
          <w:rFonts w:hint="eastAsia" w:ascii="仿宋" w:hAnsi="仿宋" w:eastAsia="仿宋" w:cs="仿宋"/>
          <w:color w:val="0C0C0C"/>
          <w:sz w:val="32"/>
          <w:szCs w:val="32"/>
        </w:rPr>
        <w:t>县医院、县中医院、县妇幼院</w:t>
      </w:r>
      <w:r>
        <w:rPr>
          <w:rFonts w:hint="eastAsia" w:ascii="仿宋" w:hAnsi="仿宋" w:eastAsia="仿宋" w:cs="仿宋"/>
          <w:color w:val="0C0C0C"/>
          <w:sz w:val="32"/>
          <w:szCs w:val="32"/>
          <w:lang w:val="en-US" w:eastAsia="zh-CN"/>
        </w:rPr>
        <w:t>城区公卫片区</w:t>
      </w:r>
      <w:r>
        <w:rPr>
          <w:rFonts w:hint="eastAsia" w:ascii="仿宋" w:hAnsi="仿宋" w:eastAsia="仿宋" w:cs="仿宋"/>
          <w:color w:val="0C0C0C"/>
          <w:sz w:val="32"/>
          <w:szCs w:val="32"/>
          <w:lang w:eastAsia="zh-CN"/>
        </w:rPr>
        <w:t>）</w:t>
      </w:r>
      <w:r>
        <w:rPr>
          <w:rFonts w:hint="eastAsia" w:ascii="仿宋" w:hAnsi="仿宋" w:eastAsia="仿宋" w:cs="仿宋"/>
          <w:color w:val="0C0C0C"/>
          <w:sz w:val="32"/>
          <w:szCs w:val="32"/>
        </w:rPr>
        <w:t>为单位，居民规范化</w:t>
      </w:r>
      <w:r>
        <w:rPr>
          <w:rFonts w:hint="eastAsia" w:ascii="仿宋" w:hAnsi="仿宋" w:eastAsia="仿宋" w:cs="仿宋"/>
          <w:color w:val="0C0C0C"/>
          <w:sz w:val="32"/>
          <w:szCs w:val="32"/>
          <w:highlight w:val="none"/>
        </w:rPr>
        <w:t>电子健康档案覆盖率达到6</w:t>
      </w:r>
      <w:r>
        <w:rPr>
          <w:rFonts w:hint="eastAsia" w:ascii="仿宋" w:hAnsi="仿宋" w:eastAsia="仿宋" w:cs="仿宋"/>
          <w:color w:val="0C0C0C"/>
          <w:sz w:val="32"/>
          <w:szCs w:val="32"/>
          <w:highlight w:val="none"/>
          <w:lang w:val="en-US" w:eastAsia="zh-CN"/>
        </w:rPr>
        <w:t>4</w:t>
      </w:r>
      <w:r>
        <w:rPr>
          <w:rFonts w:hint="eastAsia" w:ascii="仿宋" w:hAnsi="仿宋" w:eastAsia="仿宋" w:cs="仿宋"/>
          <w:color w:val="0C0C0C"/>
          <w:sz w:val="32"/>
          <w:szCs w:val="32"/>
          <w:highlight w:val="none"/>
        </w:rPr>
        <w:t>%以上，居民电子健康档案向居民开放率达到90</w:t>
      </w:r>
      <w:r>
        <w:rPr>
          <w:rFonts w:hint="eastAsia" w:ascii="仿宋" w:hAnsi="仿宋" w:eastAsia="仿宋" w:cs="仿宋"/>
          <w:color w:val="0C0C0C"/>
          <w:sz w:val="32"/>
          <w:szCs w:val="32"/>
          <w:highlight w:val="none"/>
          <w:lang w:val="en-US" w:eastAsia="zh-CN"/>
        </w:rPr>
        <w:t>%</w:t>
      </w:r>
      <w:r>
        <w:rPr>
          <w:rFonts w:hint="eastAsia" w:ascii="仿宋" w:hAnsi="仿宋" w:eastAsia="仿宋" w:cs="仿宋"/>
          <w:color w:val="0C0C0C"/>
          <w:sz w:val="32"/>
          <w:szCs w:val="32"/>
          <w:highlight w:val="none"/>
        </w:rPr>
        <w:t>以上，</w:t>
      </w:r>
      <w:r>
        <w:rPr>
          <w:rFonts w:hint="eastAsia" w:ascii="仿宋" w:hAnsi="仿宋" w:eastAsia="仿宋" w:cs="仿宋"/>
          <w:color w:val="0C0C0C"/>
          <w:sz w:val="32"/>
          <w:szCs w:val="32"/>
          <w:highlight w:val="none"/>
          <w:lang w:val="en-US" w:eastAsia="zh-CN"/>
        </w:rPr>
        <w:t>但</w:t>
      </w:r>
      <w:r>
        <w:rPr>
          <w:rFonts w:hint="eastAsia" w:ascii="仿宋" w:hAnsi="仿宋" w:eastAsia="仿宋" w:cs="仿宋"/>
          <w:color w:val="0C0C0C"/>
          <w:sz w:val="32"/>
          <w:szCs w:val="32"/>
          <w:highlight w:val="none"/>
        </w:rPr>
        <w:t>调阅率</w:t>
      </w:r>
      <w:r>
        <w:rPr>
          <w:rFonts w:hint="eastAsia" w:ascii="仿宋" w:hAnsi="仿宋" w:eastAsia="仿宋" w:cs="仿宋"/>
          <w:color w:val="0C0C0C"/>
          <w:sz w:val="32"/>
          <w:szCs w:val="32"/>
          <w:highlight w:val="none"/>
          <w:lang w:val="en-US" w:eastAsia="zh-CN"/>
        </w:rPr>
        <w:t>过低，扣1.90分。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3、产出时效</w:t>
      </w:r>
    </w:p>
    <w:p>
      <w:pPr>
        <w:keepNext w:val="0"/>
        <w:keepLines w:val="0"/>
        <w:pageBreakBefore w:val="0"/>
        <w:numPr>
          <w:ilvl w:val="0"/>
          <w:numId w:val="0"/>
        </w:numPr>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项目补助资金发放较及时。</w:t>
      </w:r>
    </w:p>
    <w:p>
      <w:pPr>
        <w:keepNext w:val="0"/>
        <w:keepLines w:val="0"/>
        <w:pageBreakBefore w:val="0"/>
        <w:widowControl/>
        <w:kinsoku/>
        <w:wordWrap/>
        <w:overflowPunct/>
        <w:topLinePunct w:val="0"/>
        <w:autoSpaceDE w:val="0"/>
        <w:autoSpaceDN w:val="0"/>
        <w:bidi w:val="0"/>
        <w:adjustRightInd w:val="0"/>
        <w:snapToGrid w:val="0"/>
        <w:spacing w:line="520" w:lineRule="exact"/>
        <w:ind w:right="0" w:firstLine="640" w:firstLineChars="200"/>
        <w:textAlignment w:val="baseline"/>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4、产出成本</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项目补助标准准确率良好。从现场资料核查情况看，各项补助资金均严格按照规定标准发放，不存在超标准、不足额发放情</w:t>
      </w:r>
      <w:bookmarkStart w:id="3" w:name="_bookmark13"/>
      <w:bookmarkEnd w:id="3"/>
      <w:r>
        <w:rPr>
          <w:rFonts w:hint="eastAsia" w:ascii="仿宋" w:hAnsi="仿宋" w:eastAsia="仿宋" w:cs="仿宋"/>
          <w:spacing w:val="0"/>
          <w:w w:val="100"/>
          <w:kern w:val="2"/>
          <w:position w:val="0"/>
          <w:sz w:val="32"/>
          <w:szCs w:val="32"/>
          <w:highlight w:val="none"/>
          <w:lang w:val="en-US" w:eastAsia="zh-CN"/>
        </w:rPr>
        <w:t>况。</w:t>
      </w:r>
    </w:p>
    <w:p>
      <w:pPr>
        <w:keepNext w:val="0"/>
        <w:keepLines w:val="0"/>
        <w:pageBreakBefore w:val="0"/>
        <w:widowControl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（四）效益分析</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1"/>
          <w:sz w:val="32"/>
          <w:szCs w:val="32"/>
          <w:lang w:val="en-US" w:eastAsia="zh-CN"/>
        </w:rPr>
      </w:pPr>
      <w:r>
        <w:rPr>
          <w:rFonts w:hint="eastAsia" w:ascii="仿宋" w:hAnsi="仿宋" w:eastAsia="仿宋" w:cs="仿宋"/>
          <w:spacing w:val="0"/>
          <w:w w:val="100"/>
          <w:kern w:val="2"/>
          <w:position w:val="0"/>
          <w:sz w:val="32"/>
          <w:szCs w:val="32"/>
          <w:highlight w:val="none"/>
          <w:lang w:val="en-US" w:eastAsia="zh-CN"/>
        </w:rPr>
        <w:t>项目实施</w:t>
      </w:r>
      <w:r>
        <w:rPr>
          <w:rFonts w:hint="eastAsia" w:ascii="仿宋" w:hAnsi="仿宋" w:eastAsia="仿宋" w:cs="仿宋"/>
          <w:color w:val="auto"/>
          <w:sz w:val="32"/>
          <w:szCs w:val="32"/>
          <w:highlight w:val="none"/>
          <w:lang w:val="en-US" w:eastAsia="zh-CN"/>
        </w:rPr>
        <w:t>，群众“看病难、看病贵”问题得到缓解，城区与农村、不同人群享有卫生服务水平的差距不断缩小。基本实现了居民享有安全、便捷和经济的基本医疗和公共卫生服务，保障了广大人民群众的生命安全。</w:t>
      </w:r>
      <w:r>
        <w:rPr>
          <w:rFonts w:hint="eastAsia" w:ascii="仿宋" w:hAnsi="仿宋" w:eastAsia="仿宋" w:cs="仿宋"/>
          <w:spacing w:val="0"/>
          <w:w w:val="100"/>
          <w:kern w:val="2"/>
          <w:position w:val="0"/>
          <w:sz w:val="32"/>
          <w:szCs w:val="32"/>
          <w:highlight w:val="none"/>
          <w:lang w:val="en-US" w:eastAsia="zh-CN"/>
        </w:rPr>
        <w:t>在维护社会稳定、促进社会和谐等方面取得了较显著效果，对于改善基层群众基本卫生健康水平具有较明显的促进作用，项目相关的政策知晓率一般，服务对象满意度较高。该指标分值30分，得分26.19分，得分率87.30%。评分见表7。</w:t>
      </w:r>
    </w:p>
    <w:p>
      <w:pPr>
        <w:keepNext w:val="0"/>
        <w:keepLines w:val="0"/>
        <w:pageBreakBefore w:val="0"/>
        <w:widowControl w:val="0"/>
        <w:kinsoku/>
        <w:wordWrap/>
        <w:overflowPunct/>
        <w:topLinePunct w:val="0"/>
        <w:autoSpaceDE w:val="0"/>
        <w:autoSpaceDN w:val="0"/>
        <w:bidi w:val="0"/>
        <w:adjustRightInd w:val="0"/>
        <w:snapToGrid w:val="0"/>
        <w:spacing w:before="91" w:line="600" w:lineRule="exact"/>
        <w:jc w:val="center"/>
        <w:textAlignment w:val="auto"/>
        <w:rPr>
          <w:rFonts w:hint="eastAsia" w:ascii="仿宋" w:hAnsi="仿宋" w:eastAsia="仿宋" w:cs="仿宋"/>
          <w:sz w:val="30"/>
          <w:szCs w:val="30"/>
        </w:rPr>
      </w:pPr>
      <w:r>
        <w:rPr>
          <w:rFonts w:hint="eastAsia" w:ascii="仿宋" w:hAnsi="仿宋" w:eastAsia="仿宋" w:cs="仿宋"/>
          <w:spacing w:val="-8"/>
          <w:sz w:val="32"/>
          <w:szCs w:val="32"/>
        </w:rPr>
        <w:t>表</w:t>
      </w:r>
      <w:r>
        <w:rPr>
          <w:rFonts w:hint="eastAsia" w:ascii="仿宋" w:hAnsi="仿宋" w:eastAsia="仿宋" w:cs="仿宋"/>
          <w:spacing w:val="-8"/>
          <w:sz w:val="32"/>
          <w:szCs w:val="32"/>
          <w:lang w:val="en-US" w:eastAsia="zh-CN"/>
        </w:rPr>
        <w:t>7</w:t>
      </w:r>
      <w:r>
        <w:rPr>
          <w:rFonts w:hint="eastAsia" w:ascii="仿宋" w:hAnsi="仿宋" w:eastAsia="仿宋" w:cs="仿宋"/>
          <w:spacing w:val="-4"/>
          <w:sz w:val="32"/>
          <w:szCs w:val="32"/>
        </w:rPr>
        <w:t>：效益指标设定及评分情况表</w:t>
      </w:r>
    </w:p>
    <w:tbl>
      <w:tblPr>
        <w:tblStyle w:val="14"/>
        <w:tblW w:w="9119"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3"/>
        <w:gridCol w:w="1645"/>
        <w:gridCol w:w="3726"/>
        <w:gridCol w:w="1052"/>
        <w:gridCol w:w="11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3" w:hRule="atLeast"/>
          <w:jc w:val="center"/>
        </w:trPr>
        <w:tc>
          <w:tcPr>
            <w:tcW w:w="1503" w:type="dxa"/>
            <w:tcBorders>
              <w:bottom w:val="single" w:color="auto" w:sz="4" w:space="0"/>
            </w:tcBorders>
            <w:vAlign w:val="top"/>
          </w:tcPr>
          <w:p>
            <w:pPr>
              <w:keepNext w:val="0"/>
              <w:keepLines w:val="0"/>
              <w:pageBreakBefore w:val="0"/>
              <w:widowControl/>
              <w:kinsoku/>
              <w:wordWrap/>
              <w:overflowPunct/>
              <w:topLinePunct w:val="0"/>
              <w:autoSpaceDE w:val="0"/>
              <w:autoSpaceDN w:val="0"/>
              <w:bidi w:val="0"/>
              <w:adjustRightInd w:val="0"/>
              <w:snapToGrid w:val="0"/>
              <w:spacing w:before="188" w:line="600" w:lineRule="exact"/>
              <w:jc w:val="center"/>
              <w:rPr>
                <w:rFonts w:hint="eastAsia" w:ascii="仿宋" w:hAnsi="仿宋" w:eastAsia="仿宋" w:cs="仿宋"/>
                <w:sz w:val="28"/>
                <w:szCs w:val="28"/>
              </w:rPr>
            </w:pPr>
            <w:r>
              <w:rPr>
                <w:rFonts w:hint="eastAsia" w:ascii="仿宋" w:hAnsi="仿宋" w:eastAsia="仿宋" w:cs="仿宋"/>
                <w:spacing w:val="9"/>
                <w:sz w:val="28"/>
                <w:szCs w:val="28"/>
                <w14:textOutline w14:w="3614" w14:cap="flat" w14:cmpd="sng">
                  <w14:solidFill>
                    <w14:srgbClr w14:val="000000"/>
                  </w14:solidFill>
                  <w14:prstDash w14:val="solid"/>
                  <w14:miter w14:val="0"/>
                </w14:textOutline>
              </w:rPr>
              <w:t>一</w:t>
            </w:r>
            <w:r>
              <w:rPr>
                <w:rFonts w:hint="eastAsia" w:ascii="仿宋" w:hAnsi="仿宋" w:eastAsia="仿宋" w:cs="仿宋"/>
                <w:spacing w:val="8"/>
                <w:sz w:val="28"/>
                <w:szCs w:val="28"/>
                <w14:textOutline w14:w="3614" w14:cap="flat" w14:cmpd="sng">
                  <w14:solidFill>
                    <w14:srgbClr w14:val="000000"/>
                  </w14:solidFill>
                  <w14:prstDash w14:val="solid"/>
                  <w14:miter w14:val="0"/>
                </w14:textOutline>
              </w:rPr>
              <w:t>级指标</w:t>
            </w:r>
          </w:p>
        </w:tc>
        <w:tc>
          <w:tcPr>
            <w:tcW w:w="1645" w:type="dxa"/>
            <w:tcBorders>
              <w:bottom w:val="single" w:color="auto" w:sz="4" w:space="0"/>
            </w:tcBorders>
            <w:vAlign w:val="top"/>
          </w:tcPr>
          <w:p>
            <w:pPr>
              <w:keepNext w:val="0"/>
              <w:keepLines w:val="0"/>
              <w:pageBreakBefore w:val="0"/>
              <w:widowControl/>
              <w:kinsoku/>
              <w:wordWrap/>
              <w:overflowPunct/>
              <w:topLinePunct w:val="0"/>
              <w:autoSpaceDE w:val="0"/>
              <w:autoSpaceDN w:val="0"/>
              <w:bidi w:val="0"/>
              <w:adjustRightInd w:val="0"/>
              <w:snapToGrid w:val="0"/>
              <w:spacing w:before="188" w:line="600" w:lineRule="exact"/>
              <w:jc w:val="center"/>
              <w:rPr>
                <w:rFonts w:hint="eastAsia" w:ascii="仿宋" w:hAnsi="仿宋" w:eastAsia="仿宋" w:cs="仿宋"/>
                <w:sz w:val="28"/>
                <w:szCs w:val="28"/>
              </w:rPr>
            </w:pPr>
            <w:r>
              <w:rPr>
                <w:rFonts w:hint="eastAsia" w:ascii="仿宋" w:hAnsi="仿宋" w:eastAsia="仿宋" w:cs="仿宋"/>
                <w:spacing w:val="9"/>
                <w:sz w:val="28"/>
                <w:szCs w:val="28"/>
                <w14:textOutline w14:w="3614" w14:cap="flat" w14:cmpd="sng">
                  <w14:solidFill>
                    <w14:srgbClr w14:val="000000"/>
                  </w14:solidFill>
                  <w14:prstDash w14:val="solid"/>
                  <w14:miter w14:val="0"/>
                </w14:textOutline>
              </w:rPr>
              <w:t>二</w:t>
            </w:r>
            <w:r>
              <w:rPr>
                <w:rFonts w:hint="eastAsia" w:ascii="仿宋" w:hAnsi="仿宋" w:eastAsia="仿宋" w:cs="仿宋"/>
                <w:spacing w:val="8"/>
                <w:sz w:val="28"/>
                <w:szCs w:val="28"/>
                <w14:textOutline w14:w="3614" w14:cap="flat" w14:cmpd="sng">
                  <w14:solidFill>
                    <w14:srgbClr w14:val="000000"/>
                  </w14:solidFill>
                  <w14:prstDash w14:val="solid"/>
                  <w14:miter w14:val="0"/>
                </w14:textOutline>
              </w:rPr>
              <w:t>级指标</w:t>
            </w:r>
          </w:p>
        </w:tc>
        <w:tc>
          <w:tcPr>
            <w:tcW w:w="3726" w:type="dxa"/>
            <w:vAlign w:val="top"/>
          </w:tcPr>
          <w:p>
            <w:pPr>
              <w:keepNext w:val="0"/>
              <w:keepLines w:val="0"/>
              <w:pageBreakBefore w:val="0"/>
              <w:widowControl/>
              <w:kinsoku/>
              <w:wordWrap/>
              <w:overflowPunct/>
              <w:topLinePunct w:val="0"/>
              <w:autoSpaceDE w:val="0"/>
              <w:autoSpaceDN w:val="0"/>
              <w:bidi w:val="0"/>
              <w:adjustRightInd w:val="0"/>
              <w:snapToGrid w:val="0"/>
              <w:spacing w:before="188" w:line="600" w:lineRule="exact"/>
              <w:jc w:val="center"/>
              <w:rPr>
                <w:rFonts w:hint="eastAsia" w:ascii="仿宋" w:hAnsi="仿宋" w:eastAsia="仿宋" w:cs="仿宋"/>
                <w:sz w:val="28"/>
                <w:szCs w:val="28"/>
              </w:rPr>
            </w:pPr>
            <w:r>
              <w:rPr>
                <w:rFonts w:hint="eastAsia" w:ascii="仿宋" w:hAnsi="仿宋" w:eastAsia="仿宋" w:cs="仿宋"/>
                <w:spacing w:val="9"/>
                <w:sz w:val="28"/>
                <w:szCs w:val="28"/>
                <w14:textOutline w14:w="3614" w14:cap="flat" w14:cmpd="sng">
                  <w14:solidFill>
                    <w14:srgbClr w14:val="000000"/>
                  </w14:solidFill>
                  <w14:prstDash w14:val="solid"/>
                  <w14:miter w14:val="0"/>
                </w14:textOutline>
              </w:rPr>
              <w:t>三级指标</w:t>
            </w:r>
          </w:p>
        </w:tc>
        <w:tc>
          <w:tcPr>
            <w:tcW w:w="1052" w:type="dxa"/>
            <w:vAlign w:val="top"/>
          </w:tcPr>
          <w:p>
            <w:pPr>
              <w:keepNext w:val="0"/>
              <w:keepLines w:val="0"/>
              <w:pageBreakBefore w:val="0"/>
              <w:widowControl/>
              <w:kinsoku/>
              <w:wordWrap/>
              <w:overflowPunct/>
              <w:topLinePunct w:val="0"/>
              <w:autoSpaceDE w:val="0"/>
              <w:autoSpaceDN w:val="0"/>
              <w:bidi w:val="0"/>
              <w:adjustRightInd w:val="0"/>
              <w:snapToGrid w:val="0"/>
              <w:spacing w:before="189" w:line="600" w:lineRule="exact"/>
              <w:jc w:val="center"/>
              <w:rPr>
                <w:rFonts w:hint="eastAsia" w:ascii="仿宋" w:hAnsi="仿宋" w:eastAsia="仿宋" w:cs="仿宋"/>
                <w:sz w:val="28"/>
                <w:szCs w:val="28"/>
              </w:rPr>
            </w:pPr>
            <w:r>
              <w:rPr>
                <w:rFonts w:hint="eastAsia" w:ascii="仿宋" w:hAnsi="仿宋" w:eastAsia="仿宋" w:cs="仿宋"/>
                <w:spacing w:val="5"/>
                <w:sz w:val="28"/>
                <w:szCs w:val="28"/>
                <w14:textOutline w14:w="3614" w14:cap="flat" w14:cmpd="sng">
                  <w14:solidFill>
                    <w14:srgbClr w14:val="000000"/>
                  </w14:solidFill>
                  <w14:prstDash w14:val="solid"/>
                  <w14:miter w14:val="0"/>
                </w14:textOutline>
              </w:rPr>
              <w:t>分值</w:t>
            </w:r>
          </w:p>
        </w:tc>
        <w:tc>
          <w:tcPr>
            <w:tcW w:w="1193" w:type="dxa"/>
            <w:vAlign w:val="top"/>
          </w:tcPr>
          <w:p>
            <w:pPr>
              <w:keepNext w:val="0"/>
              <w:keepLines w:val="0"/>
              <w:pageBreakBefore w:val="0"/>
              <w:widowControl/>
              <w:kinsoku/>
              <w:wordWrap/>
              <w:overflowPunct/>
              <w:topLinePunct w:val="0"/>
              <w:autoSpaceDE w:val="0"/>
              <w:autoSpaceDN w:val="0"/>
              <w:bidi w:val="0"/>
              <w:adjustRightInd w:val="0"/>
              <w:snapToGrid w:val="0"/>
              <w:spacing w:before="189" w:line="600" w:lineRule="exact"/>
              <w:jc w:val="center"/>
              <w:rPr>
                <w:rFonts w:hint="eastAsia" w:ascii="仿宋" w:hAnsi="仿宋" w:eastAsia="仿宋" w:cs="仿宋"/>
                <w:sz w:val="28"/>
                <w:szCs w:val="28"/>
              </w:rPr>
            </w:pPr>
            <w:r>
              <w:rPr>
                <w:rFonts w:hint="eastAsia" w:ascii="仿宋" w:hAnsi="仿宋" w:eastAsia="仿宋" w:cs="仿宋"/>
                <w:spacing w:val="6"/>
                <w:sz w:val="28"/>
                <w:szCs w:val="28"/>
                <w14:textOutline w14:w="3614" w14:cap="flat" w14:cmpd="sng">
                  <w14:solidFill>
                    <w14:srgbClr w14:val="000000"/>
                  </w14:solidFill>
                  <w14:prstDash w14:val="solid"/>
                  <w14:miter w14:val="0"/>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59" w:hRule="atLeast"/>
          <w:jc w:val="center"/>
        </w:trPr>
        <w:tc>
          <w:tcPr>
            <w:tcW w:w="1503" w:type="dxa"/>
            <w:vMerge w:val="restart"/>
            <w:tcBorders>
              <w:top w:val="single" w:color="auto" w:sz="4" w:space="0"/>
              <w:left w:val="single" w:color="auto" w:sz="4" w:space="0"/>
              <w:bottom w:val="single" w:color="auto" w:sz="4" w:space="0"/>
            </w:tcBorders>
            <w:vAlign w:val="top"/>
          </w:tcPr>
          <w:p>
            <w:pPr>
              <w:keepNext w:val="0"/>
              <w:keepLines w:val="0"/>
              <w:pageBreakBefore w:val="0"/>
              <w:widowControl/>
              <w:kinsoku/>
              <w:wordWrap/>
              <w:overflowPunct/>
              <w:topLinePunct w:val="0"/>
              <w:autoSpaceDE w:val="0"/>
              <w:autoSpaceDN w:val="0"/>
              <w:bidi w:val="0"/>
              <w:adjustRightInd w:val="0"/>
              <w:snapToGrid w:val="0"/>
              <w:spacing w:before="217" w:line="240" w:lineRule="auto"/>
              <w:jc w:val="center"/>
              <w:rPr>
                <w:rFonts w:hint="eastAsia" w:ascii="仿宋" w:hAnsi="仿宋" w:eastAsia="仿宋" w:cs="仿宋"/>
                <w:spacing w:val="-4"/>
                <w:sz w:val="28"/>
                <w:szCs w:val="28"/>
              </w:rPr>
            </w:pPr>
          </w:p>
          <w:p>
            <w:pPr>
              <w:keepNext w:val="0"/>
              <w:keepLines w:val="0"/>
              <w:pageBreakBefore w:val="0"/>
              <w:widowControl/>
              <w:kinsoku/>
              <w:wordWrap/>
              <w:overflowPunct/>
              <w:topLinePunct w:val="0"/>
              <w:autoSpaceDE w:val="0"/>
              <w:autoSpaceDN w:val="0"/>
              <w:bidi w:val="0"/>
              <w:adjustRightInd w:val="0"/>
              <w:snapToGrid w:val="0"/>
              <w:spacing w:before="217" w:line="240" w:lineRule="auto"/>
              <w:ind w:firstLine="544" w:firstLineChars="200"/>
              <w:jc w:val="both"/>
              <w:rPr>
                <w:rFonts w:hint="eastAsia" w:ascii="仿宋" w:hAnsi="仿宋" w:eastAsia="仿宋" w:cs="仿宋"/>
                <w:spacing w:val="-4"/>
                <w:sz w:val="28"/>
                <w:szCs w:val="28"/>
              </w:rPr>
            </w:pPr>
            <w:r>
              <w:rPr>
                <w:rFonts w:hint="eastAsia" w:ascii="仿宋" w:hAnsi="仿宋" w:eastAsia="仿宋" w:cs="仿宋"/>
                <w:spacing w:val="-4"/>
                <w:sz w:val="28"/>
                <w:szCs w:val="28"/>
              </w:rPr>
              <w:t>效益</w:t>
            </w:r>
          </w:p>
          <w:p>
            <w:pPr>
              <w:keepNext w:val="0"/>
              <w:keepLines w:val="0"/>
              <w:pageBreakBefore w:val="0"/>
              <w:widowControl/>
              <w:kinsoku/>
              <w:wordWrap/>
              <w:overflowPunct/>
              <w:topLinePunct w:val="0"/>
              <w:autoSpaceDE w:val="0"/>
              <w:autoSpaceDN w:val="0"/>
              <w:bidi w:val="0"/>
              <w:adjustRightInd w:val="0"/>
              <w:snapToGrid w:val="0"/>
              <w:spacing w:before="217" w:line="240" w:lineRule="auto"/>
              <w:jc w:val="center"/>
              <w:rPr>
                <w:rFonts w:hint="eastAsia" w:ascii="仿宋" w:hAnsi="仿宋" w:eastAsia="仿宋" w:cs="仿宋"/>
                <w:spacing w:val="-4"/>
                <w:sz w:val="28"/>
                <w:szCs w:val="28"/>
                <w:lang w:eastAsia="zh-CN"/>
              </w:rPr>
            </w:pPr>
            <w:r>
              <w:rPr>
                <w:rFonts w:hint="eastAsia" w:ascii="仿宋" w:hAnsi="仿宋" w:eastAsia="仿宋" w:cs="仿宋"/>
                <w:spacing w:val="-4"/>
                <w:sz w:val="28"/>
                <w:szCs w:val="28"/>
                <w:lang w:eastAsia="zh-CN"/>
              </w:rPr>
              <w:t>（</w:t>
            </w:r>
            <w:r>
              <w:rPr>
                <w:rFonts w:hint="eastAsia" w:ascii="仿宋" w:hAnsi="仿宋" w:eastAsia="仿宋" w:cs="仿宋"/>
                <w:spacing w:val="-4"/>
                <w:sz w:val="28"/>
                <w:szCs w:val="28"/>
              </w:rPr>
              <w:t>30分</w:t>
            </w:r>
            <w:r>
              <w:rPr>
                <w:rFonts w:hint="eastAsia" w:ascii="仿宋" w:hAnsi="仿宋" w:eastAsia="仿宋" w:cs="仿宋"/>
                <w:spacing w:val="-4"/>
                <w:sz w:val="28"/>
                <w:szCs w:val="28"/>
                <w:lang w:eastAsia="zh-CN"/>
              </w:rPr>
              <w:t>）</w:t>
            </w:r>
          </w:p>
        </w:tc>
        <w:tc>
          <w:tcPr>
            <w:tcW w:w="1645" w:type="dxa"/>
            <w:vMerge w:val="restart"/>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600" w:lineRule="exact"/>
              <w:ind w:firstLine="280" w:firstLineChars="100"/>
              <w:jc w:val="both"/>
              <w:rPr>
                <w:rFonts w:hint="eastAsia" w:ascii="仿宋" w:hAnsi="仿宋" w:eastAsia="仿宋" w:cs="仿宋"/>
                <w:iCs/>
                <w:kern w:val="0"/>
                <w:sz w:val="28"/>
                <w:szCs w:val="28"/>
              </w:rPr>
            </w:pPr>
            <w:r>
              <w:rPr>
                <w:rFonts w:hint="eastAsia" w:ascii="仿宋" w:hAnsi="仿宋" w:eastAsia="仿宋" w:cs="仿宋"/>
                <w:iCs/>
                <w:kern w:val="0"/>
                <w:sz w:val="28"/>
                <w:szCs w:val="28"/>
              </w:rPr>
              <w:t>社会效益</w:t>
            </w:r>
          </w:p>
        </w:tc>
        <w:tc>
          <w:tcPr>
            <w:tcW w:w="3726" w:type="dxa"/>
            <w:tcBorders>
              <w:left w:val="single" w:color="auto" w:sz="4" w:space="0"/>
            </w:tcBorders>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提升困难群众的基本生活水平</w:t>
            </w:r>
          </w:p>
        </w:tc>
        <w:tc>
          <w:tcPr>
            <w:tcW w:w="1052" w:type="dxa"/>
            <w:vAlign w:val="center"/>
          </w:tcPr>
          <w:p>
            <w:pPr>
              <w:keepNext w:val="0"/>
              <w:keepLines w:val="0"/>
              <w:pageBreakBefore w:val="0"/>
              <w:widowControl/>
              <w:kinsoku/>
              <w:wordWrap/>
              <w:overflowPunct/>
              <w:topLinePunct w:val="0"/>
              <w:autoSpaceDE w:val="0"/>
              <w:autoSpaceDN w:val="0"/>
              <w:bidi w:val="0"/>
              <w:adjustRightInd w:val="0"/>
              <w:snapToGrid w:val="0"/>
              <w:spacing w:before="217" w:line="240" w:lineRule="auto"/>
              <w:jc w:val="center"/>
              <w:rPr>
                <w:rFonts w:hint="eastAsia" w:ascii="仿宋" w:hAnsi="仿宋" w:eastAsia="仿宋" w:cs="仿宋"/>
                <w:spacing w:val="-4"/>
                <w:sz w:val="28"/>
                <w:szCs w:val="28"/>
              </w:rPr>
            </w:pPr>
            <w:r>
              <w:rPr>
                <w:rFonts w:hint="eastAsia" w:ascii="仿宋" w:hAnsi="仿宋" w:eastAsia="仿宋" w:cs="仿宋"/>
                <w:spacing w:val="-4"/>
                <w:sz w:val="28"/>
                <w:szCs w:val="28"/>
              </w:rPr>
              <w:t>10</w:t>
            </w:r>
          </w:p>
        </w:tc>
        <w:tc>
          <w:tcPr>
            <w:tcW w:w="1193" w:type="dxa"/>
            <w:vAlign w:val="center"/>
          </w:tcPr>
          <w:p>
            <w:pPr>
              <w:keepNext w:val="0"/>
              <w:keepLines w:val="0"/>
              <w:pageBreakBefore w:val="0"/>
              <w:widowControl/>
              <w:kinsoku/>
              <w:wordWrap/>
              <w:overflowPunct/>
              <w:topLinePunct w:val="0"/>
              <w:autoSpaceDE w:val="0"/>
              <w:autoSpaceDN w:val="0"/>
              <w:bidi w:val="0"/>
              <w:adjustRightInd w:val="0"/>
              <w:snapToGrid w:val="0"/>
              <w:spacing w:before="217" w:line="240" w:lineRule="auto"/>
              <w:jc w:val="center"/>
              <w:rPr>
                <w:rFonts w:hint="eastAsia" w:ascii="仿宋" w:hAnsi="仿宋" w:eastAsia="仿宋" w:cs="仿宋"/>
                <w:spacing w:val="-4"/>
                <w:sz w:val="28"/>
                <w:szCs w:val="28"/>
              </w:rPr>
            </w:pPr>
            <w:r>
              <w:rPr>
                <w:rFonts w:hint="eastAsia" w:ascii="仿宋" w:hAnsi="仿宋" w:eastAsia="仿宋" w:cs="仿宋"/>
                <w:spacing w:val="-4"/>
                <w:sz w:val="28"/>
                <w:szCs w:val="28"/>
                <w:lang w:val="en-US" w:eastAsia="zh-CN"/>
              </w:rPr>
              <w:t>10</w:t>
            </w:r>
            <w:r>
              <w:rPr>
                <w:rFonts w:hint="eastAsia" w:ascii="仿宋" w:hAnsi="仿宋" w:eastAsia="仿宋" w:cs="仿宋"/>
                <w:spacing w:val="-4"/>
                <w:sz w:val="28"/>
                <w:szCs w:val="2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36" w:hRule="atLeast"/>
          <w:jc w:val="center"/>
        </w:trPr>
        <w:tc>
          <w:tcPr>
            <w:tcW w:w="1503" w:type="dxa"/>
            <w:vMerge w:val="continue"/>
            <w:tcBorders>
              <w:top w:val="single" w:color="auto" w:sz="4" w:space="0"/>
              <w:left w:val="single" w:color="auto" w:sz="4" w:space="0"/>
              <w:bottom w:val="single" w:color="auto" w:sz="4" w:space="0"/>
            </w:tcBorders>
            <w:vAlign w:val="top"/>
          </w:tcPr>
          <w:p>
            <w:pPr>
              <w:keepNext w:val="0"/>
              <w:keepLines w:val="0"/>
              <w:pageBreakBefore w:val="0"/>
              <w:widowControl/>
              <w:kinsoku/>
              <w:wordWrap/>
              <w:overflowPunct/>
              <w:topLinePunct w:val="0"/>
              <w:autoSpaceDE w:val="0"/>
              <w:autoSpaceDN w:val="0"/>
              <w:bidi w:val="0"/>
              <w:adjustRightInd w:val="0"/>
              <w:snapToGrid w:val="0"/>
              <w:spacing w:before="217" w:line="360" w:lineRule="auto"/>
              <w:ind w:left="525"/>
              <w:jc w:val="center"/>
              <w:rPr>
                <w:rFonts w:hint="eastAsia" w:ascii="仿宋" w:hAnsi="仿宋" w:eastAsia="仿宋" w:cs="仿宋"/>
                <w:spacing w:val="-4"/>
                <w:sz w:val="28"/>
                <w:szCs w:val="28"/>
              </w:rPr>
            </w:pPr>
          </w:p>
        </w:tc>
        <w:tc>
          <w:tcPr>
            <w:tcW w:w="1645" w:type="dxa"/>
            <w:vMerge w:val="continue"/>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p>
        </w:tc>
        <w:tc>
          <w:tcPr>
            <w:tcW w:w="3726" w:type="dxa"/>
            <w:tcBorders>
              <w:left w:val="single" w:color="auto" w:sz="4" w:space="0"/>
            </w:tcBorders>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政策知晓率</w:t>
            </w:r>
          </w:p>
        </w:tc>
        <w:tc>
          <w:tcPr>
            <w:tcW w:w="1052" w:type="dxa"/>
            <w:vAlign w:val="center"/>
          </w:tcPr>
          <w:p>
            <w:pPr>
              <w:keepNext w:val="0"/>
              <w:keepLines w:val="0"/>
              <w:pageBreakBefore w:val="0"/>
              <w:widowControl/>
              <w:kinsoku/>
              <w:wordWrap/>
              <w:overflowPunct/>
              <w:topLinePunct w:val="0"/>
              <w:autoSpaceDE w:val="0"/>
              <w:autoSpaceDN w:val="0"/>
              <w:bidi w:val="0"/>
              <w:adjustRightInd w:val="0"/>
              <w:snapToGrid w:val="0"/>
              <w:spacing w:before="217" w:line="240" w:lineRule="auto"/>
              <w:jc w:val="center"/>
              <w:rPr>
                <w:rFonts w:hint="eastAsia" w:ascii="仿宋" w:hAnsi="仿宋" w:eastAsia="仿宋" w:cs="仿宋"/>
                <w:spacing w:val="-4"/>
                <w:sz w:val="28"/>
                <w:szCs w:val="28"/>
              </w:rPr>
            </w:pPr>
            <w:r>
              <w:rPr>
                <w:rFonts w:hint="eastAsia" w:ascii="仿宋" w:hAnsi="仿宋" w:eastAsia="仿宋" w:cs="仿宋"/>
                <w:spacing w:val="-4"/>
                <w:sz w:val="28"/>
                <w:szCs w:val="28"/>
              </w:rPr>
              <w:t>10</w:t>
            </w:r>
          </w:p>
        </w:tc>
        <w:tc>
          <w:tcPr>
            <w:tcW w:w="1193" w:type="dxa"/>
            <w:vAlign w:val="center"/>
          </w:tcPr>
          <w:p>
            <w:pPr>
              <w:keepNext w:val="0"/>
              <w:keepLines w:val="0"/>
              <w:pageBreakBefore w:val="0"/>
              <w:widowControl/>
              <w:kinsoku/>
              <w:wordWrap/>
              <w:overflowPunct/>
              <w:topLinePunct w:val="0"/>
              <w:autoSpaceDE w:val="0"/>
              <w:autoSpaceDN w:val="0"/>
              <w:bidi w:val="0"/>
              <w:adjustRightInd w:val="0"/>
              <w:snapToGrid w:val="0"/>
              <w:spacing w:before="217" w:line="240" w:lineRule="auto"/>
              <w:jc w:val="center"/>
              <w:rPr>
                <w:rFonts w:hint="default"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01" w:hRule="atLeast"/>
          <w:jc w:val="center"/>
        </w:trPr>
        <w:tc>
          <w:tcPr>
            <w:tcW w:w="1503" w:type="dxa"/>
            <w:vMerge w:val="continue"/>
            <w:tcBorders>
              <w:top w:val="single" w:color="auto" w:sz="4" w:space="0"/>
              <w:left w:val="single" w:color="auto" w:sz="4" w:space="0"/>
            </w:tcBorders>
            <w:vAlign w:val="top"/>
          </w:tcPr>
          <w:p>
            <w:pPr>
              <w:keepNext w:val="0"/>
              <w:keepLines w:val="0"/>
              <w:pageBreakBefore w:val="0"/>
              <w:widowControl/>
              <w:kinsoku/>
              <w:wordWrap/>
              <w:overflowPunct/>
              <w:topLinePunct w:val="0"/>
              <w:autoSpaceDE w:val="0"/>
              <w:autoSpaceDN w:val="0"/>
              <w:bidi w:val="0"/>
              <w:adjustRightInd w:val="0"/>
              <w:snapToGrid w:val="0"/>
              <w:spacing w:before="217" w:line="600" w:lineRule="exact"/>
              <w:ind w:left="525"/>
              <w:jc w:val="center"/>
              <w:rPr>
                <w:rFonts w:hint="eastAsia" w:ascii="仿宋" w:hAnsi="仿宋" w:eastAsia="仿宋" w:cs="仿宋"/>
                <w:spacing w:val="-4"/>
                <w:sz w:val="28"/>
                <w:szCs w:val="28"/>
              </w:rPr>
            </w:pPr>
          </w:p>
        </w:tc>
        <w:tc>
          <w:tcPr>
            <w:tcW w:w="1645" w:type="dxa"/>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满意度</w:t>
            </w:r>
          </w:p>
        </w:tc>
        <w:tc>
          <w:tcPr>
            <w:tcW w:w="3726" w:type="dxa"/>
            <w:vAlign w:val="center"/>
          </w:tcPr>
          <w:p>
            <w:pPr>
              <w:keepNext w:val="0"/>
              <w:keepLines w:val="0"/>
              <w:pageBreakBefore w:val="0"/>
              <w:widowControl/>
              <w:kinsoku/>
              <w:wordWrap/>
              <w:overflowPunct/>
              <w:topLinePunct w:val="0"/>
              <w:bidi w:val="0"/>
              <w:adjustRightInd w:val="0"/>
              <w:snapToGrid w:val="0"/>
              <w:spacing w:line="600" w:lineRule="exact"/>
              <w:jc w:val="center"/>
              <w:rPr>
                <w:rFonts w:hint="eastAsia" w:ascii="仿宋" w:hAnsi="仿宋" w:eastAsia="仿宋" w:cs="仿宋"/>
                <w:iCs/>
                <w:kern w:val="0"/>
                <w:sz w:val="28"/>
                <w:szCs w:val="28"/>
              </w:rPr>
            </w:pPr>
            <w:r>
              <w:rPr>
                <w:rFonts w:hint="eastAsia" w:ascii="仿宋" w:hAnsi="仿宋" w:eastAsia="仿宋" w:cs="仿宋"/>
                <w:iCs/>
                <w:kern w:val="0"/>
                <w:sz w:val="28"/>
                <w:szCs w:val="28"/>
              </w:rPr>
              <w:t>补助对象满意度</w:t>
            </w:r>
          </w:p>
        </w:tc>
        <w:tc>
          <w:tcPr>
            <w:tcW w:w="1052" w:type="dxa"/>
            <w:vAlign w:val="center"/>
          </w:tcPr>
          <w:p>
            <w:pPr>
              <w:keepNext w:val="0"/>
              <w:keepLines w:val="0"/>
              <w:pageBreakBefore w:val="0"/>
              <w:widowControl/>
              <w:kinsoku/>
              <w:wordWrap/>
              <w:overflowPunct/>
              <w:topLinePunct w:val="0"/>
              <w:autoSpaceDE w:val="0"/>
              <w:autoSpaceDN w:val="0"/>
              <w:bidi w:val="0"/>
              <w:adjustRightInd w:val="0"/>
              <w:snapToGrid w:val="0"/>
              <w:spacing w:before="217" w:line="600" w:lineRule="exact"/>
              <w:jc w:val="center"/>
              <w:rPr>
                <w:rFonts w:hint="eastAsia" w:ascii="仿宋" w:hAnsi="仿宋" w:eastAsia="仿宋" w:cs="仿宋"/>
                <w:spacing w:val="-4"/>
                <w:sz w:val="28"/>
                <w:szCs w:val="28"/>
              </w:rPr>
            </w:pPr>
            <w:r>
              <w:rPr>
                <w:rFonts w:hint="eastAsia" w:ascii="仿宋" w:hAnsi="仿宋" w:eastAsia="仿宋" w:cs="仿宋"/>
                <w:spacing w:val="-4"/>
                <w:sz w:val="28"/>
                <w:szCs w:val="28"/>
              </w:rPr>
              <w:t>10</w:t>
            </w:r>
          </w:p>
        </w:tc>
        <w:tc>
          <w:tcPr>
            <w:tcW w:w="1193" w:type="dxa"/>
            <w:vAlign w:val="center"/>
          </w:tcPr>
          <w:p>
            <w:pPr>
              <w:keepNext w:val="0"/>
              <w:keepLines w:val="0"/>
              <w:pageBreakBefore w:val="0"/>
              <w:widowControl/>
              <w:kinsoku/>
              <w:wordWrap/>
              <w:overflowPunct/>
              <w:topLinePunct w:val="0"/>
              <w:autoSpaceDE w:val="0"/>
              <w:autoSpaceDN w:val="0"/>
              <w:bidi w:val="0"/>
              <w:adjustRightInd w:val="0"/>
              <w:snapToGrid w:val="0"/>
              <w:spacing w:before="217" w:line="600" w:lineRule="exact"/>
              <w:jc w:val="center"/>
              <w:rPr>
                <w:rFonts w:hint="default" w:ascii="仿宋" w:hAnsi="仿宋" w:eastAsia="仿宋" w:cs="仿宋"/>
                <w:spacing w:val="-4"/>
                <w:sz w:val="28"/>
                <w:szCs w:val="28"/>
                <w:lang w:val="en-US" w:eastAsia="zh-CN"/>
              </w:rPr>
            </w:pPr>
            <w:r>
              <w:rPr>
                <w:rFonts w:hint="eastAsia" w:ascii="仿宋" w:hAnsi="仿宋" w:eastAsia="仿宋" w:cs="仿宋"/>
                <w:spacing w:val="-4"/>
                <w:sz w:val="28"/>
                <w:szCs w:val="28"/>
              </w:rPr>
              <w:t>9.</w:t>
            </w:r>
            <w:r>
              <w:rPr>
                <w:rFonts w:hint="eastAsia" w:ascii="仿宋" w:hAnsi="仿宋" w:eastAsia="仿宋" w:cs="仿宋"/>
                <w:spacing w:val="-4"/>
                <w:sz w:val="28"/>
                <w:szCs w:val="28"/>
                <w:lang w:val="en-US" w:eastAsia="zh-CN"/>
              </w:rPr>
              <w:t>52</w:t>
            </w:r>
          </w:p>
        </w:tc>
      </w:tr>
    </w:tbl>
    <w:p>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b w:val="0"/>
          <w:bCs w:val="0"/>
          <w:sz w:val="32"/>
          <w:szCs w:val="32"/>
          <w:lang w:val="en-US" w:eastAsia="zh-CN"/>
        </w:rPr>
        <w:t>实施效益</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640" w:firstLineChars="200"/>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基本公共卫生直接关系到基层群众的生活起居，例如健康生活方式的养成、慢病患者并发症的预防、老年人预防跌倒等问题，县卫健局紧紧围绕群众关心的问题开展该项目。通过开展健康教育服务不断提高了县居民的健康意识和改变不良的生活方式，并逐步树立县居民群众的自我健康管理的理念，对促进县居民健康素质起到了重要作用。该项目</w:t>
      </w:r>
      <w:r>
        <w:rPr>
          <w:rFonts w:hint="default" w:ascii="仿宋" w:hAnsi="仿宋" w:eastAsia="仿宋" w:cs="仿宋"/>
          <w:spacing w:val="0"/>
          <w:w w:val="100"/>
          <w:kern w:val="2"/>
          <w:position w:val="0"/>
          <w:sz w:val="32"/>
          <w:szCs w:val="32"/>
          <w:highlight w:val="none"/>
          <w:lang w:val="en-US" w:eastAsia="zh-CN"/>
        </w:rPr>
        <w:t>通过提高“两癌”筛查覆盖率、核心知识知晓率及两癌早诊率，促进宫颈癌、乳腺癌早诊早治，提高妇女健康水平</w:t>
      </w:r>
      <w:r>
        <w:rPr>
          <w:rFonts w:hint="eastAsia" w:ascii="仿宋" w:hAnsi="仿宋" w:eastAsia="仿宋" w:cs="仿宋"/>
          <w:spacing w:val="0"/>
          <w:w w:val="100"/>
          <w:kern w:val="2"/>
          <w:position w:val="0"/>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政策社会公众知晓率一般，从调查问卷统计结果的情况看，对于相关政策知晓的非常了解该项目政策公众占比66.67%，政策宣传效果一般，详见下图。</w:t>
      </w:r>
    </w:p>
    <w:p>
      <w:pPr>
        <w:pStyle w:val="3"/>
        <w:rPr>
          <w:rFonts w:hint="eastAsia" w:ascii="仿宋" w:hAnsi="仿宋" w:eastAsia="仿宋" w:cs="仿宋"/>
          <w:spacing w:val="0"/>
          <w:w w:val="100"/>
          <w:kern w:val="2"/>
          <w:position w:val="0"/>
          <w:sz w:val="30"/>
          <w:szCs w:val="30"/>
          <w:highlight w:val="none"/>
          <w:lang w:val="en-US" w:eastAsia="zh-CN"/>
        </w:rPr>
      </w:pPr>
      <w:r>
        <w:rPr>
          <w:rFonts w:hint="eastAsia" w:ascii="仿宋" w:hAnsi="仿宋" w:eastAsia="仿宋" w:cs="仿宋"/>
          <w:b w:val="0"/>
          <w:bCs w:val="0"/>
          <w:sz w:val="30"/>
          <w:szCs w:val="30"/>
          <w:lang w:val="en-US" w:eastAsia="zh-CN"/>
        </w:rPr>
        <w:drawing>
          <wp:anchor distT="0" distB="0" distL="114300" distR="114300" simplePos="0" relativeHeight="251662336" behindDoc="0" locked="0" layoutInCell="1" allowOverlap="1">
            <wp:simplePos x="0" y="0"/>
            <wp:positionH relativeFrom="column">
              <wp:posOffset>884555</wp:posOffset>
            </wp:positionH>
            <wp:positionV relativeFrom="paragraph">
              <wp:posOffset>220345</wp:posOffset>
            </wp:positionV>
            <wp:extent cx="3811905" cy="2474595"/>
            <wp:effectExtent l="0" t="0" r="17145" b="1905"/>
            <wp:wrapSquare wrapText="bothSides"/>
            <wp:docPr id="7" name="图片 7" descr="0ebb37e6c42c7726ea93da657dd81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ebb37e6c42c7726ea93da657dd81dcd"/>
                    <pic:cNvPicPr>
                      <a:picLocks noChangeAspect="1"/>
                    </pic:cNvPicPr>
                  </pic:nvPicPr>
                  <pic:blipFill>
                    <a:blip r:embed="rId10"/>
                    <a:stretch>
                      <a:fillRect/>
                    </a:stretch>
                  </pic:blipFill>
                  <pic:spPr>
                    <a:xfrm>
                      <a:off x="0" y="0"/>
                      <a:ext cx="3811905" cy="2474595"/>
                    </a:xfrm>
                    <a:prstGeom prst="rect">
                      <a:avLst/>
                    </a:prstGeom>
                  </pic:spPr>
                </pic:pic>
              </a:graphicData>
            </a:graphic>
          </wp:anchor>
        </w:drawing>
      </w:r>
    </w:p>
    <w:p>
      <w:pPr>
        <w:pStyle w:val="4"/>
        <w:rPr>
          <w:rFonts w:hint="eastAsia" w:ascii="仿宋" w:hAnsi="仿宋" w:eastAsia="仿宋" w:cs="仿宋"/>
          <w:spacing w:val="0"/>
          <w:w w:val="100"/>
          <w:kern w:val="2"/>
          <w:position w:val="0"/>
          <w:sz w:val="30"/>
          <w:szCs w:val="30"/>
          <w:highlight w:val="none"/>
          <w:lang w:val="en-US" w:eastAsia="zh-CN"/>
        </w:rPr>
      </w:pPr>
    </w:p>
    <w:p>
      <w:pPr>
        <w:pStyle w:val="5"/>
        <w:rPr>
          <w:rFonts w:hint="eastAsia" w:ascii="仿宋" w:hAnsi="仿宋" w:eastAsia="仿宋" w:cs="仿宋"/>
          <w:spacing w:val="0"/>
          <w:w w:val="100"/>
          <w:kern w:val="2"/>
          <w:position w:val="0"/>
          <w:sz w:val="30"/>
          <w:szCs w:val="30"/>
          <w:highlight w:val="none"/>
          <w:lang w:val="en-US" w:eastAsia="zh-CN"/>
        </w:rPr>
      </w:pPr>
    </w:p>
    <w:p>
      <w:pPr>
        <w:rPr>
          <w:rFonts w:hint="eastAsia" w:ascii="仿宋" w:hAnsi="仿宋" w:eastAsia="仿宋" w:cs="仿宋"/>
          <w:spacing w:val="0"/>
          <w:w w:val="100"/>
          <w:kern w:val="2"/>
          <w:position w:val="0"/>
          <w:sz w:val="30"/>
          <w:szCs w:val="30"/>
          <w:highlight w:val="none"/>
          <w:lang w:val="en-US" w:eastAsia="zh-CN"/>
        </w:rPr>
      </w:pPr>
    </w:p>
    <w:p>
      <w:pPr>
        <w:pStyle w:val="3"/>
        <w:rPr>
          <w:rFonts w:hint="eastAsia"/>
          <w:lang w:val="en-US" w:eastAsia="zh-CN"/>
        </w:rPr>
      </w:pPr>
    </w:p>
    <w:p>
      <w:pPr>
        <w:pStyle w:val="3"/>
        <w:rPr>
          <w:rFonts w:hint="eastAsia"/>
          <w:lang w:val="en-US" w:eastAsia="zh-CN"/>
        </w:rPr>
      </w:pPr>
    </w:p>
    <w:p>
      <w:pPr>
        <w:rPr>
          <w:rFonts w:hint="eastAsia" w:ascii="仿宋" w:hAnsi="仿宋" w:eastAsia="仿宋" w:cs="仿宋"/>
          <w:spacing w:val="0"/>
          <w:w w:val="100"/>
          <w:kern w:val="2"/>
          <w:position w:val="0"/>
          <w:sz w:val="30"/>
          <w:szCs w:val="30"/>
          <w:highlight w:val="none"/>
          <w:lang w:val="en-US" w:eastAsia="zh-CN"/>
        </w:rPr>
      </w:pPr>
    </w:p>
    <w:p>
      <w:pPr>
        <w:pStyle w:val="3"/>
        <w:rPr>
          <w:rFonts w:hint="eastAsia" w:ascii="仿宋" w:hAnsi="仿宋" w:eastAsia="仿宋" w:cs="仿宋"/>
          <w:spacing w:val="0"/>
          <w:w w:val="100"/>
          <w:kern w:val="2"/>
          <w:position w:val="0"/>
          <w:sz w:val="30"/>
          <w:szCs w:val="30"/>
          <w:highlight w:val="none"/>
          <w:lang w:val="en-US" w:eastAsia="zh-CN"/>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105" w:rightChars="5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2、满意度</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1"/>
          <w:sz w:val="32"/>
          <w:szCs w:val="32"/>
          <w:lang w:eastAsia="zh-CN"/>
        </w:rPr>
      </w:pPr>
      <w:r>
        <w:rPr>
          <w:rFonts w:hint="eastAsia" w:ascii="仿宋" w:hAnsi="仿宋" w:eastAsia="仿宋" w:cs="仿宋"/>
          <w:spacing w:val="0"/>
          <w:w w:val="100"/>
          <w:kern w:val="2"/>
          <w:position w:val="0"/>
          <w:sz w:val="32"/>
          <w:szCs w:val="32"/>
          <w:highlight w:val="none"/>
          <w:lang w:val="en-US" w:eastAsia="zh-CN"/>
        </w:rPr>
        <w:t>该项目总体满意度较高。本次抽样评价就补助对象总体满意度与分项满意度开展了问卷调查。通过对问卷进行分析，补助对象总体满意度为95.24%，满意度情况较好。详见下图。</w:t>
      </w:r>
    </w:p>
    <w:p>
      <w:pPr>
        <w:keepNext w:val="0"/>
        <w:keepLines w:val="0"/>
        <w:pageBreakBefore w:val="0"/>
        <w:widowControl/>
        <w:kinsoku/>
        <w:wordWrap/>
        <w:overflowPunct/>
        <w:topLinePunct w:val="0"/>
        <w:autoSpaceDE w:val="0"/>
        <w:autoSpaceDN w:val="0"/>
        <w:bidi w:val="0"/>
        <w:adjustRightInd w:val="0"/>
        <w:snapToGrid w:val="0"/>
        <w:spacing w:line="520" w:lineRule="exact"/>
        <w:ind w:right="0" w:firstLine="640" w:firstLineChars="200"/>
        <w:textAlignment w:val="baseline"/>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drawing>
          <wp:anchor distT="0" distB="0" distL="114300" distR="114300" simplePos="0" relativeHeight="251661312" behindDoc="0" locked="0" layoutInCell="1" allowOverlap="1">
            <wp:simplePos x="0" y="0"/>
            <wp:positionH relativeFrom="column">
              <wp:posOffset>876300</wp:posOffset>
            </wp:positionH>
            <wp:positionV relativeFrom="paragraph">
              <wp:posOffset>132715</wp:posOffset>
            </wp:positionV>
            <wp:extent cx="4013200" cy="2788920"/>
            <wp:effectExtent l="0" t="0" r="6350" b="11430"/>
            <wp:wrapTopAndBottom/>
            <wp:docPr id="6" name="图片 6" descr="a61ad3f25512a1c4783c2fee240d2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61ad3f25512a1c4783c2fee240d27eb"/>
                    <pic:cNvPicPr>
                      <a:picLocks noChangeAspect="1"/>
                    </pic:cNvPicPr>
                  </pic:nvPicPr>
                  <pic:blipFill>
                    <a:blip r:embed="rId11"/>
                    <a:stretch>
                      <a:fillRect/>
                    </a:stretch>
                  </pic:blipFill>
                  <pic:spPr>
                    <a:xfrm>
                      <a:off x="0" y="0"/>
                      <a:ext cx="4013200" cy="2788920"/>
                    </a:xfrm>
                    <a:prstGeom prst="rect">
                      <a:avLst/>
                    </a:prstGeom>
                  </pic:spPr>
                </pic:pic>
              </a:graphicData>
            </a:graphic>
          </wp:anchor>
        </w:drawing>
      </w:r>
      <w:r>
        <w:rPr>
          <w:rFonts w:hint="eastAsia" w:ascii="仿宋" w:hAnsi="仿宋" w:eastAsia="仿宋" w:cs="仿宋"/>
          <w:spacing w:val="0"/>
          <w:w w:val="100"/>
          <w:kern w:val="2"/>
          <w:position w:val="0"/>
          <w:sz w:val="32"/>
          <w:szCs w:val="32"/>
          <w:highlight w:val="none"/>
          <w:lang w:val="en-US" w:eastAsia="zh-CN"/>
        </w:rPr>
        <w:t>五、存在的问题及建议</w:t>
      </w:r>
    </w:p>
    <w:p>
      <w:pPr>
        <w:keepNext w:val="0"/>
        <w:keepLines w:val="0"/>
        <w:pageBreakBefore w:val="0"/>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bookmarkStart w:id="4" w:name="_Toc16015"/>
      <w:r>
        <w:rPr>
          <w:rFonts w:hint="eastAsia" w:ascii="仿宋" w:hAnsi="仿宋" w:eastAsia="仿宋" w:cs="仿宋"/>
          <w:sz w:val="32"/>
          <w:szCs w:val="32"/>
          <w:lang w:val="en-US" w:eastAsia="zh-CN"/>
        </w:rPr>
        <w:t>(一)存在问题</w:t>
      </w:r>
      <w:bookmarkEnd w:id="4"/>
    </w:p>
    <w:p>
      <w:pPr>
        <w:keepNext w:val="0"/>
        <w:keepLines w:val="0"/>
        <w:pageBreakBefore w:val="0"/>
        <w:kinsoku/>
        <w:wordWrap/>
        <w:overflowPunct/>
        <w:topLinePunct w:val="0"/>
        <w:autoSpaceDE/>
        <w:autoSpaceDN/>
        <w:bidi w:val="0"/>
        <w:adjustRightInd/>
        <w:snapToGrid/>
        <w:spacing w:line="520" w:lineRule="exact"/>
        <w:ind w:right="105" w:rightChars="50" w:firstLine="704" w:firstLineChars="200"/>
        <w:textAlignment w:val="auto"/>
        <w:rPr>
          <w:rFonts w:hint="eastAsia" w:ascii="仿宋" w:hAnsi="仿宋" w:eastAsia="仿宋" w:cs="仿宋"/>
          <w:spacing w:val="14"/>
          <w:sz w:val="32"/>
          <w:szCs w:val="32"/>
        </w:rPr>
      </w:pPr>
      <w:r>
        <w:rPr>
          <w:rFonts w:hint="eastAsia" w:ascii="仿宋" w:hAnsi="仿宋" w:eastAsia="仿宋" w:cs="仿宋"/>
          <w:spacing w:val="16"/>
          <w:sz w:val="32"/>
          <w:szCs w:val="32"/>
          <w:lang w:val="en-US" w:eastAsia="zh-CN"/>
        </w:rPr>
        <w:t>1、</w:t>
      </w:r>
      <w:r>
        <w:rPr>
          <w:rFonts w:hint="eastAsia" w:ascii="仿宋" w:hAnsi="仿宋" w:eastAsia="仿宋" w:cs="仿宋"/>
          <w:spacing w:val="14"/>
          <w:sz w:val="32"/>
          <w:szCs w:val="32"/>
        </w:rPr>
        <w:t>项目管理制度不够健全，过程管理水平有待提升</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5"/>
          <w:sz w:val="32"/>
          <w:szCs w:val="32"/>
          <w:lang w:val="en-US" w:eastAsia="zh-CN"/>
        </w:rPr>
      </w:pPr>
      <w:r>
        <w:rPr>
          <w:rFonts w:hint="eastAsia" w:ascii="仿宋" w:hAnsi="仿宋" w:eastAsia="仿宋" w:cs="仿宋"/>
          <w:spacing w:val="0"/>
          <w:w w:val="100"/>
          <w:kern w:val="2"/>
          <w:position w:val="0"/>
          <w:sz w:val="32"/>
          <w:szCs w:val="32"/>
          <w:highlight w:val="none"/>
          <w:lang w:val="en-US" w:eastAsia="zh-CN"/>
        </w:rPr>
        <w:t>县卫健局未根据实际情况制定适用于</w:t>
      </w:r>
      <w:r>
        <w:rPr>
          <w:rFonts w:hint="eastAsia" w:ascii="仿宋" w:hAnsi="仿宋" w:eastAsia="仿宋" w:cs="仿宋"/>
          <w:sz w:val="32"/>
          <w:szCs w:val="32"/>
          <w:highlight w:val="none"/>
          <w:lang w:val="en-US" w:eastAsia="zh-CN"/>
        </w:rPr>
        <w:t>2024年度基本公共卫生服务资金及妇女“两癌”筛查项目</w:t>
      </w:r>
      <w:r>
        <w:rPr>
          <w:rFonts w:hint="eastAsia" w:ascii="仿宋" w:hAnsi="仿宋" w:eastAsia="仿宋" w:cs="仿宋"/>
          <w:spacing w:val="0"/>
          <w:w w:val="100"/>
          <w:kern w:val="2"/>
          <w:position w:val="0"/>
          <w:sz w:val="32"/>
          <w:szCs w:val="32"/>
          <w:highlight w:val="none"/>
          <w:lang w:val="en-US" w:eastAsia="zh-CN"/>
        </w:rPr>
        <w:t>资金使用工作的监督追踪管理制度和工作流程，导致项目过程管理较薄弱。</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96" w:firstLineChars="200"/>
        <w:jc w:val="both"/>
        <w:textAlignment w:val="auto"/>
        <w:rPr>
          <w:rFonts w:hint="default"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14"/>
          <w:sz w:val="32"/>
          <w:szCs w:val="32"/>
          <w:lang w:val="en-US" w:eastAsia="zh-CN"/>
        </w:rPr>
        <w:t>2、健康档案调阅使用率较低，群众对政策的知晓了解程度一般。</w:t>
      </w:r>
    </w:p>
    <w:p>
      <w:pPr>
        <w:keepNext w:val="0"/>
        <w:keepLines w:val="0"/>
        <w:pageBreakBefore w:val="0"/>
        <w:widowControl w:val="0"/>
        <w:numPr>
          <w:ilvl w:val="0"/>
          <w:numId w:val="5"/>
        </w:numPr>
        <w:kinsoku/>
        <w:wordWrap/>
        <w:overflowPunct/>
        <w:topLinePunct w:val="0"/>
        <w:autoSpaceDE/>
        <w:autoSpaceDN/>
        <w:bidi w:val="0"/>
        <w:adjustRightInd/>
        <w:snapToGrid/>
        <w:spacing w:line="520" w:lineRule="exact"/>
        <w:ind w:right="105" w:rightChars="5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相关建议</w:t>
      </w:r>
    </w:p>
    <w:p>
      <w:pPr>
        <w:keepNext w:val="0"/>
        <w:keepLines w:val="0"/>
        <w:pageBreakBefore w:val="0"/>
        <w:widowControl w:val="0"/>
        <w:numPr>
          <w:ilvl w:val="0"/>
          <w:numId w:val="6"/>
        </w:numPr>
        <w:kinsoku/>
        <w:wordWrap/>
        <w:overflowPunct/>
        <w:topLinePunct w:val="0"/>
        <w:autoSpaceDE/>
        <w:autoSpaceDN/>
        <w:bidi w:val="0"/>
        <w:adjustRightInd/>
        <w:snapToGrid/>
        <w:spacing w:line="520" w:lineRule="exact"/>
        <w:ind w:right="0" w:rightChars="0" w:firstLine="696" w:firstLineChars="200"/>
        <w:textAlignment w:val="auto"/>
        <w:rPr>
          <w:rFonts w:hint="eastAsia" w:ascii="仿宋" w:hAnsi="仿宋" w:eastAsia="仿宋" w:cs="仿宋"/>
          <w:spacing w:val="14"/>
          <w:sz w:val="32"/>
          <w:szCs w:val="32"/>
        </w:rPr>
      </w:pPr>
      <w:r>
        <w:rPr>
          <w:rFonts w:hint="eastAsia" w:ascii="仿宋" w:hAnsi="仿宋" w:eastAsia="仿宋" w:cs="仿宋"/>
          <w:spacing w:val="14"/>
          <w:sz w:val="32"/>
          <w:szCs w:val="32"/>
        </w:rPr>
        <w:t>健全完善政策机制，加强项目实施过程管控力度</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建议县卫健局执行相关政策文件要求的基础上，健全完善本辖区项目实施工作方案或专项资金管理办法，理清项目管理各工作环节，明确各方职责及协调机制。同时，加强项目补助对象动态管理，定期开展资金使用追踪管理，加强资格审核，及时清除死亡灭失人口；加强沟通核对，确保财务及业务口径数据统一无误；建立项目档案管理制度，开展项目资料归档核查工作，</w:t>
      </w:r>
      <w:bookmarkStart w:id="5" w:name="_bookmark20"/>
      <w:bookmarkEnd w:id="5"/>
      <w:r>
        <w:rPr>
          <w:rFonts w:hint="eastAsia" w:ascii="仿宋" w:hAnsi="仿宋" w:eastAsia="仿宋" w:cs="仿宋"/>
          <w:spacing w:val="0"/>
          <w:w w:val="100"/>
          <w:kern w:val="2"/>
          <w:position w:val="0"/>
          <w:sz w:val="32"/>
          <w:szCs w:val="32"/>
          <w:highlight w:val="none"/>
          <w:lang w:val="en-US" w:eastAsia="zh-CN"/>
        </w:rPr>
        <w:t>及时补充、更新档案资料，确保项目资料归档及时、准确、有效。</w:t>
      </w:r>
    </w:p>
    <w:p>
      <w:pPr>
        <w:keepNext w:val="0"/>
        <w:keepLines w:val="0"/>
        <w:pageBreakBefore w:val="0"/>
        <w:widowControl/>
        <w:numPr>
          <w:ilvl w:val="0"/>
          <w:numId w:val="6"/>
        </w:numPr>
        <w:kinsoku/>
        <w:wordWrap/>
        <w:overflowPunct/>
        <w:topLinePunct w:val="0"/>
        <w:autoSpaceDE w:val="0"/>
        <w:autoSpaceDN w:val="0"/>
        <w:bidi w:val="0"/>
        <w:adjustRightInd w:val="0"/>
        <w:snapToGrid w:val="0"/>
        <w:spacing w:beforeAutospacing="0" w:afterAutospacing="0" w:line="520" w:lineRule="exact"/>
        <w:ind w:left="0" w:leftChars="0" w:right="105" w:rightChars="50" w:firstLine="696" w:firstLineChars="200"/>
        <w:textAlignment w:val="auto"/>
        <w:rPr>
          <w:rFonts w:hint="eastAsia" w:ascii="仿宋" w:hAnsi="仿宋" w:eastAsia="仿宋" w:cs="仿宋"/>
          <w:sz w:val="32"/>
          <w:szCs w:val="32"/>
        </w:rPr>
      </w:pPr>
      <w:r>
        <w:rPr>
          <w:rFonts w:hint="eastAsia" w:ascii="仿宋" w:hAnsi="仿宋" w:eastAsia="仿宋" w:cs="仿宋"/>
          <w:spacing w:val="14"/>
          <w:sz w:val="32"/>
          <w:szCs w:val="32"/>
          <w:lang w:val="en-US" w:eastAsia="zh-CN"/>
        </w:rPr>
        <w:t>加强资金监管力度，确保资金管理及执行规范</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建议各项目执行单位严格执行各项政府财务管理制度，围绕项目绩效目标，按照项目政策要求补助标准，足额及时发放补助资金，规范项目支出，确保项目支出各项费用符合政策要求支持范围。同时，建议财政部门加强项目资金监管力度，定期开展项目资金发放追踪检查，及时发现问题并监督整改到位。</w:t>
      </w:r>
    </w:p>
    <w:p>
      <w:pPr>
        <w:keepNext w:val="0"/>
        <w:keepLines w:val="0"/>
        <w:pageBreakBefore w:val="0"/>
        <w:widowControl/>
        <w:kinsoku/>
        <w:wordWrap/>
        <w:overflowPunct/>
        <w:topLinePunct w:val="0"/>
        <w:autoSpaceDE w:val="0"/>
        <w:autoSpaceDN w:val="0"/>
        <w:bidi w:val="0"/>
        <w:adjustRightInd w:val="0"/>
        <w:snapToGrid w:val="0"/>
        <w:spacing w:line="520" w:lineRule="exact"/>
        <w:ind w:right="0" w:firstLine="640" w:firstLineChars="200"/>
        <w:textAlignment w:val="baseline"/>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fldChar w:fldCharType="begin"/>
      </w:r>
      <w:r>
        <w:rPr>
          <w:rFonts w:hint="eastAsia" w:ascii="仿宋" w:hAnsi="仿宋" w:eastAsia="仿宋" w:cs="仿宋"/>
          <w:spacing w:val="0"/>
          <w:w w:val="100"/>
          <w:kern w:val="2"/>
          <w:position w:val="0"/>
          <w:sz w:val="32"/>
          <w:szCs w:val="32"/>
          <w:highlight w:val="none"/>
          <w:lang w:val="en-US" w:eastAsia="zh-CN"/>
        </w:rPr>
        <w:instrText xml:space="preserve"> HYPERLINK \l _Toc11856 </w:instrText>
      </w:r>
      <w:r>
        <w:rPr>
          <w:rFonts w:hint="eastAsia" w:ascii="仿宋" w:hAnsi="仿宋" w:eastAsia="仿宋" w:cs="仿宋"/>
          <w:spacing w:val="0"/>
          <w:w w:val="100"/>
          <w:kern w:val="2"/>
          <w:position w:val="0"/>
          <w:sz w:val="32"/>
          <w:szCs w:val="32"/>
          <w:highlight w:val="none"/>
          <w:lang w:val="en-US" w:eastAsia="zh-CN"/>
        </w:rPr>
        <w:fldChar w:fldCharType="separate"/>
      </w:r>
      <w:r>
        <w:rPr>
          <w:rFonts w:hint="eastAsia" w:ascii="仿宋" w:hAnsi="仿宋" w:eastAsia="仿宋" w:cs="仿宋"/>
          <w:spacing w:val="0"/>
          <w:w w:val="100"/>
          <w:kern w:val="2"/>
          <w:position w:val="0"/>
          <w:sz w:val="32"/>
          <w:szCs w:val="32"/>
          <w:highlight w:val="none"/>
          <w:lang w:val="en-US" w:eastAsia="zh-CN"/>
        </w:rPr>
        <w:t>六、其他需要说明的问题</w:t>
      </w:r>
      <w:r>
        <w:rPr>
          <w:rFonts w:hint="eastAsia" w:ascii="仿宋" w:hAnsi="仿宋" w:eastAsia="仿宋" w:cs="仿宋"/>
          <w:spacing w:val="0"/>
          <w:w w:val="100"/>
          <w:kern w:val="2"/>
          <w:position w:val="0"/>
          <w:sz w:val="32"/>
          <w:szCs w:val="32"/>
          <w:highlight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t>本报告是评价机构对项目单位截至2025年12月18日所提供的资料进行全面分析与评价，并结合现场调研情况综合形成，报告基于事实材料由评审人员得出评审结论，与会评审组对结论一致通过，结论真实有效。</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 w:hAnsi="仿宋" w:eastAsia="仿宋" w:cs="仿宋"/>
          <w:spacing w:val="0"/>
          <w:w w:val="100"/>
          <w:kern w:val="2"/>
          <w:position w:val="0"/>
          <w:sz w:val="32"/>
          <w:szCs w:val="32"/>
          <w:highlight w:val="none"/>
          <w:lang w:val="en-US" w:eastAsia="zh-CN"/>
        </w:rPr>
      </w:pPr>
    </w:p>
    <w:p>
      <w:pPr>
        <w:ind w:firstLine="3000" w:firstLineChars="1000"/>
        <w:rPr>
          <w:rFonts w:hint="eastAsia" w:ascii="仿宋" w:hAnsi="仿宋" w:eastAsia="仿宋" w:cs="仿宋"/>
          <w:spacing w:val="0"/>
          <w:w w:val="100"/>
          <w:kern w:val="2"/>
          <w:position w:val="0"/>
          <w:sz w:val="30"/>
          <w:szCs w:val="30"/>
          <w:highlight w:val="none"/>
          <w:lang w:val="en-US" w:eastAsia="zh-CN"/>
        </w:rPr>
      </w:pPr>
      <w:r>
        <w:rPr>
          <w:rFonts w:hint="eastAsia" w:ascii="仿宋" w:hAnsi="仿宋" w:eastAsia="仿宋" w:cs="仿宋"/>
          <w:spacing w:val="0"/>
          <w:w w:val="100"/>
          <w:kern w:val="2"/>
          <w:position w:val="0"/>
          <w:sz w:val="30"/>
          <w:szCs w:val="30"/>
          <w:highlight w:val="none"/>
          <w:lang w:val="en-US" w:eastAsia="zh-CN"/>
        </w:rPr>
        <w:t>千园和创河北工程项目管理有限公司(盖章)</w:t>
      </w:r>
    </w:p>
    <w:p>
      <w:pPr>
        <w:keepNext w:val="0"/>
        <w:keepLines w:val="0"/>
        <w:pageBreakBefore w:val="0"/>
        <w:kinsoku/>
        <w:wordWrap/>
        <w:overflowPunct/>
        <w:topLinePunct w:val="0"/>
        <w:bidi w:val="0"/>
        <w:spacing w:line="600" w:lineRule="exact"/>
        <w:ind w:firstLine="640" w:firstLineChars="200"/>
        <w:rPr>
          <w:rFonts w:hint="eastAsia" w:ascii="仿宋" w:hAnsi="仿宋" w:eastAsia="仿宋" w:cs="仿宋"/>
          <w:spacing w:val="0"/>
          <w:w w:val="100"/>
          <w:kern w:val="2"/>
          <w:position w:val="0"/>
          <w:sz w:val="32"/>
          <w:szCs w:val="32"/>
          <w:highlight w:val="none"/>
          <w:lang w:val="en-US" w:eastAsia="zh-CN"/>
        </w:rPr>
      </w:pPr>
    </w:p>
    <w:p>
      <w:pPr>
        <w:keepNext w:val="0"/>
        <w:keepLines w:val="0"/>
        <w:pageBreakBefore w:val="0"/>
        <w:kinsoku/>
        <w:wordWrap/>
        <w:overflowPunct/>
        <w:topLinePunct w:val="0"/>
        <w:bidi w:val="0"/>
        <w:spacing w:line="600" w:lineRule="exact"/>
        <w:ind w:firstLine="640" w:firstLineChars="200"/>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drawing>
          <wp:anchor distT="0" distB="0" distL="114300" distR="114300" simplePos="0" relativeHeight="251664384" behindDoc="0" locked="0" layoutInCell="1" allowOverlap="1">
            <wp:simplePos x="0" y="0"/>
            <wp:positionH relativeFrom="column">
              <wp:posOffset>4213225</wp:posOffset>
            </wp:positionH>
            <wp:positionV relativeFrom="paragraph">
              <wp:posOffset>212090</wp:posOffset>
            </wp:positionV>
            <wp:extent cx="1317625" cy="1308735"/>
            <wp:effectExtent l="0" t="0" r="15875" b="5715"/>
            <wp:wrapSquare wrapText="bothSides"/>
            <wp:docPr id="3" name="图片 3" descr="刘伯华注册造价师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刘伯华注册造价师章"/>
                    <pic:cNvPicPr>
                      <a:picLocks noChangeAspect="1"/>
                    </pic:cNvPicPr>
                  </pic:nvPicPr>
                  <pic:blipFill>
                    <a:blip r:embed="rId12"/>
                    <a:stretch>
                      <a:fillRect/>
                    </a:stretch>
                  </pic:blipFill>
                  <pic:spPr>
                    <a:xfrm>
                      <a:off x="0" y="0"/>
                      <a:ext cx="1317625" cy="1308735"/>
                    </a:xfrm>
                    <a:prstGeom prst="rect">
                      <a:avLst/>
                    </a:prstGeom>
                  </pic:spPr>
                </pic:pic>
              </a:graphicData>
            </a:graphic>
          </wp:anchor>
        </w:drawing>
      </w:r>
    </w:p>
    <w:p>
      <w:pPr>
        <w:keepNext w:val="0"/>
        <w:keepLines w:val="0"/>
        <w:pageBreakBefore w:val="0"/>
        <w:kinsoku/>
        <w:wordWrap/>
        <w:overflowPunct/>
        <w:topLinePunct w:val="0"/>
        <w:bidi w:val="0"/>
        <w:spacing w:line="600" w:lineRule="exact"/>
        <w:ind w:firstLine="640" w:firstLineChars="200"/>
        <w:rPr>
          <w:rFonts w:hint="eastAsia" w:ascii="仿宋" w:hAnsi="仿宋" w:eastAsia="仿宋" w:cs="仿宋"/>
          <w:spacing w:val="0"/>
          <w:w w:val="100"/>
          <w:kern w:val="2"/>
          <w:position w:val="0"/>
          <w:sz w:val="32"/>
          <w:szCs w:val="32"/>
          <w:highlight w:val="none"/>
          <w:lang w:val="en-US" w:eastAsia="zh-CN"/>
        </w:rPr>
      </w:pPr>
    </w:p>
    <w:p>
      <w:pPr>
        <w:keepNext w:val="0"/>
        <w:keepLines w:val="0"/>
        <w:pageBreakBefore w:val="0"/>
        <w:kinsoku/>
        <w:wordWrap/>
        <w:overflowPunct/>
        <w:topLinePunct w:val="0"/>
        <w:bidi w:val="0"/>
        <w:spacing w:line="600" w:lineRule="exact"/>
        <w:ind w:firstLine="3000" w:firstLineChars="1000"/>
        <w:jc w:val="both"/>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0"/>
          <w:szCs w:val="30"/>
          <w:highlight w:val="none"/>
          <w:lang w:val="en-US" w:eastAsia="zh-CN"/>
        </w:rPr>
        <w:t>主评人签字：</w:t>
      </w:r>
    </w:p>
    <w:p>
      <w:pPr>
        <w:keepNext w:val="0"/>
        <w:keepLines w:val="0"/>
        <w:pageBreakBefore w:val="0"/>
        <w:kinsoku/>
        <w:wordWrap/>
        <w:overflowPunct/>
        <w:topLinePunct w:val="0"/>
        <w:bidi w:val="0"/>
        <w:spacing w:line="600" w:lineRule="exact"/>
        <w:ind w:firstLine="640" w:firstLineChars="200"/>
        <w:jc w:val="center"/>
        <w:rPr>
          <w:rFonts w:hint="eastAsia" w:ascii="仿宋" w:hAnsi="仿宋" w:eastAsia="仿宋" w:cs="仿宋"/>
          <w:spacing w:val="0"/>
          <w:w w:val="100"/>
          <w:kern w:val="2"/>
          <w:position w:val="0"/>
          <w:sz w:val="32"/>
          <w:szCs w:val="32"/>
          <w:highlight w:val="none"/>
          <w:lang w:val="en-US" w:eastAsia="zh-CN"/>
        </w:rPr>
      </w:pPr>
    </w:p>
    <w:p>
      <w:pPr>
        <w:keepNext w:val="0"/>
        <w:keepLines w:val="0"/>
        <w:pageBreakBefore w:val="0"/>
        <w:kinsoku/>
        <w:wordWrap/>
        <w:overflowPunct/>
        <w:topLinePunct w:val="0"/>
        <w:bidi w:val="0"/>
        <w:spacing w:line="600" w:lineRule="exact"/>
        <w:ind w:firstLine="640" w:firstLineChars="200"/>
        <w:jc w:val="center"/>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2"/>
          <w:szCs w:val="32"/>
          <w:highlight w:val="none"/>
          <w:lang w:val="en-US" w:eastAsia="zh-CN"/>
        </w:rPr>
        <w:drawing>
          <wp:anchor distT="0" distB="0" distL="114300" distR="114300" simplePos="0" relativeHeight="251665408" behindDoc="0" locked="0" layoutInCell="1" allowOverlap="1">
            <wp:simplePos x="0" y="0"/>
            <wp:positionH relativeFrom="column">
              <wp:posOffset>4241165</wp:posOffset>
            </wp:positionH>
            <wp:positionV relativeFrom="paragraph">
              <wp:posOffset>66040</wp:posOffset>
            </wp:positionV>
            <wp:extent cx="1330325" cy="1325245"/>
            <wp:effectExtent l="0" t="0" r="3175" b="8255"/>
            <wp:wrapSquare wrapText="bothSides"/>
            <wp:docPr id="8" name="图片 8" descr="李明会注册造价师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李明会注册造价师章"/>
                    <pic:cNvPicPr>
                      <a:picLocks noChangeAspect="1"/>
                    </pic:cNvPicPr>
                  </pic:nvPicPr>
                  <pic:blipFill>
                    <a:blip r:embed="rId13"/>
                    <a:stretch>
                      <a:fillRect/>
                    </a:stretch>
                  </pic:blipFill>
                  <pic:spPr>
                    <a:xfrm>
                      <a:off x="0" y="0"/>
                      <a:ext cx="1330325" cy="1325245"/>
                    </a:xfrm>
                    <a:prstGeom prst="rect">
                      <a:avLst/>
                    </a:prstGeom>
                  </pic:spPr>
                </pic:pic>
              </a:graphicData>
            </a:graphic>
          </wp:anchor>
        </w:drawing>
      </w:r>
    </w:p>
    <w:p>
      <w:pPr>
        <w:keepNext w:val="0"/>
        <w:keepLines w:val="0"/>
        <w:pageBreakBefore w:val="0"/>
        <w:kinsoku/>
        <w:wordWrap/>
        <w:overflowPunct/>
        <w:topLinePunct w:val="0"/>
        <w:bidi w:val="0"/>
        <w:spacing w:line="600" w:lineRule="exact"/>
        <w:ind w:firstLine="640" w:firstLineChars="200"/>
        <w:jc w:val="center"/>
        <w:rPr>
          <w:rFonts w:hint="eastAsia" w:ascii="仿宋" w:hAnsi="仿宋" w:eastAsia="仿宋" w:cs="仿宋"/>
          <w:spacing w:val="0"/>
          <w:w w:val="100"/>
          <w:kern w:val="2"/>
          <w:position w:val="0"/>
          <w:sz w:val="32"/>
          <w:szCs w:val="32"/>
          <w:highlight w:val="none"/>
          <w:lang w:val="en-US" w:eastAsia="zh-CN"/>
        </w:rPr>
      </w:pPr>
    </w:p>
    <w:p>
      <w:pPr>
        <w:keepNext w:val="0"/>
        <w:keepLines w:val="0"/>
        <w:pageBreakBefore w:val="0"/>
        <w:kinsoku/>
        <w:wordWrap/>
        <w:overflowPunct/>
        <w:topLinePunct w:val="0"/>
        <w:bidi w:val="0"/>
        <w:spacing w:line="600" w:lineRule="exact"/>
        <w:ind w:firstLine="3000" w:firstLineChars="1000"/>
        <w:jc w:val="both"/>
        <w:rPr>
          <w:rFonts w:hint="eastAsia" w:ascii="仿宋" w:hAnsi="仿宋" w:eastAsia="仿宋" w:cs="仿宋"/>
          <w:spacing w:val="0"/>
          <w:w w:val="100"/>
          <w:kern w:val="2"/>
          <w:position w:val="0"/>
          <w:sz w:val="30"/>
          <w:szCs w:val="30"/>
          <w:highlight w:val="none"/>
          <w:lang w:val="en-US" w:eastAsia="zh-CN"/>
        </w:rPr>
      </w:pPr>
      <w:r>
        <w:rPr>
          <w:rFonts w:hint="eastAsia" w:ascii="仿宋" w:hAnsi="仿宋" w:eastAsia="仿宋" w:cs="仿宋"/>
          <w:spacing w:val="0"/>
          <w:w w:val="100"/>
          <w:kern w:val="2"/>
          <w:position w:val="0"/>
          <w:sz w:val="30"/>
          <w:szCs w:val="30"/>
          <w:highlight w:val="none"/>
          <w:lang w:val="en-US" w:eastAsia="zh-CN"/>
        </w:rPr>
        <w:t>主评人签字：</w:t>
      </w:r>
    </w:p>
    <w:p>
      <w:pPr>
        <w:keepNext w:val="0"/>
        <w:keepLines w:val="0"/>
        <w:pageBreakBefore w:val="0"/>
        <w:kinsoku/>
        <w:wordWrap/>
        <w:overflowPunct/>
        <w:topLinePunct w:val="0"/>
        <w:bidi w:val="0"/>
        <w:spacing w:line="600" w:lineRule="exact"/>
        <w:jc w:val="both"/>
        <w:rPr>
          <w:rFonts w:hint="eastAsia" w:ascii="仿宋" w:hAnsi="仿宋" w:eastAsia="仿宋" w:cs="仿宋"/>
          <w:spacing w:val="0"/>
          <w:w w:val="100"/>
          <w:kern w:val="2"/>
          <w:position w:val="0"/>
          <w:sz w:val="32"/>
          <w:szCs w:val="32"/>
          <w:highlight w:val="none"/>
          <w:lang w:val="en-US" w:eastAsia="zh-CN"/>
        </w:rPr>
      </w:pPr>
    </w:p>
    <w:p>
      <w:pPr>
        <w:keepNext w:val="0"/>
        <w:keepLines w:val="0"/>
        <w:pageBreakBefore w:val="0"/>
        <w:kinsoku/>
        <w:wordWrap/>
        <w:overflowPunct/>
        <w:topLinePunct w:val="0"/>
        <w:bidi w:val="0"/>
        <w:spacing w:line="600" w:lineRule="exact"/>
        <w:ind w:firstLine="2700" w:firstLineChars="900"/>
        <w:rPr>
          <w:rFonts w:hint="eastAsia" w:ascii="仿宋" w:hAnsi="仿宋" w:eastAsia="仿宋" w:cs="仿宋"/>
          <w:spacing w:val="0"/>
          <w:w w:val="100"/>
          <w:kern w:val="2"/>
          <w:position w:val="0"/>
          <w:sz w:val="32"/>
          <w:szCs w:val="32"/>
          <w:highlight w:val="none"/>
          <w:lang w:val="en-US" w:eastAsia="zh-CN"/>
        </w:rPr>
      </w:pPr>
      <w:r>
        <w:rPr>
          <w:rFonts w:hint="eastAsia" w:ascii="仿宋" w:hAnsi="仿宋" w:eastAsia="仿宋" w:cs="仿宋"/>
          <w:spacing w:val="0"/>
          <w:w w:val="100"/>
          <w:kern w:val="2"/>
          <w:position w:val="0"/>
          <w:sz w:val="30"/>
          <w:szCs w:val="30"/>
          <w:highlight w:val="none"/>
          <w:lang w:val="en-US" w:eastAsia="zh-CN"/>
        </w:rPr>
        <w:t>2025年12月22日</w:t>
      </w:r>
    </w:p>
    <w:p/>
    <w:p>
      <w:pPr>
        <w:pStyle w:val="3"/>
        <w:rPr>
          <w:rFonts w:hint="eastAsia"/>
          <w:lang w:val="en-US" w:eastAsia="zh-CN"/>
        </w:rPr>
      </w:pPr>
    </w:p>
    <w:p/>
    <w:p>
      <w:pPr>
        <w:pStyle w:val="3"/>
      </w:pPr>
    </w:p>
    <w:p>
      <w:pPr>
        <w:pStyle w:val="4"/>
        <w:sectPr>
          <w:pgSz w:w="11906" w:h="16838"/>
          <w:pgMar w:top="2098" w:right="1474" w:bottom="1984" w:left="1587" w:header="851" w:footer="992" w:gutter="0"/>
          <w:pgNumType w:fmt="decimal"/>
          <w:cols w:space="0" w:num="1"/>
          <w:docGrid w:type="lines" w:linePitch="312" w:charSpace="0"/>
        </w:sectPr>
      </w:pPr>
    </w:p>
    <w:tbl>
      <w:tblPr>
        <w:tblStyle w:val="10"/>
        <w:tblW w:w="1561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9"/>
        <w:gridCol w:w="658"/>
        <w:gridCol w:w="527"/>
        <w:gridCol w:w="855"/>
        <w:gridCol w:w="539"/>
        <w:gridCol w:w="6053"/>
        <w:gridCol w:w="4158"/>
        <w:gridCol w:w="697"/>
        <w:gridCol w:w="15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0" w:hRule="atLeast"/>
          <w:jc w:val="center"/>
        </w:trPr>
        <w:tc>
          <w:tcPr>
            <w:tcW w:w="15615" w:type="dxa"/>
            <w:gridSpan w:val="9"/>
            <w:tcBorders>
              <w:top w:val="nil"/>
              <w:left w:val="nil"/>
              <w:bottom w:val="nil"/>
              <w:right w:val="nil"/>
            </w:tcBorders>
            <w:shd w:val="clear" w:color="auto" w:fill="auto"/>
            <w:vAlign w:val="top"/>
          </w:tcPr>
          <w:p>
            <w:pPr>
              <w:keepNext w:val="0"/>
              <w:keepLines w:val="0"/>
              <w:widowControl/>
              <w:suppressLineNumbers w:val="0"/>
              <w:jc w:val="center"/>
              <w:textAlignment w:val="top"/>
              <w:rPr>
                <w:rFonts w:ascii="宋体" w:hAnsi="宋体" w:eastAsia="宋体" w:cs="宋体"/>
                <w:i w:val="0"/>
                <w:iCs w:val="0"/>
                <w:color w:val="000000"/>
                <w:sz w:val="15"/>
                <w:szCs w:val="15"/>
                <w:u w:val="none"/>
              </w:rPr>
            </w:pPr>
            <w:r>
              <w:rPr>
                <w:rFonts w:hint="eastAsia" w:ascii="宋体" w:hAnsi="宋体" w:cs="宋体"/>
                <w:b w:val="0"/>
                <w:bCs w:val="0"/>
                <w:i w:val="0"/>
                <w:iCs w:val="0"/>
                <w:color w:val="000000"/>
                <w:kern w:val="0"/>
                <w:sz w:val="18"/>
                <w:szCs w:val="18"/>
                <w:u w:val="none"/>
                <w:lang w:val="en-US" w:eastAsia="zh-CN" w:bidi="ar"/>
              </w:rPr>
              <w:t xml:space="preserve">附表1           </w:t>
            </w:r>
            <w:r>
              <w:rPr>
                <w:rFonts w:hint="eastAsia" w:ascii="宋体" w:hAnsi="宋体" w:eastAsia="宋体" w:cs="宋体"/>
                <w:b/>
                <w:bCs/>
                <w:i w:val="0"/>
                <w:iCs w:val="0"/>
                <w:color w:val="000000"/>
                <w:kern w:val="0"/>
                <w:sz w:val="18"/>
                <w:szCs w:val="18"/>
                <w:u w:val="none"/>
                <w:lang w:val="en-US" w:eastAsia="zh-CN" w:bidi="ar"/>
              </w:rPr>
              <w:t>2024年度基本公共卫生服务资金及妇女“两癌”筛查</w:t>
            </w:r>
            <w:r>
              <w:rPr>
                <w:rFonts w:ascii="宋体" w:hAnsi="宋体" w:eastAsia="宋体" w:cs="宋体"/>
                <w:b/>
                <w:bCs/>
                <w:i w:val="0"/>
                <w:iCs w:val="0"/>
                <w:color w:val="000000"/>
                <w:kern w:val="0"/>
                <w:sz w:val="18"/>
                <w:szCs w:val="18"/>
                <w:u w:val="none"/>
                <w:lang w:val="en-US" w:eastAsia="zh-CN" w:bidi="ar"/>
              </w:rPr>
              <w:t>项目资金评价指标体系及打分情况表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一级指标</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二级指标</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分值</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三级指标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分值</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指标解释和评价要点</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评价标准</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得分</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扣分理由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692" w:hRule="atLeast"/>
          <w:jc w:val="center"/>
        </w:trPr>
        <w:tc>
          <w:tcPr>
            <w:tcW w:w="6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both"/>
              <w:textAlignment w:val="center"/>
              <w:rPr>
                <w:rFonts w:ascii="宋体" w:hAnsi="宋体" w:eastAsia="宋体" w:cs="宋体"/>
                <w:i w:val="0"/>
                <w:iCs w:val="0"/>
                <w:color w:val="000000"/>
                <w:kern w:val="0"/>
                <w:sz w:val="15"/>
                <w:szCs w:val="15"/>
                <w:u w:val="none"/>
                <w:lang w:val="en-US" w:eastAsia="zh-CN" w:bidi="ar"/>
              </w:rPr>
            </w:pPr>
            <w:r>
              <w:rPr>
                <w:rFonts w:ascii="宋体" w:hAnsi="宋体" w:eastAsia="宋体" w:cs="宋体"/>
                <w:i w:val="0"/>
                <w:iCs w:val="0"/>
                <w:color w:val="000000"/>
                <w:kern w:val="0"/>
                <w:sz w:val="15"/>
                <w:szCs w:val="15"/>
                <w:u w:val="none"/>
                <w:lang w:val="en-US" w:eastAsia="zh-CN" w:bidi="ar"/>
              </w:rPr>
              <w:t>决策</w:t>
            </w: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both"/>
              <w:textAlignment w:val="center"/>
              <w:rPr>
                <w:rFonts w:hint="default" w:ascii="Arial" w:hAnsi="Arial" w:cs="Arial"/>
                <w:i w:val="0"/>
                <w:iCs w:val="0"/>
                <w:color w:val="000000"/>
                <w:sz w:val="15"/>
                <w:szCs w:val="15"/>
                <w:u w:val="none"/>
                <w:lang w:val="en-US"/>
              </w:rPr>
            </w:pPr>
            <w:r>
              <w:rPr>
                <w:rFonts w:hint="eastAsia" w:ascii="宋体" w:hAnsi="宋体" w:eastAsia="宋体" w:cs="宋体"/>
                <w:i w:val="0"/>
                <w:iCs w:val="0"/>
                <w:color w:val="000000"/>
                <w:kern w:val="0"/>
                <w:sz w:val="15"/>
                <w:szCs w:val="15"/>
                <w:u w:val="none"/>
                <w:lang w:val="en-US" w:eastAsia="zh-CN" w:bidi="ar"/>
              </w:rPr>
              <w:t>续上页</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项目立项</w:t>
            </w:r>
          </w:p>
        </w:tc>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立项依据充分性</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2</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：项目立项是否符合法律法规、相关政策、发展规划以及部门职责，用以反映和考核项目立项依据情况。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i w:val="0"/>
                <w:iCs w:val="0"/>
                <w:color w:val="000000"/>
                <w:kern w:val="0"/>
                <w:sz w:val="15"/>
                <w:szCs w:val="15"/>
                <w:u w:val="none"/>
                <w:lang w:val="en-US" w:eastAsia="zh-CN" w:bidi="ar"/>
              </w:rPr>
              <w:t>：</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①项目立项是否符合国家及河北省法律法规、国民经济发展规划和相关政策；</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②项目立项是否符合行业发展规划和政策要求；</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③项目立项是否与部门职责范围相符，属于部门履职所需；</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④项目是否属于公共财政支持范围，是否符合中央、地方事权支出责任划分原则；</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⑤项目是否与相关部门同类项目或部门内部相关项目重复。</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评价要点①-④标准分各0.4分：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符合评价要点要求的，得分=100%*标准分；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较符合评价要点要求的，得分=80%*标准分；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与评价要点符合程度一般的，得分=60%*标准分；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不符合评价要点要求的，不得分。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评价要点⑤标准分0.4分，项目与相关部门同类项目或部门内部相关项目无重复无交叉重叠，得0.4分，否则不得分。</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2.00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98" w:hRule="atLeast"/>
          <w:jc w:val="cent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立项程序规范性</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项目申请、设立过程是否符合相关要求，用以反映和考核项目立项的规范情况。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b/>
                <w:bCs/>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①项目是否按照规定的程序申请设立；</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②审批文件、材料是否符合相关要求；</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评价要点①②标准分各0.5分：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符合评价要点要求的，得分=100%*标准分；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较符合评价要点要求的，得分=80%*标准分；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与评价要点符合程度一般的，得分=60%*标准分；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不符合评价要点要求的，不得分。</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80" w:hRule="atLeast"/>
          <w:jc w:val="cent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绩效目标</w:t>
            </w:r>
          </w:p>
        </w:tc>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绩效目标合理性</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2</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 xml:space="preserve"> 项目所设定的绩效目标是否依据充分，是否符合客观实际，用以反映和考核项目绩效目标与项目实施的相符情况。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b/>
                <w:bCs/>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①项目是否有绩效目标；</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②项目绩效目标与实际工作内容是否具有相关性；</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③项目预期产出效益和效果是否符合正常的业绩水平；</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④是否与预算确定的项目投资额或资金量相匹配。</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评价要点①为该指标的否定性要点，若项目立项时未设定绩效目标或可考核的其他工作任务目标，则本条指标不得分；若项目设定了绩效目标或具有可考核的工作任务目标，得0.5分，同时按照评价要点②-④的得分情况确定该指标得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评价要点②-④标准分各0.5分：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符合评价要点要求的，得分=100%*标准分；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较符合评价要点要求的，得分=80%*标准分；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与评价要点符合程度一般的，得分=60%*标准分；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不符合评价要点要求的，不得分。</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Arial" w:hAnsi="Arial" w:cs="Arial"/>
                <w:i w:val="0"/>
                <w:iCs w:val="0"/>
                <w:color w:val="000000"/>
                <w:kern w:val="0"/>
                <w:sz w:val="15"/>
                <w:szCs w:val="15"/>
                <w:u w:val="none"/>
                <w:lang w:val="en-US" w:eastAsia="zh-CN" w:bidi="ar"/>
              </w:rPr>
              <w:t>1.5</w:t>
            </w:r>
            <w:r>
              <w:rPr>
                <w:rFonts w:hint="default" w:ascii="Arial" w:hAnsi="Arial" w:eastAsia="宋体" w:cs="Arial"/>
                <w:i w:val="0"/>
                <w:iCs w:val="0"/>
                <w:color w:val="000000"/>
                <w:kern w:val="0"/>
                <w:sz w:val="15"/>
                <w:szCs w:val="15"/>
                <w:u w:val="none"/>
                <w:lang w:val="en-US" w:eastAsia="zh-CN" w:bidi="ar"/>
              </w:rPr>
              <w:t>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sz w:val="15"/>
                <w:szCs w:val="15"/>
                <w:u w:val="none"/>
              </w:rPr>
              <w:t>基本公卫资金本年度项目实际支付总金额与年初预算确定的项目投资额不匹配。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442" w:hRule="atLeast"/>
          <w:jc w:val="cent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绩效指标明确性</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2</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依据绩效目标设定的绩效指标是否清晰、细化、可衡量等，用以反映和考核项目绩效目标的明细化情况。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b/>
                <w:bCs/>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①是否将项目绩效目标细化分解为具体的绩效指标；</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②是否通过清晰、可衡量的指标值予以体现；</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③是否与项目目标任务数或计划数相对应。</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评价要点①为该指标的否定性要点，若项目未将绩效目标细化分解为具体的绩效指标，则本条指标不得分；若项目将绩效目标细化分解为具体的绩效指标，得1分。同时按照评分要点②③的得分情况确定该指标得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评价要点②③标准分各0.5分：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符合评价要点要求的，得分=100%*标准分；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较符合评价要点要求的，得分=80%*标准分；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与评价要点符合程度一般的，得分=60%*标准分；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不符合评价要点要求的，不得分。</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Arial" w:hAnsi="Arial" w:cs="Arial"/>
                <w:i w:val="0"/>
                <w:iCs w:val="0"/>
                <w:color w:val="000000"/>
                <w:kern w:val="0"/>
                <w:sz w:val="15"/>
                <w:szCs w:val="15"/>
                <w:u w:val="none"/>
                <w:lang w:val="en-US" w:eastAsia="zh-CN" w:bidi="ar"/>
              </w:rPr>
              <w:t>2</w:t>
            </w:r>
            <w:r>
              <w:rPr>
                <w:rFonts w:hint="default" w:ascii="Arial" w:hAnsi="Arial" w:eastAsia="宋体" w:cs="Arial"/>
                <w:i w:val="0"/>
                <w:iCs w:val="0"/>
                <w:color w:val="000000"/>
                <w:kern w:val="0"/>
                <w:sz w:val="15"/>
                <w:szCs w:val="15"/>
                <w:u w:val="none"/>
                <w:lang w:val="en-US" w:eastAsia="zh-CN" w:bidi="ar"/>
              </w:rPr>
              <w:t>.00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589"/>
              </w:tabs>
              <w:jc w:val="left"/>
              <w:rPr>
                <w:rFonts w:hint="eastAsia" w:ascii="宋体" w:hAnsi="宋体" w:eastAsia="宋体" w:cs="宋体"/>
                <w:i w:val="0"/>
                <w:iCs w:val="0"/>
                <w:color w:val="000000"/>
                <w:sz w:val="15"/>
                <w:szCs w:val="15"/>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00" w:hRule="atLeast"/>
          <w:jc w:val="cent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资金</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投入</w:t>
            </w:r>
          </w:p>
        </w:tc>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预算编制科学性</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2</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项目预算编制是否经过科学论证、有明确标准，资金额度与年度目标是否相适应，用以反映和考核项目预算编制的科学性、合理性情况。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b/>
                <w:bCs/>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①预算编制是否依据充分，是否经过科学论证；</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②预算内容与项目内容是否匹配，项目投资额或资金量是否与工作任务相匹配。</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评价要点①、②标准分分别为1分；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符合评价要点要求的，得分=100%*标准分；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较符合评价要点要求的，得分=80%*标准分；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与评价要点符合程度一般的，得分=60%*标准分；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不符合评价要点要求的，不得分。</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Arial" w:hAnsi="Arial" w:cs="Arial"/>
                <w:i w:val="0"/>
                <w:iCs w:val="0"/>
                <w:color w:val="000000"/>
                <w:kern w:val="0"/>
                <w:sz w:val="15"/>
                <w:szCs w:val="15"/>
                <w:highlight w:val="none"/>
                <w:u w:val="none"/>
                <w:lang w:val="en-US" w:eastAsia="zh-CN" w:bidi="ar"/>
              </w:rPr>
              <w:t>1</w:t>
            </w:r>
            <w:r>
              <w:rPr>
                <w:rFonts w:hint="default" w:ascii="Arial" w:hAnsi="Arial" w:eastAsia="宋体" w:cs="Arial"/>
                <w:i w:val="0"/>
                <w:iCs w:val="0"/>
                <w:color w:val="000000"/>
                <w:kern w:val="0"/>
                <w:sz w:val="15"/>
                <w:szCs w:val="15"/>
                <w:highlight w:val="none"/>
                <w:u w:val="none"/>
                <w:lang w:val="en-US" w:eastAsia="zh-CN" w:bidi="ar"/>
              </w:rPr>
              <w:t>.</w:t>
            </w:r>
            <w:r>
              <w:rPr>
                <w:rFonts w:hint="eastAsia" w:ascii="Arial" w:hAnsi="Arial" w:cs="Arial"/>
                <w:i w:val="0"/>
                <w:iCs w:val="0"/>
                <w:color w:val="000000"/>
                <w:kern w:val="0"/>
                <w:sz w:val="15"/>
                <w:szCs w:val="15"/>
                <w:highlight w:val="none"/>
                <w:u w:val="none"/>
                <w:lang w:val="en-US" w:eastAsia="zh-CN" w:bidi="ar"/>
              </w:rPr>
              <w:t>5</w:t>
            </w:r>
            <w:r>
              <w:rPr>
                <w:rFonts w:hint="default" w:ascii="Arial" w:hAnsi="Arial" w:eastAsia="宋体" w:cs="Arial"/>
                <w:i w:val="0"/>
                <w:iCs w:val="0"/>
                <w:color w:val="000000"/>
                <w:kern w:val="0"/>
                <w:sz w:val="15"/>
                <w:szCs w:val="15"/>
                <w:highlight w:val="none"/>
                <w:u w:val="none"/>
                <w:lang w:val="en-US" w:eastAsia="zh-CN" w:bidi="ar"/>
              </w:rPr>
              <w:t>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sz w:val="15"/>
                <w:szCs w:val="15"/>
                <w:u w:val="none"/>
              </w:rPr>
              <w:t>年初预算编制与项目投资额不匹配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080" w:hRule="atLeast"/>
          <w:jc w:val="cent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资金分配合理性</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项目预算资金分配是否有测算依据，与中标单位或地方实际是否相适应，用以反映和考核项目预算资金分配的科学性、合理性情况。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b/>
                <w:bCs/>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①预算资金分配依据是否充分；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②资金分配额度是否合理，与项目单位或地方实际是否相适应。</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1.对于层级较多的项目，评价要点①、②标准分分别为0.5分；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符合评价要点要求的，得分=100%*标准分；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较符合评价要点要求的，得分=80%*标准分；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与评价要点符合程度一般的，得分=60%*标准分；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不符合评价要点要求的，不得分。</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lang w:val="en-US"/>
              </w:rPr>
            </w:pPr>
            <w:r>
              <w:rPr>
                <w:rFonts w:hint="eastAsia" w:ascii="Arial" w:hAnsi="Arial" w:cs="Arial"/>
                <w:i w:val="0"/>
                <w:iCs w:val="0"/>
                <w:color w:val="000000"/>
                <w:kern w:val="0"/>
                <w:sz w:val="15"/>
                <w:szCs w:val="15"/>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Arial" w:hAnsi="Arial" w:cs="Arial"/>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20" w:hRule="atLeast"/>
          <w:jc w:val="center"/>
        </w:trPr>
        <w:tc>
          <w:tcPr>
            <w:tcW w:w="6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both"/>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both"/>
              <w:textAlignment w:val="center"/>
              <w:rPr>
                <w:rFonts w:ascii="宋体" w:hAnsi="宋体" w:eastAsia="宋体" w:cs="宋体"/>
                <w:i w:val="0"/>
                <w:iCs w:val="0"/>
                <w:color w:val="000000"/>
                <w:kern w:val="0"/>
                <w:sz w:val="15"/>
                <w:szCs w:val="15"/>
                <w:u w:val="none"/>
                <w:lang w:val="en-US" w:eastAsia="zh-CN" w:bidi="ar"/>
              </w:rPr>
            </w:pPr>
            <w:r>
              <w:rPr>
                <w:rFonts w:ascii="宋体" w:hAnsi="宋体" w:eastAsia="宋体" w:cs="宋体"/>
                <w:i w:val="0"/>
                <w:iCs w:val="0"/>
                <w:color w:val="000000"/>
                <w:kern w:val="0"/>
                <w:sz w:val="15"/>
                <w:szCs w:val="15"/>
                <w:u w:val="none"/>
                <w:lang w:val="en-US" w:eastAsia="zh-CN" w:bidi="ar"/>
              </w:rPr>
              <w:t>过程</w:t>
            </w: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hint="default" w:ascii="Arial" w:hAnsi="Arial" w:cs="Arial"/>
                <w:i w:val="0"/>
                <w:iCs w:val="0"/>
                <w:color w:val="000000"/>
                <w:sz w:val="15"/>
                <w:szCs w:val="15"/>
                <w:u w:val="none"/>
                <w:lang w:val="en-US"/>
              </w:rPr>
            </w:pPr>
            <w:r>
              <w:rPr>
                <w:rFonts w:hint="eastAsia" w:ascii="宋体" w:hAnsi="宋体" w:eastAsia="宋体" w:cs="宋体"/>
                <w:i w:val="0"/>
                <w:iCs w:val="0"/>
                <w:color w:val="000000"/>
                <w:kern w:val="0"/>
                <w:sz w:val="15"/>
                <w:szCs w:val="15"/>
                <w:u w:val="none"/>
                <w:lang w:val="en-US" w:eastAsia="zh-CN" w:bidi="ar"/>
              </w:rPr>
              <w:t>续上页</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r>
              <w:rPr>
                <w:rFonts w:ascii="宋体" w:hAnsi="宋体" w:eastAsia="宋体" w:cs="宋体"/>
                <w:i w:val="0"/>
                <w:iCs w:val="0"/>
                <w:color w:val="000000"/>
                <w:kern w:val="0"/>
                <w:sz w:val="15"/>
                <w:szCs w:val="15"/>
                <w:u w:val="none"/>
                <w:lang w:val="en-US" w:eastAsia="zh-CN" w:bidi="ar"/>
              </w:rPr>
              <w:t>资金管理</w:t>
            </w: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both"/>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续上页</w:t>
            </w: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p>
        </w:tc>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资金到位率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2</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实际到位资金与预算资金的比率，用以反映和考核资金落实情况对项目实施的总体保障程度。</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资金到位率=(实际到位资金/预算资金)×100%。</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实际到位资金：一定时期(本年度或项目期)内落实到具体项目的资金。</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预算资金：一定时期(本年度或项目期)内预算安排到具体项目的资金。</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i w:val="0"/>
                <w:iCs w:val="0"/>
                <w:color w:val="000000"/>
                <w:kern w:val="0"/>
                <w:sz w:val="15"/>
                <w:szCs w:val="15"/>
                <w:u w:val="none"/>
                <w:lang w:val="en-US" w:eastAsia="zh-CN" w:bidi="ar"/>
              </w:rPr>
              <w:t>：资金到位是否足额。</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得分=资金到位率*标准分，超过标准分按照标准分计。</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2.00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0" w:hRule="atLeast"/>
          <w:jc w:val="cent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预算执行率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4</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 xml:space="preserve"> 项目预算资金是否按照计划执行，用以反映或考核项目预算执行情况。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预算执行率=(实际支出资金/实际到位资金)×100%。</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实际支出资金：一定时期(本年度或项目期)内项目实际拨付的资金。</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i w:val="0"/>
                <w:iCs w:val="0"/>
                <w:color w:val="000000"/>
                <w:kern w:val="0"/>
                <w:sz w:val="15"/>
                <w:szCs w:val="15"/>
                <w:u w:val="none"/>
                <w:lang w:val="en-US" w:eastAsia="zh-CN" w:bidi="ar"/>
              </w:rPr>
              <w:t xml:space="preserve"> 截至实施周期末资金实际支出比例情况。</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得分=预算执行率*标准分，超过标准分按标准分计。</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4.00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7" w:hRule="atLeast"/>
          <w:jc w:val="cent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资金使用合规性</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4</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项目资金使用是否符合相关的财务管理制度规定，用以反映和考核项目资金的规范运行情况。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b/>
                <w:bCs/>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①项目是否存在截留、挤占、挪用、虚列支出等情况；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②项目资金是否独立核算；</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③资金支出是否符合项目预算批复规定的用途；</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④资金的拨付是否有完整的审批程序和手续；</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⑤是否存在违反国家财经法规和财务管理制度以及有关专项资金管理办法的其他情况。</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评价要点①-⑤类问题中，每出现1类问题扣0.8分，同类问题不重复扣分，扣完为止。</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Arial" w:hAnsi="Arial" w:cs="Arial"/>
                <w:i w:val="0"/>
                <w:iCs w:val="0"/>
                <w:color w:val="000000"/>
                <w:kern w:val="0"/>
                <w:sz w:val="15"/>
                <w:szCs w:val="15"/>
                <w:u w:val="none"/>
                <w:lang w:val="en-US" w:eastAsia="zh-CN" w:bidi="ar"/>
              </w:rPr>
              <w:t>4</w:t>
            </w:r>
            <w:r>
              <w:rPr>
                <w:rFonts w:hint="default" w:ascii="Arial" w:hAnsi="Arial" w:eastAsia="宋体" w:cs="Arial"/>
                <w:i w:val="0"/>
                <w:iCs w:val="0"/>
                <w:color w:val="000000"/>
                <w:kern w:val="0"/>
                <w:sz w:val="15"/>
                <w:szCs w:val="15"/>
                <w:u w:val="none"/>
                <w:lang w:val="en-US" w:eastAsia="zh-CN" w:bidi="ar"/>
              </w:rPr>
              <w:t>.</w:t>
            </w:r>
            <w:r>
              <w:rPr>
                <w:rFonts w:hint="eastAsia" w:ascii="Arial" w:hAnsi="Arial" w:cs="Arial"/>
                <w:i w:val="0"/>
                <w:iCs w:val="0"/>
                <w:color w:val="000000"/>
                <w:kern w:val="0"/>
                <w:sz w:val="15"/>
                <w:szCs w:val="15"/>
                <w:u w:val="none"/>
                <w:lang w:val="en-US" w:eastAsia="zh-CN" w:bidi="ar"/>
              </w:rPr>
              <w:t>0</w:t>
            </w:r>
            <w:r>
              <w:rPr>
                <w:rFonts w:hint="default" w:ascii="Arial" w:hAnsi="Arial" w:eastAsia="宋体" w:cs="Arial"/>
                <w:i w:val="0"/>
                <w:iCs w:val="0"/>
                <w:color w:val="000000"/>
                <w:kern w:val="0"/>
                <w:sz w:val="15"/>
                <w:szCs w:val="15"/>
                <w:u w:val="none"/>
                <w:lang w:val="en-US" w:eastAsia="zh-CN" w:bidi="ar"/>
              </w:rPr>
              <w:t>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97" w:hRule="atLeast"/>
          <w:jc w:val="center"/>
        </w:trPr>
        <w:tc>
          <w:tcPr>
            <w:tcW w:w="60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组织实施</w:t>
            </w:r>
          </w:p>
        </w:tc>
        <w:tc>
          <w:tcPr>
            <w:tcW w:w="52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w:t>
            </w:r>
          </w:p>
        </w:tc>
        <w:tc>
          <w:tcPr>
            <w:tcW w:w="8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管理制度健全性</w:t>
            </w:r>
          </w:p>
        </w:tc>
        <w:tc>
          <w:tcPr>
            <w:tcW w:w="53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5</w:t>
            </w:r>
          </w:p>
        </w:tc>
        <w:tc>
          <w:tcPr>
            <w:tcW w:w="605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项目实施单位的财务和业务管理制度是否健全，用以反映和考核</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财务和业务管理制度对项目顺利实施的保障情况。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i w:val="0"/>
                <w:iCs w:val="0"/>
                <w:color w:val="000000"/>
                <w:kern w:val="0"/>
                <w:sz w:val="15"/>
                <w:szCs w:val="15"/>
                <w:u w:val="none"/>
                <w:lang w:val="en-US" w:eastAsia="zh-CN" w:bidi="ar"/>
              </w:rPr>
              <w:t>①是否已制定或具有相应的财务和业务管理制度；</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②财务和业务管理制度是否合法、合规、完整。</w:t>
            </w:r>
          </w:p>
        </w:tc>
        <w:tc>
          <w:tcPr>
            <w:tcW w:w="415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评价要点①标准分2分：项目实施单位制定或具有相应的财务和业务管理制度，得2分；制定或具备财务或业务管理制度其中一种的得1分；业务和财务制度都没有的不得分。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评价要点②标准分3分：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符合评价要点要求的，得分=100%*标准分；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较符合评价要点要求的，得分=80%*标准分；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与评价要点符合程度一般的，得分=60%*标准分；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不符合评价要点要求的，不得分。</w:t>
            </w:r>
          </w:p>
        </w:tc>
        <w:tc>
          <w:tcPr>
            <w:tcW w:w="69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5"/>
                <w:szCs w:val="15"/>
                <w:u w:val="none"/>
                <w:lang w:val="en-US" w:eastAsia="zh-CN" w:bidi="ar"/>
              </w:rPr>
            </w:pPr>
          </w:p>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Arial" w:hAnsi="Arial" w:cs="Arial"/>
                <w:i w:val="0"/>
                <w:iCs w:val="0"/>
                <w:color w:val="000000"/>
                <w:kern w:val="0"/>
                <w:sz w:val="15"/>
                <w:szCs w:val="15"/>
                <w:u w:val="none"/>
                <w:lang w:val="en-US" w:eastAsia="zh-CN" w:bidi="ar"/>
              </w:rPr>
              <w:t>3</w:t>
            </w:r>
            <w:r>
              <w:rPr>
                <w:rFonts w:hint="default" w:ascii="Arial" w:hAnsi="Arial" w:eastAsia="宋体" w:cs="Arial"/>
                <w:i w:val="0"/>
                <w:iCs w:val="0"/>
                <w:color w:val="000000"/>
                <w:kern w:val="0"/>
                <w:sz w:val="15"/>
                <w:szCs w:val="15"/>
                <w:u w:val="none"/>
                <w:lang w:val="en-US" w:eastAsia="zh-CN" w:bidi="ar"/>
              </w:rPr>
              <w:t>.00</w:t>
            </w:r>
          </w:p>
        </w:tc>
        <w:tc>
          <w:tcPr>
            <w:tcW w:w="1519"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sz w:val="15"/>
                <w:szCs w:val="15"/>
                <w:u w:val="none"/>
              </w:rPr>
              <w:t>未对</w:t>
            </w:r>
            <w:r>
              <w:rPr>
                <w:rFonts w:hint="eastAsia" w:ascii="宋体" w:hAnsi="宋体" w:cs="宋体"/>
                <w:i w:val="0"/>
                <w:iCs w:val="0"/>
                <w:color w:val="000000"/>
                <w:sz w:val="15"/>
                <w:szCs w:val="15"/>
                <w:u w:val="none"/>
                <w:lang w:val="en-US" w:eastAsia="zh-CN"/>
              </w:rPr>
              <w:t>该</w:t>
            </w:r>
            <w:r>
              <w:rPr>
                <w:rFonts w:hint="eastAsia" w:ascii="宋体" w:hAnsi="宋体" w:eastAsia="宋体" w:cs="宋体"/>
                <w:i w:val="0"/>
                <w:iCs w:val="0"/>
                <w:color w:val="000000"/>
                <w:sz w:val="15"/>
                <w:szCs w:val="15"/>
                <w:u w:val="none"/>
              </w:rPr>
              <w:t>项目制定相应的监督跟踪管理制度。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560" w:hRule="atLeast"/>
          <w:jc w:val="center"/>
        </w:trPr>
        <w:tc>
          <w:tcPr>
            <w:tcW w:w="609"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Arial" w:hAnsi="Arial" w:cs="Arial"/>
                <w:i w:val="0"/>
                <w:iCs w:val="0"/>
                <w:color w:val="000000"/>
                <w:sz w:val="15"/>
                <w:szCs w:val="15"/>
                <w:u w:val="none"/>
                <w:lang w:val="en-US" w:eastAsia="zh-CN"/>
              </w:rPr>
            </w:pPr>
          </w:p>
          <w:p>
            <w:pPr>
              <w:keepNext w:val="0"/>
              <w:keepLines w:val="0"/>
              <w:widowControl/>
              <w:suppressLineNumbers w:val="0"/>
              <w:jc w:val="center"/>
              <w:textAlignment w:val="center"/>
              <w:rPr>
                <w:rFonts w:hint="eastAsia" w:ascii="Arial" w:hAnsi="Arial" w:cs="Arial"/>
                <w:i w:val="0"/>
                <w:iCs w:val="0"/>
                <w:color w:val="000000"/>
                <w:sz w:val="15"/>
                <w:szCs w:val="15"/>
                <w:u w:val="none"/>
                <w:lang w:val="en-US" w:eastAsia="zh-CN"/>
              </w:rPr>
            </w:pPr>
          </w:p>
          <w:p>
            <w:pPr>
              <w:keepNext w:val="0"/>
              <w:keepLines w:val="0"/>
              <w:widowControl/>
              <w:suppressLineNumbers w:val="0"/>
              <w:jc w:val="center"/>
              <w:textAlignment w:val="center"/>
              <w:rPr>
                <w:rFonts w:hint="eastAsia" w:ascii="Arial" w:hAnsi="Arial" w:cs="Arial"/>
                <w:i w:val="0"/>
                <w:iCs w:val="0"/>
                <w:color w:val="000000"/>
                <w:sz w:val="15"/>
                <w:szCs w:val="15"/>
                <w:u w:val="none"/>
                <w:lang w:val="en-US" w:eastAsia="zh-CN"/>
              </w:rPr>
            </w:pPr>
          </w:p>
          <w:p>
            <w:pPr>
              <w:keepNext w:val="0"/>
              <w:keepLines w:val="0"/>
              <w:widowControl/>
              <w:suppressLineNumbers w:val="0"/>
              <w:jc w:val="both"/>
              <w:textAlignment w:val="center"/>
              <w:rPr>
                <w:rFonts w:hint="eastAsia" w:ascii="Arial" w:hAnsi="Arial" w:cs="Arial"/>
                <w:i w:val="0"/>
                <w:iCs w:val="0"/>
                <w:color w:val="000000"/>
                <w:sz w:val="15"/>
                <w:szCs w:val="15"/>
                <w:u w:val="none"/>
                <w:lang w:val="en-US" w:eastAsia="zh-CN"/>
              </w:rPr>
            </w:pPr>
          </w:p>
          <w:p>
            <w:pPr>
              <w:keepNext w:val="0"/>
              <w:keepLines w:val="0"/>
              <w:widowControl/>
              <w:suppressLineNumbers w:val="0"/>
              <w:jc w:val="center"/>
              <w:textAlignment w:val="center"/>
              <w:rPr>
                <w:rFonts w:hint="eastAsia" w:ascii="Arial" w:hAnsi="Arial" w:cs="Arial"/>
                <w:i w:val="0"/>
                <w:iCs w:val="0"/>
                <w:color w:val="000000"/>
                <w:sz w:val="15"/>
                <w:szCs w:val="15"/>
                <w:u w:val="none"/>
                <w:lang w:val="en-US" w:eastAsia="zh-CN"/>
              </w:rPr>
            </w:pPr>
          </w:p>
          <w:p>
            <w:pPr>
              <w:keepNext w:val="0"/>
              <w:keepLines w:val="0"/>
              <w:widowControl/>
              <w:suppressLineNumbers w:val="0"/>
              <w:jc w:val="center"/>
              <w:textAlignment w:val="center"/>
              <w:rPr>
                <w:rFonts w:hint="eastAsia" w:ascii="Arial" w:hAnsi="Arial" w:cs="Arial"/>
                <w:i w:val="0"/>
                <w:iCs w:val="0"/>
                <w:color w:val="000000"/>
                <w:sz w:val="15"/>
                <w:szCs w:val="15"/>
                <w:u w:val="none"/>
                <w:lang w:val="en-US" w:eastAsia="zh-CN"/>
              </w:rPr>
            </w:pPr>
          </w:p>
          <w:p>
            <w:pPr>
              <w:keepNext w:val="0"/>
              <w:keepLines w:val="0"/>
              <w:widowControl/>
              <w:suppressLineNumbers w:val="0"/>
              <w:jc w:val="center"/>
              <w:textAlignment w:val="center"/>
              <w:rPr>
                <w:rFonts w:hint="eastAsia" w:ascii="Arial" w:hAnsi="Arial" w:cs="Arial"/>
                <w:i w:val="0"/>
                <w:iCs w:val="0"/>
                <w:color w:val="000000"/>
                <w:sz w:val="15"/>
                <w:szCs w:val="15"/>
                <w:u w:val="none"/>
                <w:lang w:val="en-US" w:eastAsia="zh-CN"/>
              </w:rPr>
            </w:pPr>
          </w:p>
          <w:p>
            <w:pPr>
              <w:keepNext w:val="0"/>
              <w:keepLines w:val="0"/>
              <w:widowControl/>
              <w:suppressLineNumbers w:val="0"/>
              <w:jc w:val="center"/>
              <w:textAlignment w:val="center"/>
              <w:rPr>
                <w:rFonts w:hint="eastAsia" w:ascii="Arial" w:hAnsi="Arial" w:cs="Arial"/>
                <w:i w:val="0"/>
                <w:iCs w:val="0"/>
                <w:color w:val="000000"/>
                <w:sz w:val="15"/>
                <w:szCs w:val="15"/>
                <w:u w:val="none"/>
                <w:lang w:val="en-US" w:eastAsia="zh-CN"/>
              </w:rPr>
            </w:pPr>
          </w:p>
          <w:p>
            <w:pPr>
              <w:keepNext w:val="0"/>
              <w:keepLines w:val="0"/>
              <w:widowControl/>
              <w:suppressLineNumbers w:val="0"/>
              <w:jc w:val="center"/>
              <w:textAlignment w:val="center"/>
              <w:rPr>
                <w:rFonts w:hint="default" w:ascii="Arial" w:hAnsi="Arial" w:eastAsia="宋体" w:cs="Arial"/>
                <w:i w:val="0"/>
                <w:iCs w:val="0"/>
                <w:color w:val="000000"/>
                <w:sz w:val="15"/>
                <w:szCs w:val="15"/>
                <w:u w:val="none"/>
                <w:lang w:val="en-US" w:eastAsia="zh-CN"/>
              </w:rPr>
            </w:pPr>
            <w:r>
              <w:rPr>
                <w:rFonts w:hint="eastAsia" w:ascii="Arial" w:hAnsi="Arial" w:cs="Arial"/>
                <w:i w:val="0"/>
                <w:iCs w:val="0"/>
                <w:color w:val="000000"/>
                <w:sz w:val="15"/>
                <w:szCs w:val="15"/>
                <w:u w:val="none"/>
                <w:lang w:val="en-US" w:eastAsia="zh-CN"/>
              </w:rPr>
              <w:t>续上页</w:t>
            </w:r>
          </w:p>
        </w:tc>
        <w:tc>
          <w:tcPr>
            <w:tcW w:w="65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p>
        </w:tc>
        <w:tc>
          <w:tcPr>
            <w:tcW w:w="52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p>
        </w:tc>
        <w:tc>
          <w:tcPr>
            <w:tcW w:w="8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制度执行有效性</w:t>
            </w:r>
          </w:p>
        </w:tc>
        <w:tc>
          <w:tcPr>
            <w:tcW w:w="53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5</w:t>
            </w:r>
          </w:p>
        </w:tc>
        <w:tc>
          <w:tcPr>
            <w:tcW w:w="605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 xml:space="preserve"> 项目实施是否符合相关管理规定，用以反映和考核相关管理制度的有效执行情况。</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b/>
                <w:bCs/>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①项目申报、审核、资金发放、公开公示、档案管理等组织实施是否符合相关法律法规和相关管理规定；</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②项目调整或支出调整手续是否完备；</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③项目各环节资料是否齐全并及时归档；</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④项目实施的人员条件、场地设备、信息支撑等是否落实到位；</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⑤项目过程管控措施是否落实到位。</w:t>
            </w:r>
          </w:p>
        </w:tc>
        <w:tc>
          <w:tcPr>
            <w:tcW w:w="415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评价要点①-⑤标准分分别为1分：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符合评价要点要求的，得分=100%*标准分；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较符合评价要点要求的，得分=80%*标准分；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与评价要点符合程度一般的，得分=60%*标准分；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不符合评价要点要求的，不得分。</w:t>
            </w:r>
          </w:p>
        </w:tc>
        <w:tc>
          <w:tcPr>
            <w:tcW w:w="6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Arial" w:hAnsi="Arial" w:cs="Arial"/>
                <w:i w:val="0"/>
                <w:iCs w:val="0"/>
                <w:color w:val="000000"/>
                <w:kern w:val="0"/>
                <w:sz w:val="15"/>
                <w:szCs w:val="15"/>
                <w:u w:val="none"/>
                <w:lang w:val="en-US" w:eastAsia="zh-CN" w:bidi="ar"/>
              </w:rPr>
              <w:t>4</w:t>
            </w:r>
            <w:r>
              <w:rPr>
                <w:rFonts w:hint="default" w:ascii="Arial" w:hAnsi="Arial" w:eastAsia="宋体" w:cs="Arial"/>
                <w:i w:val="0"/>
                <w:iCs w:val="0"/>
                <w:color w:val="000000"/>
                <w:kern w:val="0"/>
                <w:sz w:val="15"/>
                <w:szCs w:val="15"/>
                <w:u w:val="none"/>
                <w:lang w:val="en-US" w:eastAsia="zh-CN" w:bidi="ar"/>
              </w:rPr>
              <w:t>.00</w:t>
            </w:r>
          </w:p>
        </w:tc>
        <w:tc>
          <w:tcPr>
            <w:tcW w:w="1519"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jc w:val="center"/>
        </w:trPr>
        <w:tc>
          <w:tcPr>
            <w:tcW w:w="60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产出</w:t>
            </w:r>
          </w:p>
        </w:tc>
        <w:tc>
          <w:tcPr>
            <w:tcW w:w="65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产出数量</w:t>
            </w:r>
          </w:p>
        </w:tc>
        <w:tc>
          <w:tcPr>
            <w:tcW w:w="527"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5"/>
                <w:szCs w:val="15"/>
                <w:u w:val="none"/>
                <w:lang w:val="en-US" w:eastAsia="zh-CN"/>
              </w:rPr>
            </w:pPr>
            <w:r>
              <w:rPr>
                <w:rFonts w:hint="eastAsia" w:ascii="Arial" w:hAnsi="Arial" w:cs="Arial"/>
                <w:i w:val="0"/>
                <w:iCs w:val="0"/>
                <w:color w:val="000000"/>
                <w:sz w:val="15"/>
                <w:szCs w:val="15"/>
                <w:u w:val="none"/>
                <w:lang w:val="en-US" w:eastAsia="zh-CN"/>
              </w:rPr>
              <w:t>40</w:t>
            </w:r>
          </w:p>
        </w:tc>
        <w:tc>
          <w:tcPr>
            <w:tcW w:w="85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服务人数完成率</w:t>
            </w:r>
          </w:p>
        </w:tc>
        <w:tc>
          <w:tcPr>
            <w:tcW w:w="53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w:t>
            </w:r>
          </w:p>
        </w:tc>
        <w:tc>
          <w:tcPr>
            <w:tcW w:w="605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ascii="宋体" w:hAnsi="宋体" w:eastAsia="宋体" w:cs="宋体"/>
                <w:b/>
                <w:bCs/>
                <w:i w:val="0"/>
                <w:iCs w:val="0"/>
                <w:color w:val="000000"/>
                <w:kern w:val="0"/>
                <w:sz w:val="15"/>
                <w:szCs w:val="15"/>
                <w:u w:val="none"/>
                <w:lang w:val="en-US" w:eastAsia="zh-CN" w:bidi="ar"/>
              </w:rPr>
              <w:t>指标解释：</w:t>
            </w:r>
            <w:r>
              <w:rPr>
                <w:rFonts w:hint="eastAsia" w:ascii="宋体" w:hAnsi="宋体" w:eastAsia="宋体" w:cs="宋体"/>
                <w:i w:val="0"/>
                <w:iCs w:val="0"/>
                <w:color w:val="000000"/>
                <w:kern w:val="0"/>
                <w:sz w:val="15"/>
                <w:szCs w:val="15"/>
                <w:u w:val="none"/>
                <w:lang w:val="en-US" w:eastAsia="zh-CN" w:bidi="ar"/>
              </w:rPr>
              <w:t>项目实施的实际服务人数与应服务人数的比率，用以反映和考核项目产出数量目标的实现程度。</w:t>
            </w:r>
          </w:p>
          <w:p>
            <w:pPr>
              <w:keepNext w:val="0"/>
              <w:keepLines w:val="0"/>
              <w:widowControl/>
              <w:suppressLineNumbers w:val="0"/>
              <w:jc w:val="left"/>
              <w:textAlignment w:val="center"/>
              <w:rPr>
                <w:rFonts w:ascii="宋体" w:hAnsi="宋体" w:eastAsia="宋体" w:cs="宋体"/>
                <w:b/>
                <w:bCs/>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实际完成率=(实际补助人数/应补助人数)×100%。</w:t>
            </w:r>
          </w:p>
        </w:tc>
        <w:tc>
          <w:tcPr>
            <w:tcW w:w="415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得分＝实际完成率*标准分，超过标准分的按标准分分计</w:t>
            </w:r>
            <w:r>
              <w:rPr>
                <w:rFonts w:hint="eastAsia" w:ascii="宋体" w:hAnsi="宋体" w:cs="宋体"/>
                <w:i w:val="0"/>
                <w:iCs w:val="0"/>
                <w:color w:val="000000"/>
                <w:kern w:val="0"/>
                <w:sz w:val="15"/>
                <w:szCs w:val="15"/>
                <w:u w:val="none"/>
                <w:lang w:val="en-US" w:eastAsia="zh-CN" w:bidi="ar"/>
              </w:rPr>
              <w:t>。</w:t>
            </w:r>
          </w:p>
        </w:tc>
        <w:tc>
          <w:tcPr>
            <w:tcW w:w="69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10.00</w:t>
            </w:r>
          </w:p>
        </w:tc>
        <w:tc>
          <w:tcPr>
            <w:tcW w:w="1519"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60" w:hRule="atLeast"/>
          <w:jc w:val="center"/>
        </w:trPr>
        <w:tc>
          <w:tcPr>
            <w:tcW w:w="609" w:type="dxa"/>
            <w:vMerge w:val="continue"/>
            <w:tcBorders>
              <w:left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产出质量</w:t>
            </w:r>
          </w:p>
        </w:tc>
        <w:tc>
          <w:tcPr>
            <w:tcW w:w="52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居民规范化电子健康档案覆盖率，妇女两癌筛查率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 xml:space="preserve">指标解释： </w:t>
            </w:r>
            <w:r>
              <w:rPr>
                <w:rFonts w:hint="eastAsia" w:ascii="宋体" w:hAnsi="宋体" w:eastAsia="宋体" w:cs="宋体"/>
                <w:i w:val="0"/>
                <w:iCs w:val="0"/>
                <w:color w:val="000000"/>
                <w:kern w:val="0"/>
                <w:sz w:val="15"/>
                <w:szCs w:val="15"/>
                <w:u w:val="none"/>
                <w:lang w:val="en-US" w:eastAsia="zh-CN" w:bidi="ar"/>
              </w:rPr>
              <w:t>项目完成居民规范化电子健康档案建档情况，用以反映和考核项目产出质量目标的实现程度。</w:t>
            </w:r>
          </w:p>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评价要点：</w:t>
            </w:r>
          </w:p>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①以乡镇（含县医院、县中医院、县妇幼院城区公卫片区</w:t>
            </w:r>
            <w:r>
              <w:rPr>
                <w:rFonts w:hint="eastAsia" w:ascii="宋体" w:hAnsi="宋体" w:cs="宋体"/>
                <w:i w:val="0"/>
                <w:iCs w:val="0"/>
                <w:color w:val="000000"/>
                <w:kern w:val="0"/>
                <w:sz w:val="15"/>
                <w:szCs w:val="15"/>
                <w:u w:val="none"/>
                <w:lang w:val="en-US" w:eastAsia="zh-CN" w:bidi="ar"/>
              </w:rPr>
              <w:t xml:space="preserve"> </w:t>
            </w:r>
            <w:r>
              <w:rPr>
                <w:rFonts w:hint="eastAsia" w:ascii="宋体" w:hAnsi="宋体" w:eastAsia="宋体" w:cs="宋体"/>
                <w:i w:val="0"/>
                <w:iCs w:val="0"/>
                <w:color w:val="000000"/>
                <w:kern w:val="0"/>
                <w:sz w:val="15"/>
                <w:szCs w:val="15"/>
                <w:u w:val="none"/>
                <w:lang w:val="en-US" w:eastAsia="zh-CN" w:bidi="ar"/>
              </w:rPr>
              <w:t>）为单位，居民规范化电子健康档案覆盖率65%以上；</w:t>
            </w:r>
          </w:p>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②居民电子健康档案向居民开放率100%；</w:t>
            </w:r>
          </w:p>
          <w:p>
            <w:pPr>
              <w:keepNext w:val="0"/>
              <w:keepLines w:val="0"/>
              <w:widowControl/>
              <w:suppressLineNumbers w:val="0"/>
              <w:jc w:val="left"/>
              <w:textAlignment w:val="center"/>
              <w:rPr>
                <w:rFonts w:ascii="宋体" w:hAnsi="宋体" w:eastAsia="宋体" w:cs="宋体"/>
                <w:b/>
                <w:bCs/>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③居民电子健康档案调阅率达到60%以上；</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评价要点①标准分4分；②标准分4分；③标准分2分；</w:t>
            </w:r>
          </w:p>
          <w:p>
            <w:pPr>
              <w:keepNext w:val="0"/>
              <w:keepLines w:val="0"/>
              <w:widowControl/>
              <w:numPr>
                <w:ilvl w:val="0"/>
                <w:numId w:val="0"/>
              </w:numPr>
              <w:suppressLineNumbers w:val="0"/>
              <w:ind w:leftChars="0"/>
              <w:jc w:val="left"/>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得分=各子项实现率*标准分后累加所得总分，各子项超过标准分按标准分计。</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kern w:val="0"/>
                <w:sz w:val="15"/>
                <w:szCs w:val="15"/>
                <w:u w:val="none"/>
                <w:lang w:val="en-US" w:eastAsia="zh-CN" w:bidi="ar"/>
              </w:rPr>
            </w:pPr>
            <w:r>
              <w:rPr>
                <w:rFonts w:hint="eastAsia" w:ascii="Arial" w:hAnsi="Arial" w:cs="Arial"/>
                <w:i w:val="0"/>
                <w:iCs w:val="0"/>
                <w:color w:val="000000"/>
                <w:kern w:val="0"/>
                <w:sz w:val="15"/>
                <w:szCs w:val="15"/>
                <w:u w:val="none"/>
                <w:lang w:val="en-US" w:eastAsia="zh-CN" w:bidi="ar"/>
              </w:rPr>
              <w:t>8.10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sz w:val="15"/>
                <w:szCs w:val="15"/>
                <w:u w:val="none"/>
              </w:rPr>
              <w:t>居民电子健康档案向居民开放率90.47%，调阅率14.3%。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222" w:hRule="atLeast"/>
          <w:jc w:val="center"/>
        </w:trPr>
        <w:tc>
          <w:tcPr>
            <w:tcW w:w="60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产出时效</w:t>
            </w:r>
          </w:p>
        </w:tc>
        <w:tc>
          <w:tcPr>
            <w:tcW w:w="52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资金发放及时性</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kern w:val="0"/>
                <w:sz w:val="15"/>
                <w:szCs w:val="15"/>
                <w:u w:val="none"/>
                <w:lang w:val="en-US" w:eastAsia="zh-CN" w:bidi="ar"/>
              </w:rPr>
            </w:pPr>
            <w:r>
              <w:rPr>
                <w:rFonts w:ascii="宋体" w:hAnsi="宋体" w:eastAsia="宋体" w:cs="宋体"/>
                <w:b/>
                <w:bCs/>
                <w:i w:val="0"/>
                <w:iCs w:val="0"/>
                <w:color w:val="000000"/>
                <w:kern w:val="0"/>
                <w:sz w:val="15"/>
                <w:szCs w:val="15"/>
                <w:u w:val="none"/>
                <w:lang w:val="en-US" w:eastAsia="zh-CN" w:bidi="ar"/>
              </w:rPr>
              <w:t>指标解释：</w:t>
            </w:r>
            <w:r>
              <w:rPr>
                <w:rFonts w:ascii="宋体" w:hAnsi="宋体" w:eastAsia="宋体" w:cs="宋体"/>
                <w:i w:val="0"/>
                <w:iCs w:val="0"/>
                <w:color w:val="000000"/>
                <w:kern w:val="0"/>
                <w:sz w:val="15"/>
                <w:szCs w:val="15"/>
                <w:u w:val="none"/>
                <w:lang w:val="en-US" w:eastAsia="zh-CN" w:bidi="ar"/>
              </w:rPr>
              <w:t>项目实际完成时间与计划完成时间的比较，用以反映和考核项目产出时效目标的实现程度。</w:t>
            </w:r>
          </w:p>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实际完成时间：项目实施单位完成该项目实际所耗用的时间。</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计划完成时间：按照项目实施计划或相关规定完成该项目所需的时间。</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b/>
                <w:bCs/>
                <w:i w:val="0"/>
                <w:iCs w:val="0"/>
                <w:color w:val="000000"/>
                <w:kern w:val="0"/>
                <w:sz w:val="15"/>
                <w:szCs w:val="15"/>
                <w:u w:val="none"/>
                <w:lang w:val="en-US" w:eastAsia="zh-CN" w:bidi="ar"/>
              </w:rPr>
              <w:t>评价要点：</w:t>
            </w:r>
            <w:r>
              <w:rPr>
                <w:rFonts w:ascii="宋体" w:hAnsi="宋体" w:eastAsia="宋体" w:cs="宋体"/>
                <w:i w:val="0"/>
                <w:iCs w:val="0"/>
                <w:color w:val="000000"/>
                <w:kern w:val="0"/>
                <w:sz w:val="15"/>
                <w:szCs w:val="15"/>
                <w:u w:val="none"/>
                <w:lang w:val="en-US" w:eastAsia="zh-CN" w:bidi="ar"/>
              </w:rPr>
              <w:t>项目是否按计划进度完成各阶段工作任务。</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根据项目各阶段工作任务完成及时性程度赋分：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完成及时，得标=(90%(含) -100%)*标准分；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完成较及时，得分=(80%(含) -90%)*标准分；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完成及时性一般，得分=(60%(含) -80%)*标准分；</w:t>
            </w:r>
            <w:r>
              <w:rPr>
                <w:rFonts w:ascii="宋体" w:hAnsi="宋体" w:eastAsia="宋体" w:cs="宋体"/>
                <w:i w:val="0"/>
                <w:iCs w:val="0"/>
                <w:color w:val="000000"/>
                <w:kern w:val="0"/>
                <w:sz w:val="15"/>
                <w:szCs w:val="15"/>
                <w:u w:val="none"/>
                <w:lang w:val="en-US" w:eastAsia="zh-CN" w:bidi="ar"/>
              </w:rPr>
              <w:br w:type="textWrapping"/>
            </w:r>
            <w:r>
              <w:rPr>
                <w:rFonts w:ascii="宋体" w:hAnsi="宋体" w:eastAsia="宋体" w:cs="宋体"/>
                <w:i w:val="0"/>
                <w:iCs w:val="0"/>
                <w:color w:val="000000"/>
                <w:kern w:val="0"/>
                <w:sz w:val="15"/>
                <w:szCs w:val="15"/>
                <w:u w:val="none"/>
                <w:lang w:val="en-US" w:eastAsia="zh-CN" w:bidi="ar"/>
              </w:rPr>
              <w:t>完成不及时，得分=(0-60%)*标准分。</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Arial" w:hAnsi="Arial" w:cs="Arial"/>
                <w:i w:val="0"/>
                <w:iCs w:val="0"/>
                <w:color w:val="000000"/>
                <w:kern w:val="0"/>
                <w:sz w:val="15"/>
                <w:szCs w:val="15"/>
                <w:u w:val="none"/>
                <w:lang w:val="en-US" w:eastAsia="zh-CN" w:bidi="ar"/>
              </w:rPr>
              <w:t>10</w:t>
            </w:r>
            <w:r>
              <w:rPr>
                <w:rFonts w:hint="default" w:ascii="Arial" w:hAnsi="Arial" w:eastAsia="宋体" w:cs="Arial"/>
                <w:i w:val="0"/>
                <w:iCs w:val="0"/>
                <w:color w:val="000000"/>
                <w:kern w:val="0"/>
                <w:sz w:val="15"/>
                <w:szCs w:val="15"/>
                <w:u w:val="none"/>
                <w:lang w:val="en-US" w:eastAsia="zh-CN" w:bidi="ar"/>
              </w:rPr>
              <w:t>.00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80" w:hRule="atLeast"/>
          <w:jc w:val="center"/>
        </w:trPr>
        <w:tc>
          <w:tcPr>
            <w:tcW w:w="609"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产出成本</w:t>
            </w:r>
          </w:p>
        </w:tc>
        <w:tc>
          <w:tcPr>
            <w:tcW w:w="527"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补助标准准确率</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指标解释：</w:t>
            </w:r>
            <w:r>
              <w:rPr>
                <w:rFonts w:hint="eastAsia" w:ascii="宋体" w:hAnsi="宋体" w:eastAsia="宋体" w:cs="宋体"/>
                <w:i w:val="0"/>
                <w:iCs w:val="0"/>
                <w:color w:val="000000"/>
                <w:kern w:val="0"/>
                <w:sz w:val="15"/>
                <w:szCs w:val="15"/>
                <w:u w:val="none"/>
                <w:lang w:val="en-US" w:eastAsia="zh-CN" w:bidi="ar"/>
              </w:rPr>
              <w:t>评价项目补助资金发放标准执行合规情况。</w:t>
            </w:r>
          </w:p>
          <w:p>
            <w:pPr>
              <w:keepNext w:val="0"/>
              <w:keepLines w:val="0"/>
              <w:widowControl/>
              <w:suppressLineNumbers w:val="0"/>
              <w:jc w:val="left"/>
              <w:textAlignment w:val="center"/>
              <w:rPr>
                <w:rFonts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评价要点：</w:t>
            </w:r>
            <w:r>
              <w:rPr>
                <w:rFonts w:hint="eastAsia" w:ascii="宋体" w:hAnsi="宋体" w:eastAsia="宋体" w:cs="宋体"/>
                <w:i w:val="0"/>
                <w:iCs w:val="0"/>
                <w:color w:val="000000"/>
                <w:kern w:val="0"/>
                <w:sz w:val="15"/>
                <w:szCs w:val="15"/>
                <w:u w:val="none"/>
                <w:lang w:val="en-US" w:eastAsia="zh-CN" w:bidi="ar"/>
              </w:rPr>
              <w:t>准确率=已发放补助资金标准合规人数/应发放补助资金总人数*100%。</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得分=准确率*标准分，超过标准分按照标准分计。</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i w:val="0"/>
                <w:iCs w:val="0"/>
                <w:color w:val="000000"/>
                <w:kern w:val="0"/>
                <w:sz w:val="15"/>
                <w:szCs w:val="15"/>
                <w:u w:val="none"/>
                <w:lang w:val="en-US" w:eastAsia="zh-CN" w:bidi="ar"/>
              </w:rPr>
              <w:t>10.00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jc w:val="center"/>
        </w:trPr>
        <w:tc>
          <w:tcPr>
            <w:tcW w:w="6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r>
              <w:rPr>
                <w:rFonts w:ascii="宋体" w:hAnsi="宋体" w:eastAsia="宋体" w:cs="宋体"/>
                <w:i w:val="0"/>
                <w:iCs w:val="0"/>
                <w:color w:val="000000"/>
                <w:kern w:val="0"/>
                <w:sz w:val="15"/>
                <w:szCs w:val="15"/>
                <w:u w:val="none"/>
                <w:lang w:val="en-US" w:eastAsia="zh-CN" w:bidi="ar"/>
              </w:rPr>
              <w:t>效益</w:t>
            </w: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cs="宋体"/>
                <w:i w:val="0"/>
                <w:iCs w:val="0"/>
                <w:color w:val="000000"/>
                <w:kern w:val="0"/>
                <w:sz w:val="15"/>
                <w:szCs w:val="15"/>
                <w:u w:val="none"/>
                <w:lang w:val="en-US" w:eastAsia="zh-CN" w:bidi="ar"/>
              </w:rPr>
              <w:t>续上页</w:t>
            </w: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ascii="宋体" w:hAnsi="宋体" w:eastAsia="宋体" w:cs="宋体"/>
                <w:i w:val="0"/>
                <w:iCs w:val="0"/>
                <w:color w:val="000000"/>
                <w:kern w:val="0"/>
                <w:sz w:val="15"/>
                <w:szCs w:val="15"/>
                <w:u w:val="none"/>
                <w:lang w:val="en-US" w:eastAsia="zh-CN" w:bidi="ar"/>
              </w:rPr>
            </w:pPr>
          </w:p>
          <w:p>
            <w:pPr>
              <w:keepNext w:val="0"/>
              <w:keepLines w:val="0"/>
              <w:widowControl/>
              <w:suppressLineNumbers w:val="0"/>
              <w:jc w:val="both"/>
              <w:textAlignment w:val="center"/>
              <w:rPr>
                <w:rFonts w:hint="default" w:ascii="宋体" w:hAnsi="宋体" w:eastAsia="宋体" w:cs="宋体"/>
                <w:i w:val="0"/>
                <w:iCs w:val="0"/>
                <w:color w:val="000000"/>
                <w:kern w:val="0"/>
                <w:sz w:val="15"/>
                <w:szCs w:val="15"/>
                <w:u w:val="none"/>
                <w:lang w:val="en-US" w:eastAsia="zh-CN" w:bidi="ar"/>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5"/>
                <w:szCs w:val="15"/>
                <w:u w:val="none"/>
                <w:lang w:val="en-US" w:eastAsia="zh-CN"/>
              </w:rPr>
            </w:pPr>
            <w:r>
              <w:rPr>
                <w:rFonts w:hint="eastAsia" w:ascii="宋体" w:hAnsi="宋体" w:eastAsia="宋体" w:cs="宋体"/>
                <w:i w:val="0"/>
                <w:iCs w:val="0"/>
                <w:color w:val="000000"/>
                <w:kern w:val="0"/>
                <w:sz w:val="15"/>
                <w:szCs w:val="15"/>
                <w:u w:val="none"/>
                <w:lang w:val="en-US" w:eastAsia="zh-CN" w:bidi="ar"/>
              </w:rPr>
              <w:t>社会效益</w:t>
            </w:r>
          </w:p>
        </w:tc>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5"/>
                <w:szCs w:val="15"/>
                <w:u w:val="none"/>
                <w:lang w:val="en-US" w:eastAsia="zh-CN" w:bidi="ar"/>
              </w:rPr>
            </w:pPr>
          </w:p>
          <w:p>
            <w:pPr>
              <w:keepNext w:val="0"/>
              <w:keepLines w:val="0"/>
              <w:widowControl/>
              <w:suppressLineNumbers w:val="0"/>
              <w:jc w:val="center"/>
              <w:textAlignment w:val="center"/>
              <w:rPr>
                <w:rFonts w:hint="default" w:ascii="Arial" w:hAnsi="Arial" w:eastAsia="宋体" w:cs="Arial"/>
                <w:i w:val="0"/>
                <w:iCs w:val="0"/>
                <w:color w:val="000000"/>
                <w:kern w:val="0"/>
                <w:sz w:val="15"/>
                <w:szCs w:val="15"/>
                <w:u w:val="none"/>
                <w:lang w:val="en-US" w:eastAsia="zh-CN" w:bidi="ar"/>
              </w:rPr>
            </w:pPr>
          </w:p>
          <w:p>
            <w:pPr>
              <w:keepNext w:val="0"/>
              <w:keepLines w:val="0"/>
              <w:widowControl/>
              <w:suppressLineNumbers w:val="0"/>
              <w:jc w:val="both"/>
              <w:textAlignment w:val="center"/>
              <w:rPr>
                <w:rFonts w:hint="default" w:ascii="Arial" w:hAnsi="Arial" w:eastAsia="宋体" w:cs="Arial"/>
                <w:i w:val="0"/>
                <w:iCs w:val="0"/>
                <w:color w:val="000000"/>
                <w:kern w:val="0"/>
                <w:sz w:val="15"/>
                <w:szCs w:val="15"/>
                <w:u w:val="none"/>
                <w:lang w:val="en-US" w:eastAsia="zh-CN" w:bidi="ar"/>
              </w:rPr>
            </w:pPr>
          </w:p>
          <w:p>
            <w:pPr>
              <w:keepNext w:val="0"/>
              <w:keepLines w:val="0"/>
              <w:widowControl/>
              <w:suppressLineNumbers w:val="0"/>
              <w:jc w:val="center"/>
              <w:textAlignment w:val="center"/>
              <w:rPr>
                <w:rFonts w:hint="default" w:ascii="Arial" w:hAnsi="Arial" w:eastAsia="宋体" w:cs="Arial"/>
                <w:i w:val="0"/>
                <w:iCs w:val="0"/>
                <w:color w:val="000000"/>
                <w:kern w:val="0"/>
                <w:sz w:val="15"/>
                <w:szCs w:val="15"/>
                <w:u w:val="none"/>
                <w:lang w:val="en-US" w:eastAsia="zh-CN" w:bidi="ar"/>
              </w:rPr>
            </w:pPr>
            <w:r>
              <w:rPr>
                <w:rFonts w:hint="default" w:ascii="Arial" w:hAnsi="Arial" w:eastAsia="宋体" w:cs="Arial"/>
                <w:i w:val="0"/>
                <w:iCs w:val="0"/>
                <w:color w:val="000000"/>
                <w:kern w:val="0"/>
                <w:sz w:val="15"/>
                <w:szCs w:val="15"/>
                <w:u w:val="none"/>
                <w:lang w:val="en-US" w:eastAsia="zh-CN" w:bidi="ar"/>
              </w:rPr>
              <w:t>30</w:t>
            </w:r>
          </w:p>
          <w:p>
            <w:pPr>
              <w:keepNext w:val="0"/>
              <w:keepLines w:val="0"/>
              <w:widowControl/>
              <w:suppressLineNumbers w:val="0"/>
              <w:jc w:val="center"/>
              <w:textAlignment w:val="center"/>
              <w:rPr>
                <w:rFonts w:hint="default" w:ascii="Arial" w:hAnsi="Arial" w:eastAsia="宋体" w:cs="Arial"/>
                <w:i w:val="0"/>
                <w:iCs w:val="0"/>
                <w:color w:val="000000"/>
                <w:kern w:val="0"/>
                <w:sz w:val="15"/>
                <w:szCs w:val="15"/>
                <w:u w:val="none"/>
                <w:lang w:val="en-US" w:eastAsia="zh-CN" w:bidi="ar"/>
              </w:rPr>
            </w:pPr>
          </w:p>
          <w:p>
            <w:pPr>
              <w:keepNext w:val="0"/>
              <w:keepLines w:val="0"/>
              <w:widowControl/>
              <w:suppressLineNumbers w:val="0"/>
              <w:jc w:val="center"/>
              <w:textAlignment w:val="center"/>
              <w:rPr>
                <w:rFonts w:hint="default" w:ascii="Arial" w:hAnsi="Arial" w:eastAsia="宋体" w:cs="Arial"/>
                <w:i w:val="0"/>
                <w:iCs w:val="0"/>
                <w:color w:val="000000"/>
                <w:kern w:val="0"/>
                <w:sz w:val="15"/>
                <w:szCs w:val="15"/>
                <w:u w:val="none"/>
                <w:lang w:val="en-US" w:eastAsia="zh-CN" w:bidi="ar"/>
              </w:rPr>
            </w:pPr>
          </w:p>
          <w:p>
            <w:pPr>
              <w:keepNext w:val="0"/>
              <w:keepLines w:val="0"/>
              <w:widowControl/>
              <w:suppressLineNumbers w:val="0"/>
              <w:jc w:val="center"/>
              <w:textAlignment w:val="center"/>
              <w:rPr>
                <w:rFonts w:hint="default" w:ascii="Arial" w:hAnsi="Arial" w:eastAsia="宋体" w:cs="Arial"/>
                <w:i w:val="0"/>
                <w:iCs w:val="0"/>
                <w:color w:val="000000"/>
                <w:kern w:val="0"/>
                <w:sz w:val="15"/>
                <w:szCs w:val="15"/>
                <w:u w:val="none"/>
                <w:lang w:val="en-US" w:eastAsia="zh-CN" w:bidi="ar"/>
              </w:rPr>
            </w:pPr>
            <w:r>
              <w:rPr>
                <w:rFonts w:hint="eastAsia" w:ascii="Arial" w:hAnsi="Arial" w:cs="Arial"/>
                <w:i w:val="0"/>
                <w:iCs w:val="0"/>
                <w:color w:val="000000"/>
                <w:kern w:val="0"/>
                <w:sz w:val="15"/>
                <w:szCs w:val="15"/>
                <w:u w:val="none"/>
                <w:lang w:val="en-US" w:eastAsia="zh-CN" w:bidi="ar"/>
              </w:rPr>
              <w:t>续上页</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提高居民健康水平</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lang w:val="en-US"/>
              </w:rPr>
            </w:pPr>
            <w:r>
              <w:rPr>
                <w:rFonts w:hint="eastAsia" w:ascii="Arial" w:hAnsi="Arial" w:cs="Arial"/>
                <w:i w:val="0"/>
                <w:iCs w:val="0"/>
                <w:color w:val="000000"/>
                <w:kern w:val="0"/>
                <w:sz w:val="15"/>
                <w:szCs w:val="15"/>
                <w:u w:val="none"/>
                <w:lang w:val="en-US" w:eastAsia="zh-CN" w:bidi="ar"/>
              </w:rPr>
              <w:t>10</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 xml:space="preserve">指标解释： </w:t>
            </w:r>
            <w:r>
              <w:rPr>
                <w:rFonts w:hint="eastAsia" w:ascii="宋体" w:hAnsi="宋体" w:eastAsia="宋体" w:cs="宋体"/>
                <w:b w:val="0"/>
                <w:bCs w:val="0"/>
                <w:i w:val="0"/>
                <w:iCs w:val="0"/>
                <w:color w:val="000000"/>
                <w:kern w:val="0"/>
                <w:sz w:val="15"/>
                <w:szCs w:val="15"/>
                <w:u w:val="none"/>
                <w:lang w:val="en-US" w:eastAsia="zh-CN" w:bidi="ar"/>
              </w:rPr>
              <w:t>项目实施提升提高居民健康水平产生的积极影响等。</w:t>
            </w:r>
          </w:p>
          <w:p>
            <w:pPr>
              <w:keepNext w:val="0"/>
              <w:keepLines w:val="0"/>
              <w:widowControl/>
              <w:suppressLineNumbers w:val="0"/>
              <w:jc w:val="left"/>
              <w:textAlignment w:val="center"/>
              <w:rPr>
                <w:rFonts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 xml:space="preserve">评价要点： </w:t>
            </w:r>
            <w:r>
              <w:rPr>
                <w:rFonts w:hint="eastAsia" w:ascii="宋体" w:hAnsi="宋体" w:eastAsia="宋体" w:cs="宋体"/>
                <w:b w:val="0"/>
                <w:bCs w:val="0"/>
                <w:i w:val="0"/>
                <w:iCs w:val="0"/>
                <w:color w:val="000000"/>
                <w:kern w:val="0"/>
                <w:sz w:val="15"/>
                <w:szCs w:val="15"/>
                <w:u w:val="none"/>
                <w:lang w:val="en-US" w:eastAsia="zh-CN" w:bidi="ar"/>
              </w:rPr>
              <w:t>评价项目实施效益的显著程度。</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根据效益的显著程度定性评分，</w:t>
            </w:r>
          </w:p>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效益良好，得分=标准分；</w:t>
            </w:r>
          </w:p>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效益较好，得分=80%*标准分；</w:t>
            </w:r>
          </w:p>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效益一般，得分=60%*标准分；</w:t>
            </w:r>
          </w:p>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效益较差，不得分。</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lang w:val="en-US"/>
              </w:rPr>
            </w:pPr>
            <w:r>
              <w:rPr>
                <w:rFonts w:hint="eastAsia" w:ascii="Arial" w:hAnsi="Arial" w:cs="Arial"/>
                <w:i w:val="0"/>
                <w:iCs w:val="0"/>
                <w:color w:val="000000"/>
                <w:kern w:val="0"/>
                <w:sz w:val="15"/>
                <w:szCs w:val="15"/>
                <w:u w:val="none"/>
                <w:lang w:val="en-US" w:eastAsia="zh-CN" w:bidi="ar"/>
              </w:rPr>
              <w:t>10.00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i w:val="0"/>
                <w:iCs w:val="0"/>
                <w:color w:val="000000"/>
                <w:kern w:val="0"/>
                <w:sz w:val="15"/>
                <w:szCs w:val="15"/>
                <w:u w:val="none"/>
                <w:lang w:val="en-US" w:eastAsia="zh-CN" w:bidi="ar"/>
              </w:rPr>
              <w:t>社会效益</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8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政策知晓率</w:t>
            </w:r>
          </w:p>
        </w:tc>
        <w:tc>
          <w:tcPr>
            <w:tcW w:w="53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lang w:val="en-US"/>
              </w:rPr>
            </w:pPr>
            <w:r>
              <w:rPr>
                <w:rFonts w:hint="eastAsia" w:ascii="Arial" w:hAnsi="Arial" w:cs="Arial"/>
                <w:i w:val="0"/>
                <w:iCs w:val="0"/>
                <w:color w:val="000000"/>
                <w:kern w:val="0"/>
                <w:sz w:val="15"/>
                <w:szCs w:val="15"/>
                <w:u w:val="none"/>
                <w:lang w:val="en-US" w:eastAsia="zh-CN" w:bidi="ar"/>
              </w:rPr>
              <w:t>10</w:t>
            </w:r>
          </w:p>
        </w:tc>
        <w:tc>
          <w:tcPr>
            <w:tcW w:w="605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ascii="宋体" w:hAnsi="宋体" w:eastAsia="宋体" w:cs="宋体"/>
                <w:b/>
                <w:bCs/>
                <w:i w:val="0"/>
                <w:iCs w:val="0"/>
                <w:color w:val="000000"/>
                <w:kern w:val="0"/>
                <w:sz w:val="15"/>
                <w:szCs w:val="15"/>
                <w:u w:val="none"/>
                <w:lang w:val="en-US" w:eastAsia="zh-CN" w:bidi="ar"/>
              </w:rPr>
              <w:t>指标解释：</w:t>
            </w:r>
            <w:r>
              <w:rPr>
                <w:rFonts w:hint="eastAsia" w:ascii="宋体" w:hAnsi="宋体" w:eastAsia="宋体" w:cs="宋体"/>
                <w:i w:val="0"/>
                <w:iCs w:val="0"/>
                <w:color w:val="000000"/>
                <w:kern w:val="0"/>
                <w:sz w:val="15"/>
                <w:szCs w:val="15"/>
                <w:u w:val="none"/>
                <w:lang w:val="en-US" w:eastAsia="zh-CN" w:bidi="ar"/>
              </w:rPr>
              <w:t>服务对象知晓政策人次与总人次比率，用以反映和考核补助政策 宣传效果情况。</w:t>
            </w:r>
          </w:p>
          <w:p>
            <w:pPr>
              <w:keepNext w:val="0"/>
              <w:keepLines w:val="0"/>
              <w:widowControl/>
              <w:suppressLineNumbers w:val="0"/>
              <w:jc w:val="left"/>
              <w:textAlignment w:val="center"/>
              <w:rPr>
                <w:rFonts w:ascii="宋体" w:hAnsi="宋体" w:eastAsia="宋体" w:cs="宋体"/>
                <w:b/>
                <w:bCs/>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政策知晓率=(调研样本知晓政策人次数/调研样本总人次数)×100%。</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得分=政策知晓率*标准分，超过标准分按照标准分计。</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lang w:val="en-US"/>
              </w:rPr>
            </w:pPr>
            <w:r>
              <w:rPr>
                <w:rFonts w:hint="eastAsia" w:ascii="Arial" w:hAnsi="Arial" w:cs="Arial"/>
                <w:i w:val="0"/>
                <w:iCs w:val="0"/>
                <w:color w:val="000000"/>
                <w:kern w:val="0"/>
                <w:sz w:val="15"/>
                <w:szCs w:val="15"/>
                <w:u w:val="none"/>
                <w:lang w:val="en-US" w:eastAsia="zh-CN" w:bidi="ar"/>
              </w:rPr>
              <w:t>6.67</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sz w:val="15"/>
                <w:szCs w:val="15"/>
                <w:u w:val="none"/>
              </w:rPr>
              <w:t>根据调查问卷统计情况，政策知晓率为66.67%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80" w:hRule="atLeast"/>
          <w:jc w:val="cent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15"/>
                <w:szCs w:val="15"/>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满意度</w:t>
            </w:r>
          </w:p>
        </w:tc>
        <w:tc>
          <w:tcPr>
            <w:tcW w:w="527"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Arial" w:hAnsi="Arial" w:cs="Arial"/>
                <w:i w:val="0"/>
                <w:iCs w:val="0"/>
                <w:color w:val="000000"/>
                <w:sz w:val="15"/>
                <w:szCs w:val="15"/>
                <w:u w:val="none"/>
              </w:rPr>
            </w:pPr>
          </w:p>
        </w:tc>
        <w:tc>
          <w:tcPr>
            <w:tcW w:w="855"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服务对象满意度</w:t>
            </w:r>
          </w:p>
        </w:tc>
        <w:tc>
          <w:tcPr>
            <w:tcW w:w="539"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lang w:val="en-US"/>
              </w:rPr>
            </w:pPr>
            <w:r>
              <w:rPr>
                <w:rFonts w:hint="eastAsia" w:ascii="Arial" w:hAnsi="Arial" w:cs="Arial"/>
                <w:i w:val="0"/>
                <w:iCs w:val="0"/>
                <w:color w:val="000000"/>
                <w:kern w:val="0"/>
                <w:sz w:val="15"/>
                <w:szCs w:val="15"/>
                <w:u w:val="none"/>
                <w:lang w:val="en-US" w:eastAsia="zh-CN" w:bidi="ar"/>
              </w:rPr>
              <w:t>10</w:t>
            </w:r>
          </w:p>
        </w:tc>
        <w:tc>
          <w:tcPr>
            <w:tcW w:w="605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15"/>
                <w:szCs w:val="15"/>
                <w:u w:val="none"/>
                <w:lang w:val="en-US" w:eastAsia="zh-CN" w:bidi="ar"/>
              </w:rPr>
            </w:pPr>
            <w:r>
              <w:rPr>
                <w:rFonts w:hint="eastAsia" w:ascii="宋体" w:hAnsi="宋体" w:eastAsia="宋体" w:cs="宋体"/>
                <w:b/>
                <w:bCs/>
                <w:i w:val="0"/>
                <w:iCs w:val="0"/>
                <w:color w:val="000000"/>
                <w:kern w:val="0"/>
                <w:sz w:val="15"/>
                <w:szCs w:val="15"/>
                <w:u w:val="none"/>
                <w:lang w:val="en-US" w:eastAsia="zh-CN" w:bidi="ar"/>
              </w:rPr>
              <w:t>指标解释：</w:t>
            </w:r>
            <w:r>
              <w:rPr>
                <w:rFonts w:hint="eastAsia" w:ascii="宋体" w:hAnsi="宋体" w:eastAsia="宋体" w:cs="宋体"/>
                <w:b w:val="0"/>
                <w:bCs w:val="0"/>
                <w:i w:val="0"/>
                <w:iCs w:val="0"/>
                <w:color w:val="000000"/>
                <w:kern w:val="0"/>
                <w:sz w:val="15"/>
                <w:szCs w:val="15"/>
                <w:u w:val="none"/>
                <w:lang w:val="en-US" w:eastAsia="zh-CN" w:bidi="ar"/>
              </w:rPr>
              <w:t>社会公众或服务对象对项目实施效果的满意程度。社会公众或服务对象是指因该项目实施而受到影响的部门(单位)、群体或个人。一般采取社会调查的方式。</w:t>
            </w:r>
          </w:p>
          <w:p>
            <w:pPr>
              <w:keepNext w:val="0"/>
              <w:keepLines w:val="0"/>
              <w:widowControl/>
              <w:suppressLineNumbers w:val="0"/>
              <w:jc w:val="left"/>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评价要点：</w:t>
            </w:r>
            <w:r>
              <w:rPr>
                <w:rFonts w:hint="eastAsia" w:ascii="宋体" w:hAnsi="宋体" w:eastAsia="宋体" w:cs="宋体"/>
                <w:b w:val="0"/>
                <w:bCs w:val="0"/>
                <w:i w:val="0"/>
                <w:iCs w:val="0"/>
                <w:color w:val="000000"/>
                <w:kern w:val="0"/>
                <w:sz w:val="15"/>
                <w:szCs w:val="15"/>
                <w:u w:val="none"/>
                <w:lang w:val="en-US" w:eastAsia="zh-CN" w:bidi="ar"/>
              </w:rPr>
              <w:t>评价社会公众或服务对象对项目实施的满意度程度。</w:t>
            </w:r>
          </w:p>
        </w:tc>
        <w:tc>
          <w:tcPr>
            <w:tcW w:w="415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得分=社会调查服务对象满意度/计划满意度*标准分，超过标准分以标准分计。</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lang w:val="en-US"/>
              </w:rPr>
            </w:pPr>
            <w:r>
              <w:rPr>
                <w:rFonts w:hint="eastAsia" w:ascii="Arial" w:hAnsi="Arial" w:cs="Arial"/>
                <w:i w:val="0"/>
                <w:iCs w:val="0"/>
                <w:color w:val="000000"/>
                <w:kern w:val="0"/>
                <w:sz w:val="15"/>
                <w:szCs w:val="15"/>
                <w:u w:val="none"/>
                <w:lang w:val="en-US" w:eastAsia="zh-CN" w:bidi="ar"/>
              </w:rPr>
              <w:t>9.52</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sz w:val="15"/>
                <w:szCs w:val="15"/>
                <w:u w:val="none"/>
              </w:rPr>
              <w:t>根据调查问卷统计情况，补助对象满意率为9</w:t>
            </w:r>
            <w:r>
              <w:rPr>
                <w:rFonts w:hint="eastAsia" w:ascii="宋体" w:hAnsi="宋体" w:cs="宋体"/>
                <w:i w:val="0"/>
                <w:iCs w:val="0"/>
                <w:color w:val="000000"/>
                <w:sz w:val="15"/>
                <w:szCs w:val="15"/>
                <w:u w:val="none"/>
                <w:lang w:val="en-US" w:eastAsia="zh-CN"/>
              </w:rPr>
              <w:t>5.24</w:t>
            </w:r>
            <w:r>
              <w:rPr>
                <w:rFonts w:hint="eastAsia" w:ascii="宋体" w:hAnsi="宋体" w:eastAsia="宋体" w:cs="宋体"/>
                <w:i w:val="0"/>
                <w:iCs w:val="0"/>
                <w:color w:val="000000"/>
                <w:sz w:val="15"/>
                <w:szCs w:val="15"/>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3" w:hRule="atLeast"/>
          <w:jc w:val="center"/>
        </w:trPr>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合计</w:t>
            </w: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color w:val="000000"/>
                <w:kern w:val="0"/>
                <w:sz w:val="15"/>
                <w:szCs w:val="15"/>
                <w:u w:val="none"/>
                <w:lang w:val="en-US" w:eastAsia="zh-CN" w:bidi="ar"/>
              </w:rPr>
              <w:t>100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100</w:t>
            </w:r>
          </w:p>
        </w:tc>
        <w:tc>
          <w:tcPr>
            <w:tcW w:w="6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b/>
                <w:bCs/>
                <w:i w:val="0"/>
                <w:iCs w:val="0"/>
                <w:color w:val="000000"/>
                <w:sz w:val="15"/>
                <w:szCs w:val="15"/>
                <w:u w:val="none"/>
                <w:lang w:val="en-US"/>
              </w:rPr>
            </w:pPr>
            <w:r>
              <w:rPr>
                <w:rFonts w:hint="eastAsia" w:ascii="Arial" w:hAnsi="Arial" w:cs="Arial"/>
                <w:b/>
                <w:bCs/>
                <w:i w:val="0"/>
                <w:iCs w:val="0"/>
                <w:color w:val="000000"/>
                <w:kern w:val="0"/>
                <w:sz w:val="15"/>
                <w:szCs w:val="15"/>
                <w:u w:val="none"/>
                <w:lang w:val="en-US" w:eastAsia="zh-CN" w:bidi="ar"/>
              </w:rPr>
              <w:t>90.29</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w:t>
            </w:r>
          </w:p>
        </w:tc>
      </w:tr>
    </w:tbl>
    <w:p>
      <w:pPr>
        <w:pStyle w:val="5"/>
        <w:ind w:left="0" w:leftChars="0" w:firstLine="0" w:firstLineChars="0"/>
        <w:jc w:val="both"/>
      </w:pPr>
    </w:p>
    <w:p/>
    <w:p/>
    <w:p/>
    <w:p/>
    <w:p>
      <w:pPr>
        <w:sectPr>
          <w:footerReference r:id="rId7" w:type="default"/>
          <w:pgSz w:w="16838" w:h="11906" w:orient="landscape"/>
          <w:pgMar w:top="1587" w:right="2098" w:bottom="1474" w:left="1984" w:header="851" w:footer="992" w:gutter="0"/>
          <w:pgNumType w:fmt="decimal"/>
          <w:cols w:space="0" w:num="1"/>
          <w:docGrid w:type="lines" w:linePitch="312" w:charSpace="0"/>
        </w:sectPr>
      </w:pPr>
    </w:p>
    <w:p>
      <w:pPr>
        <w:pStyle w:val="8"/>
        <w:rPr>
          <w:rFonts w:hint="eastAsia" w:ascii="仿宋" w:hAnsi="仿宋" w:eastAsia="仿宋" w:cs="仿宋"/>
          <w:spacing w:val="0"/>
          <w:w w:val="100"/>
          <w:kern w:val="2"/>
          <w:position w:val="0"/>
          <w:sz w:val="32"/>
          <w:szCs w:val="32"/>
          <w:highlight w:val="none"/>
          <w:lang w:val="en-US" w:eastAsia="zh-CN"/>
        </w:rPr>
      </w:pPr>
      <w:r>
        <w:rPr>
          <w:rFonts w:hint="eastAsia"/>
          <w:lang w:val="en-US" w:eastAsia="zh-CN"/>
        </w:rPr>
        <w:t xml:space="preserve">附件2 </w:t>
      </w:r>
      <w:r>
        <w:rPr>
          <w:rFonts w:hint="eastAsia" w:ascii="仿宋" w:hAnsi="仿宋" w:eastAsia="仿宋" w:cs="仿宋"/>
          <w:spacing w:val="0"/>
          <w:w w:val="100"/>
          <w:kern w:val="2"/>
          <w:position w:val="0"/>
          <w:sz w:val="32"/>
          <w:szCs w:val="32"/>
          <w:highlight w:val="none"/>
          <w:lang w:val="en-US" w:eastAsia="zh-CN"/>
        </w:rPr>
        <w:t>评价机构营业执照</w:t>
      </w:r>
    </w:p>
    <w:p>
      <w:r>
        <w:rPr>
          <w:rFonts w:hint="eastAsia" w:ascii="仿宋" w:hAnsi="仿宋" w:eastAsia="仿宋" w:cs="仿宋"/>
          <w:spacing w:val="0"/>
          <w:w w:val="100"/>
          <w:kern w:val="2"/>
          <w:position w:val="0"/>
          <w:sz w:val="32"/>
          <w:szCs w:val="32"/>
          <w:highlight w:val="none"/>
          <w:lang w:val="en-US" w:eastAsia="zh-CN"/>
        </w:rPr>
        <w:drawing>
          <wp:anchor distT="0" distB="0" distL="114300" distR="114300" simplePos="0" relativeHeight="251663360" behindDoc="1" locked="0" layoutInCell="1" allowOverlap="1">
            <wp:simplePos x="0" y="0"/>
            <wp:positionH relativeFrom="column">
              <wp:posOffset>464820</wp:posOffset>
            </wp:positionH>
            <wp:positionV relativeFrom="paragraph">
              <wp:posOffset>10795</wp:posOffset>
            </wp:positionV>
            <wp:extent cx="7272655" cy="5240655"/>
            <wp:effectExtent l="0" t="0" r="4445" b="17145"/>
            <wp:wrapNone/>
            <wp:docPr id="2" name="图片 2" descr="93300532-6929-443a-9a29-c50b0c56a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3300532-6929-443a-9a29-c50b0c56a8f7"/>
                    <pic:cNvPicPr>
                      <a:picLocks noChangeAspect="1"/>
                    </pic:cNvPicPr>
                  </pic:nvPicPr>
                  <pic:blipFill>
                    <a:blip r:embed="rId14"/>
                    <a:stretch>
                      <a:fillRect/>
                    </a:stretch>
                  </pic:blipFill>
                  <pic:spPr>
                    <a:xfrm>
                      <a:off x="0" y="0"/>
                      <a:ext cx="7272655" cy="5240655"/>
                    </a:xfrm>
                    <a:prstGeom prst="rect">
                      <a:avLst/>
                    </a:prstGeom>
                  </pic:spPr>
                </pic:pic>
              </a:graphicData>
            </a:graphic>
          </wp:anchor>
        </w:drawing>
      </w:r>
    </w:p>
    <w:p/>
    <w:p/>
    <w:p/>
    <w:p/>
    <w:p/>
    <w:p/>
    <w:p/>
    <w:p/>
    <w:p/>
    <w:p/>
    <w:p/>
    <w:p/>
    <w:p/>
    <w:p>
      <w:pPr>
        <w:sectPr>
          <w:pgSz w:w="16838" w:h="11906" w:orient="landscape"/>
          <w:pgMar w:top="1587" w:right="2098" w:bottom="1474" w:left="1984" w:header="851" w:footer="992" w:gutter="0"/>
          <w:pgNumType w:fmt="decimal"/>
          <w:cols w:space="0" w:num="1"/>
          <w:docGrid w:type="lines" w:linePitch="312" w:charSpace="0"/>
        </w:sect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r>
        <w:rPr>
          <w:rFonts w:hint="eastAsia" w:ascii="仿宋" w:hAnsi="仿宋" w:eastAsia="仿宋" w:cs="仿宋"/>
          <w:bCs/>
          <w:color w:val="auto"/>
          <w:sz w:val="44"/>
          <w:szCs w:val="44"/>
          <w:highlight w:val="none"/>
          <w:lang w:val="en-US" w:eastAsia="zh-CN"/>
        </w:rPr>
        <w:t>2024年度基本公共卫生服务资金</w:t>
      </w:r>
    </w:p>
    <w:p>
      <w:pPr>
        <w:jc w:val="center"/>
        <w:rPr>
          <w:rFonts w:hint="eastAsia" w:ascii="仿宋" w:hAnsi="仿宋" w:eastAsia="仿宋" w:cs="仿宋"/>
          <w:bCs/>
          <w:color w:val="auto"/>
          <w:sz w:val="44"/>
          <w:szCs w:val="44"/>
          <w:highlight w:val="none"/>
          <w:lang w:val="en-US" w:eastAsia="zh-CN"/>
        </w:rPr>
      </w:pPr>
      <w:r>
        <w:rPr>
          <w:rFonts w:hint="eastAsia" w:ascii="仿宋" w:hAnsi="仿宋" w:eastAsia="仿宋" w:cs="仿宋"/>
          <w:bCs/>
          <w:color w:val="auto"/>
          <w:sz w:val="44"/>
          <w:szCs w:val="44"/>
          <w:highlight w:val="none"/>
          <w:lang w:val="en-US" w:eastAsia="zh-CN"/>
        </w:rPr>
        <w:t>及妇女“两癌”筛查项目</w:t>
      </w:r>
    </w:p>
    <w:p>
      <w:pPr>
        <w:jc w:val="center"/>
        <w:rPr>
          <w:rFonts w:hint="eastAsia" w:ascii="仿宋" w:hAnsi="仿宋" w:eastAsia="仿宋" w:cs="仿宋"/>
          <w:bCs/>
          <w:color w:val="auto"/>
          <w:sz w:val="44"/>
          <w:szCs w:val="44"/>
          <w:highlight w:val="none"/>
          <w:lang w:val="en-US" w:eastAsia="zh-CN"/>
        </w:rPr>
      </w:pPr>
      <w:r>
        <w:rPr>
          <w:rFonts w:hint="eastAsia" w:ascii="仿宋" w:hAnsi="仿宋" w:eastAsia="仿宋" w:cs="仿宋"/>
          <w:bCs/>
          <w:color w:val="auto"/>
          <w:sz w:val="44"/>
          <w:szCs w:val="44"/>
          <w:highlight w:val="none"/>
          <w:lang w:val="en-US" w:eastAsia="zh-CN"/>
        </w:rPr>
        <w:t>调查问卷</w:t>
      </w: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rPr>
          <w:rFonts w:hint="eastAsia" w:ascii="仿宋" w:hAnsi="仿宋" w:eastAsia="仿宋" w:cs="仿宋"/>
          <w:bCs/>
          <w:color w:val="auto"/>
          <w:sz w:val="44"/>
          <w:szCs w:val="44"/>
          <w:highlight w:val="none"/>
          <w:lang w:val="en-US" w:eastAsia="zh-CN"/>
        </w:rPr>
      </w:pPr>
    </w:p>
    <w:p>
      <w:pPr>
        <w:jc w:val="center"/>
      </w:pP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27" name="图片 27" descr="PDF合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DF合并_01"/>
                    <pic:cNvPicPr>
                      <a:picLocks noChangeAspect="1"/>
                    </pic:cNvPicPr>
                  </pic:nvPicPr>
                  <pic:blipFill>
                    <a:blip r:embed="rId15"/>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26" name="图片 26" descr="PDF合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DF合并_02"/>
                    <pic:cNvPicPr>
                      <a:picLocks noChangeAspect="1"/>
                    </pic:cNvPicPr>
                  </pic:nvPicPr>
                  <pic:blipFill>
                    <a:blip r:embed="rId16"/>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25" name="图片 25" descr="PDF合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DF合并_03"/>
                    <pic:cNvPicPr>
                      <a:picLocks noChangeAspect="1"/>
                    </pic:cNvPicPr>
                  </pic:nvPicPr>
                  <pic:blipFill>
                    <a:blip r:embed="rId17"/>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24" name="图片 24" descr="PDF合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DF合并_04"/>
                    <pic:cNvPicPr>
                      <a:picLocks noChangeAspect="1"/>
                    </pic:cNvPicPr>
                  </pic:nvPicPr>
                  <pic:blipFill>
                    <a:blip r:embed="rId18"/>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23" name="图片 23" descr="PDF合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PDF合并_05"/>
                    <pic:cNvPicPr>
                      <a:picLocks noChangeAspect="1"/>
                    </pic:cNvPicPr>
                  </pic:nvPicPr>
                  <pic:blipFill>
                    <a:blip r:embed="rId19"/>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22" name="图片 22" descr="PDF合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DF合并_06"/>
                    <pic:cNvPicPr>
                      <a:picLocks noChangeAspect="1"/>
                    </pic:cNvPicPr>
                  </pic:nvPicPr>
                  <pic:blipFill>
                    <a:blip r:embed="rId20"/>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21" name="图片 21" descr="PDF合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DF合并_07"/>
                    <pic:cNvPicPr>
                      <a:picLocks noChangeAspect="1"/>
                    </pic:cNvPicPr>
                  </pic:nvPicPr>
                  <pic:blipFill>
                    <a:blip r:embed="rId21"/>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20" name="图片 20" descr="PDF合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DF合并_08"/>
                    <pic:cNvPicPr>
                      <a:picLocks noChangeAspect="1"/>
                    </pic:cNvPicPr>
                  </pic:nvPicPr>
                  <pic:blipFill>
                    <a:blip r:embed="rId22"/>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9" name="图片 19" descr="PDF合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DF合并_09"/>
                    <pic:cNvPicPr>
                      <a:picLocks noChangeAspect="1"/>
                    </pic:cNvPicPr>
                  </pic:nvPicPr>
                  <pic:blipFill>
                    <a:blip r:embed="rId23"/>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8" name="图片 18" descr="PDF合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DF合并_10"/>
                    <pic:cNvPicPr>
                      <a:picLocks noChangeAspect="1"/>
                    </pic:cNvPicPr>
                  </pic:nvPicPr>
                  <pic:blipFill>
                    <a:blip r:embed="rId24"/>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7" name="图片 17" descr="PDF合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DF合并_11"/>
                    <pic:cNvPicPr>
                      <a:picLocks noChangeAspect="1"/>
                    </pic:cNvPicPr>
                  </pic:nvPicPr>
                  <pic:blipFill>
                    <a:blip r:embed="rId25"/>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6" name="图片 16" descr="PDF合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DF合并_12"/>
                    <pic:cNvPicPr>
                      <a:picLocks noChangeAspect="1"/>
                    </pic:cNvPicPr>
                  </pic:nvPicPr>
                  <pic:blipFill>
                    <a:blip r:embed="rId26"/>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5" name="图片 15" descr="PDF合并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DF合并_13"/>
                    <pic:cNvPicPr>
                      <a:picLocks noChangeAspect="1"/>
                    </pic:cNvPicPr>
                  </pic:nvPicPr>
                  <pic:blipFill>
                    <a:blip r:embed="rId27"/>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4" name="图片 14" descr="PDF合并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DF合并_14"/>
                    <pic:cNvPicPr>
                      <a:picLocks noChangeAspect="1"/>
                    </pic:cNvPicPr>
                  </pic:nvPicPr>
                  <pic:blipFill>
                    <a:blip r:embed="rId28"/>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3" name="图片 13" descr="PDF合并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DF合并_15"/>
                    <pic:cNvPicPr>
                      <a:picLocks noChangeAspect="1"/>
                    </pic:cNvPicPr>
                  </pic:nvPicPr>
                  <pic:blipFill>
                    <a:blip r:embed="rId29"/>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2" name="图片 12" descr="PDF合并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DF合并_16"/>
                    <pic:cNvPicPr>
                      <a:picLocks noChangeAspect="1"/>
                    </pic:cNvPicPr>
                  </pic:nvPicPr>
                  <pic:blipFill>
                    <a:blip r:embed="rId30"/>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1" name="图片 11" descr="PDF合并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DF合并_17"/>
                    <pic:cNvPicPr>
                      <a:picLocks noChangeAspect="1"/>
                    </pic:cNvPicPr>
                  </pic:nvPicPr>
                  <pic:blipFill>
                    <a:blip r:embed="rId31"/>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0" name="图片 10" descr="PDF合并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DF合并_18"/>
                    <pic:cNvPicPr>
                      <a:picLocks noChangeAspect="1"/>
                    </pic:cNvPicPr>
                  </pic:nvPicPr>
                  <pic:blipFill>
                    <a:blip r:embed="rId32"/>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9" name="图片 9" descr="PDF合并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DF合并_19"/>
                    <pic:cNvPicPr>
                      <a:picLocks noChangeAspect="1"/>
                    </pic:cNvPicPr>
                  </pic:nvPicPr>
                  <pic:blipFill>
                    <a:blip r:embed="rId33"/>
                    <a:stretch>
                      <a:fillRect/>
                    </a:stretch>
                  </pic:blipFill>
                  <pic:spPr>
                    <a:xfrm>
                      <a:off x="0" y="0"/>
                      <a:ext cx="5594985" cy="7912100"/>
                    </a:xfrm>
                    <a:prstGeom prst="rect">
                      <a:avLst/>
                    </a:prstGeom>
                  </pic:spPr>
                </pic:pic>
              </a:graphicData>
            </a:graphic>
          </wp:inline>
        </w:drawing>
      </w:r>
      <w:r>
        <w:rPr>
          <w:rFonts w:hint="eastAsia" w:ascii="仿宋" w:hAnsi="仿宋" w:eastAsia="仿宋" w:cs="仿宋"/>
          <w:bCs/>
          <w:color w:val="auto"/>
          <w:sz w:val="44"/>
          <w:szCs w:val="44"/>
          <w:highlight w:val="none"/>
          <w:lang w:val="en-US" w:eastAsia="zh-CN"/>
        </w:rPr>
        <w:drawing>
          <wp:inline distT="0" distB="0" distL="114300" distR="114300">
            <wp:extent cx="5594985" cy="7912100"/>
            <wp:effectExtent l="0" t="0" r="5715" b="12700"/>
            <wp:docPr id="1" name="图片 1" descr="PDF合并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DF合并_20"/>
                    <pic:cNvPicPr>
                      <a:picLocks noChangeAspect="1"/>
                    </pic:cNvPicPr>
                  </pic:nvPicPr>
                  <pic:blipFill>
                    <a:blip r:embed="rId34"/>
                    <a:stretch>
                      <a:fillRect/>
                    </a:stretch>
                  </pic:blipFill>
                  <pic:spPr>
                    <a:xfrm>
                      <a:off x="0" y="0"/>
                      <a:ext cx="5594985" cy="7912100"/>
                    </a:xfrm>
                    <a:prstGeom prst="rect">
                      <a:avLst/>
                    </a:prstGeom>
                  </pic:spPr>
                </pic:pic>
              </a:graphicData>
            </a:graphic>
          </wp:inline>
        </w:drawing>
      </w:r>
    </w:p>
    <w:sectPr>
      <w:pgSz w:w="11906" w:h="16838"/>
      <w:pgMar w:top="2098" w:right="1587" w:bottom="2098" w:left="1587"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LOxLC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S4s7EsICAADYBQAADgAAAAAA&#10;AAABACAAAAAfAQAAZHJzL2Uyb0RvYy54bWxQSwUGAAAAAAYABgBZAQAAUwY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7"/>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JSXAWvDAgAA2AUAAA4AAAAA&#10;AAAAAQAgAAAAHwEAAGRycy9lMm9Eb2MueG1sUEsFBgAAAAAGAAYAWQEAAFQG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7"/>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oP8H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MKoP8HDAgAA2AUAAA4AAAAA&#10;AAAAAQAgAAAAHwEAAGRycy9lMm9Eb2MueG1sUEsFBgAAAAAGAAYAWQEAAFQG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BE899A"/>
    <w:multiLevelType w:val="singleLevel"/>
    <w:tmpl w:val="9DBE899A"/>
    <w:lvl w:ilvl="0" w:tentative="0">
      <w:start w:val="2"/>
      <w:numFmt w:val="chineseCounting"/>
      <w:suff w:val="nothing"/>
      <w:lvlText w:val="%1、"/>
      <w:lvlJc w:val="left"/>
      <w:rPr>
        <w:rFonts w:hint="eastAsia"/>
      </w:rPr>
    </w:lvl>
  </w:abstractNum>
  <w:abstractNum w:abstractNumId="1">
    <w:nsid w:val="A83AFD1D"/>
    <w:multiLevelType w:val="singleLevel"/>
    <w:tmpl w:val="A83AFD1D"/>
    <w:lvl w:ilvl="0" w:tentative="0">
      <w:start w:val="1"/>
      <w:numFmt w:val="decimal"/>
      <w:suff w:val="nothing"/>
      <w:lvlText w:val="%1、"/>
      <w:lvlJc w:val="left"/>
    </w:lvl>
  </w:abstractNum>
  <w:abstractNum w:abstractNumId="2">
    <w:nsid w:val="3F8A4674"/>
    <w:multiLevelType w:val="singleLevel"/>
    <w:tmpl w:val="3F8A4674"/>
    <w:lvl w:ilvl="0" w:tentative="0">
      <w:start w:val="2"/>
      <w:numFmt w:val="chineseCounting"/>
      <w:suff w:val="nothing"/>
      <w:lvlText w:val="（%1）"/>
      <w:lvlJc w:val="left"/>
      <w:rPr>
        <w:rFonts w:hint="eastAsia"/>
      </w:rPr>
    </w:lvl>
  </w:abstractNum>
  <w:abstractNum w:abstractNumId="3">
    <w:nsid w:val="4A0ED3E3"/>
    <w:multiLevelType w:val="singleLevel"/>
    <w:tmpl w:val="4A0ED3E3"/>
    <w:lvl w:ilvl="0" w:tentative="0">
      <w:start w:val="1"/>
      <w:numFmt w:val="decimal"/>
      <w:suff w:val="nothing"/>
      <w:lvlText w:val="%1、"/>
      <w:lvlJc w:val="left"/>
    </w:lvl>
  </w:abstractNum>
  <w:abstractNum w:abstractNumId="4">
    <w:nsid w:val="553F8078"/>
    <w:multiLevelType w:val="singleLevel"/>
    <w:tmpl w:val="553F8078"/>
    <w:lvl w:ilvl="0" w:tentative="0">
      <w:start w:val="1"/>
      <w:numFmt w:val="decimal"/>
      <w:suff w:val="nothing"/>
      <w:lvlText w:val="%1、"/>
      <w:lvlJc w:val="left"/>
    </w:lvl>
  </w:abstractNum>
  <w:abstractNum w:abstractNumId="5">
    <w:nsid w:val="5645F67F"/>
    <w:multiLevelType w:val="singleLevel"/>
    <w:tmpl w:val="5645F67F"/>
    <w:lvl w:ilvl="0" w:tentative="0">
      <w:start w:val="1"/>
      <w:numFmt w:val="decimal"/>
      <w:lvlText w:val="(%1)"/>
      <w:lvlJc w:val="left"/>
      <w:pPr>
        <w:tabs>
          <w:tab w:val="left" w:pos="312"/>
        </w:tabs>
      </w:p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BE6CE1"/>
    <w:rsid w:val="007B77E8"/>
    <w:rsid w:val="00AC110C"/>
    <w:rsid w:val="00BA7CA7"/>
    <w:rsid w:val="03A9642F"/>
    <w:rsid w:val="03CC68E9"/>
    <w:rsid w:val="040D6D41"/>
    <w:rsid w:val="05B747B5"/>
    <w:rsid w:val="06112117"/>
    <w:rsid w:val="06823015"/>
    <w:rsid w:val="070C2530"/>
    <w:rsid w:val="07367A7F"/>
    <w:rsid w:val="08052C30"/>
    <w:rsid w:val="085A1533"/>
    <w:rsid w:val="08BE6CE1"/>
    <w:rsid w:val="09436A8B"/>
    <w:rsid w:val="09547AF8"/>
    <w:rsid w:val="0FE16FFE"/>
    <w:rsid w:val="10973B61"/>
    <w:rsid w:val="11B76268"/>
    <w:rsid w:val="11BA18B5"/>
    <w:rsid w:val="125B4B29"/>
    <w:rsid w:val="13651CF4"/>
    <w:rsid w:val="1494463F"/>
    <w:rsid w:val="159D3D21"/>
    <w:rsid w:val="17147CB9"/>
    <w:rsid w:val="1724245F"/>
    <w:rsid w:val="176F3BD1"/>
    <w:rsid w:val="1773336D"/>
    <w:rsid w:val="17AF6E8C"/>
    <w:rsid w:val="17E86A50"/>
    <w:rsid w:val="190F5F83"/>
    <w:rsid w:val="193F500F"/>
    <w:rsid w:val="198D5B01"/>
    <w:rsid w:val="19E677E8"/>
    <w:rsid w:val="1B09267D"/>
    <w:rsid w:val="1DD45AAC"/>
    <w:rsid w:val="1E265884"/>
    <w:rsid w:val="1F6F0182"/>
    <w:rsid w:val="203B0065"/>
    <w:rsid w:val="20670E5A"/>
    <w:rsid w:val="231F5E4E"/>
    <w:rsid w:val="24172B6C"/>
    <w:rsid w:val="24D665AE"/>
    <w:rsid w:val="26971D6D"/>
    <w:rsid w:val="288307FB"/>
    <w:rsid w:val="28E31299"/>
    <w:rsid w:val="28F6721F"/>
    <w:rsid w:val="297E0FC2"/>
    <w:rsid w:val="2B4F3221"/>
    <w:rsid w:val="2C31308C"/>
    <w:rsid w:val="2CCF04B2"/>
    <w:rsid w:val="2CF00429"/>
    <w:rsid w:val="2EA72D69"/>
    <w:rsid w:val="2EAE40F8"/>
    <w:rsid w:val="2FAA2B11"/>
    <w:rsid w:val="323B5EF1"/>
    <w:rsid w:val="328C315E"/>
    <w:rsid w:val="32F81DE5"/>
    <w:rsid w:val="32FF13C6"/>
    <w:rsid w:val="34207846"/>
    <w:rsid w:val="354E3F3E"/>
    <w:rsid w:val="35985AA0"/>
    <w:rsid w:val="35DA3A24"/>
    <w:rsid w:val="369D7C43"/>
    <w:rsid w:val="36D96A36"/>
    <w:rsid w:val="36FD7444"/>
    <w:rsid w:val="394B2DDE"/>
    <w:rsid w:val="39C57535"/>
    <w:rsid w:val="3A670951"/>
    <w:rsid w:val="3B2220F5"/>
    <w:rsid w:val="3B8F3312"/>
    <w:rsid w:val="3B9F54F4"/>
    <w:rsid w:val="3C357C06"/>
    <w:rsid w:val="3C805CC4"/>
    <w:rsid w:val="3D0106F2"/>
    <w:rsid w:val="3D04470C"/>
    <w:rsid w:val="3DC660E6"/>
    <w:rsid w:val="3E1201FF"/>
    <w:rsid w:val="3E285C74"/>
    <w:rsid w:val="3E304B29"/>
    <w:rsid w:val="3EE83100"/>
    <w:rsid w:val="3F78561B"/>
    <w:rsid w:val="3FDF4CAD"/>
    <w:rsid w:val="422229DB"/>
    <w:rsid w:val="425A49B2"/>
    <w:rsid w:val="42F341D1"/>
    <w:rsid w:val="430402E0"/>
    <w:rsid w:val="430F2F5F"/>
    <w:rsid w:val="446759F5"/>
    <w:rsid w:val="462E7BA0"/>
    <w:rsid w:val="475E04CC"/>
    <w:rsid w:val="47C750BC"/>
    <w:rsid w:val="4AFA44F5"/>
    <w:rsid w:val="4C580867"/>
    <w:rsid w:val="4CC96874"/>
    <w:rsid w:val="4CD30AFB"/>
    <w:rsid w:val="4DC36677"/>
    <w:rsid w:val="4E6A0A71"/>
    <w:rsid w:val="4F575459"/>
    <w:rsid w:val="4FB87457"/>
    <w:rsid w:val="50632B3C"/>
    <w:rsid w:val="529E1C09"/>
    <w:rsid w:val="537D3F15"/>
    <w:rsid w:val="53BD20D7"/>
    <w:rsid w:val="54014B46"/>
    <w:rsid w:val="54F10FD7"/>
    <w:rsid w:val="55DD6EED"/>
    <w:rsid w:val="585124BD"/>
    <w:rsid w:val="588C69A8"/>
    <w:rsid w:val="58B654AB"/>
    <w:rsid w:val="5A3A10D3"/>
    <w:rsid w:val="5A8A5655"/>
    <w:rsid w:val="5A990E4C"/>
    <w:rsid w:val="5BE2700B"/>
    <w:rsid w:val="5D415FB3"/>
    <w:rsid w:val="5DAA13C6"/>
    <w:rsid w:val="60007EAA"/>
    <w:rsid w:val="601C6864"/>
    <w:rsid w:val="6038228F"/>
    <w:rsid w:val="61227946"/>
    <w:rsid w:val="62843025"/>
    <w:rsid w:val="64801AB7"/>
    <w:rsid w:val="65053D6A"/>
    <w:rsid w:val="681D13CB"/>
    <w:rsid w:val="68C63810"/>
    <w:rsid w:val="6AC344AB"/>
    <w:rsid w:val="6C0C5F81"/>
    <w:rsid w:val="6C716BA6"/>
    <w:rsid w:val="6D313EE4"/>
    <w:rsid w:val="6D51529D"/>
    <w:rsid w:val="6D9D025D"/>
    <w:rsid w:val="6DAC0B3C"/>
    <w:rsid w:val="6E69536A"/>
    <w:rsid w:val="7082657D"/>
    <w:rsid w:val="710949C4"/>
    <w:rsid w:val="718764FD"/>
    <w:rsid w:val="71BC6597"/>
    <w:rsid w:val="71E52F59"/>
    <w:rsid w:val="720977FD"/>
    <w:rsid w:val="755C0933"/>
    <w:rsid w:val="75614083"/>
    <w:rsid w:val="75D94865"/>
    <w:rsid w:val="76373F9F"/>
    <w:rsid w:val="78591FAB"/>
    <w:rsid w:val="797771D4"/>
    <w:rsid w:val="797B7924"/>
    <w:rsid w:val="7A6A66F1"/>
    <w:rsid w:val="7A715CD2"/>
    <w:rsid w:val="7B6969A9"/>
    <w:rsid w:val="7C63002F"/>
    <w:rsid w:val="7C642A9F"/>
    <w:rsid w:val="7CC61BD9"/>
    <w:rsid w:val="7D4508A4"/>
    <w:rsid w:val="7E1A2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next w:val="4"/>
    <w:qFormat/>
    <w:uiPriority w:val="0"/>
    <w:pPr>
      <w:spacing w:after="120"/>
    </w:pPr>
  </w:style>
  <w:style w:type="paragraph" w:styleId="4">
    <w:name w:val="header"/>
    <w:basedOn w:val="1"/>
    <w:next w:val="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5">
    <w:name w:val="Quote"/>
    <w:basedOn w:val="1"/>
    <w:next w:val="1"/>
    <w:qFormat/>
    <w:uiPriority w:val="0"/>
    <w:pPr>
      <w:ind w:left="864" w:right="864"/>
      <w:jc w:val="center"/>
    </w:pPr>
    <w:rPr>
      <w:i/>
      <w:iCs/>
      <w:color w:val="000000"/>
    </w:rPr>
  </w:style>
  <w:style w:type="paragraph" w:styleId="6">
    <w:name w:val="Body Text Indent"/>
    <w:basedOn w:val="1"/>
    <w:semiHidden/>
    <w:unhideWhenUsed/>
    <w:qFormat/>
    <w:uiPriority w:val="99"/>
    <w:pPr>
      <w:spacing w:after="12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Body Text First Indent 2"/>
    <w:basedOn w:val="6"/>
    <w:next w:val="1"/>
    <w:unhideWhenUsed/>
    <w:qFormat/>
    <w:uiPriority w:val="99"/>
    <w:pPr>
      <w:spacing w:after="200" w:line="360" w:lineRule="auto"/>
      <w:ind w:left="0" w:leftChars="0" w:firstLine="420" w:firstLineChars="200"/>
    </w:pPr>
    <w:rPr>
      <w:rFonts w:ascii="仿宋_GB2312" w:hAnsi="华文楷体" w:eastAsia="仿宋_GB2312"/>
      <w:color w:val="000000"/>
      <w:sz w:val="32"/>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 w:type="paragraph" w:customStyle="1" w:styleId="13">
    <w:name w:val="WPSOffice手动目录 3"/>
    <w:qFormat/>
    <w:uiPriority w:val="0"/>
    <w:pPr>
      <w:ind w:leftChars="400"/>
    </w:pPr>
    <w:rPr>
      <w:rFonts w:ascii="Times New Roman" w:hAnsi="Times New Roman" w:eastAsia="宋体" w:cs="Times New Roman"/>
      <w:sz w:val="20"/>
      <w:szCs w:val="20"/>
    </w:rPr>
  </w:style>
  <w:style w:type="table" w:customStyle="1" w:styleId="14">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11525</Words>
  <Characters>12347</Characters>
  <Lines>0</Lines>
  <Paragraphs>0</Paragraphs>
  <TotalTime>16</TotalTime>
  <ScaleCrop>false</ScaleCrop>
  <LinksUpToDate>false</LinksUpToDate>
  <CharactersWithSpaces>12418</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2026-01-16T01:41:00Z</dcterms:created>
  <dc:creator>似水流年</dc:creator>
  <cp:lastModifiedBy>乔乔。</cp:lastModifiedBy>
  <cp:lastPrinted>2026-01-29T06:26:00Z</cp:lastPrinted>
  <dcterms:modified xsi:type="dcterms:W3CDTF">2026-03-17T02:29:09Z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4ED6D18726CA46D4A2C004B2BF0C0B60_13</vt:lpwstr>
  </property>
  <property fmtid="{D5CDD505-2E9C-101B-9397-08002B2CF9AE}" pid="4" name="KSOTemplateDocerSaveRecord">
    <vt:lpwstr>eyJoZGlkIjoiMjkzMWNhYTFmZDlkMjBkMmQxOTUxNzA4NTg4YzljYzIiLCJ1c2VySWQiOiI3NzM1MjE1NTYifQ==</vt:lpwstr>
  </property>
</Properties>
</file>