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eastAsia="zh-CN"/>
        </w:rPr>
        <w:t>附件</w:t>
      </w:r>
      <w:r>
        <w:rPr>
          <w:rFonts w:hint="eastAsia" w:ascii="宋体" w:hAnsi="宋体" w:eastAsia="宋体" w:cs="宋体"/>
          <w:b w:val="0"/>
          <w:bCs w:val="0"/>
          <w:kern w:val="0"/>
          <w:sz w:val="28"/>
          <w:szCs w:val="28"/>
          <w:lang w:val="en-US" w:eastAsia="zh-CN"/>
        </w:rPr>
        <w:t>2</w:t>
      </w:r>
    </w:p>
    <w:p>
      <w:pPr>
        <w:widowControl/>
        <w:jc w:val="center"/>
        <w:rPr>
          <w:rFonts w:hint="eastAsia" w:ascii="宋体" w:hAnsi="宋体" w:eastAsia="宋体" w:cs="宋体"/>
          <w:b/>
          <w:bCs/>
          <w:kern w:val="0"/>
          <w:sz w:val="44"/>
          <w:szCs w:val="44"/>
          <w:lang w:eastAsia="zh-CN"/>
        </w:rPr>
      </w:pPr>
      <w:r>
        <w:rPr>
          <w:rFonts w:hint="eastAsia" w:ascii="宋体" w:hAnsi="宋体" w:eastAsia="宋体" w:cs="宋体"/>
          <w:b/>
          <w:bCs/>
          <w:kern w:val="0"/>
          <w:sz w:val="44"/>
          <w:szCs w:val="44"/>
          <w:lang w:eastAsia="zh-CN"/>
        </w:rPr>
        <w:t>巨鹿</w:t>
      </w:r>
      <w:r>
        <w:rPr>
          <w:rFonts w:hint="eastAsia" w:ascii="宋体" w:hAnsi="宋体" w:eastAsia="宋体" w:cs="宋体"/>
          <w:b/>
          <w:bCs/>
          <w:kern w:val="0"/>
          <w:sz w:val="44"/>
          <w:szCs w:val="44"/>
        </w:rPr>
        <w:t>县</w:t>
      </w:r>
      <w:r>
        <w:rPr>
          <w:rFonts w:hint="eastAsia" w:ascii="宋体" w:hAnsi="宋体" w:eastAsia="宋体" w:cs="宋体"/>
          <w:b/>
          <w:bCs/>
          <w:kern w:val="0"/>
          <w:sz w:val="44"/>
          <w:szCs w:val="44"/>
          <w:lang w:eastAsia="zh-CN"/>
        </w:rPr>
        <w:t>民政局</w:t>
      </w:r>
    </w:p>
    <w:p>
      <w:pPr>
        <w:widowControl/>
        <w:jc w:val="center"/>
        <w:rPr>
          <w:rFonts w:ascii="宋体" w:hAnsi="宋体" w:eastAsia="宋体" w:cs="宋体"/>
          <w:b/>
          <w:bCs/>
          <w:kern w:val="0"/>
          <w:sz w:val="44"/>
          <w:szCs w:val="44"/>
        </w:rPr>
      </w:pPr>
      <w:r>
        <w:rPr>
          <w:rFonts w:hint="eastAsia" w:ascii="宋体" w:hAnsi="宋体" w:eastAsia="宋体" w:cs="宋体"/>
          <w:b/>
          <w:bCs/>
          <w:kern w:val="0"/>
          <w:sz w:val="44"/>
          <w:szCs w:val="44"/>
        </w:rPr>
        <w:t>2021年</w:t>
      </w:r>
      <w:r>
        <w:rPr>
          <w:rFonts w:hint="eastAsia" w:ascii="宋体" w:hAnsi="宋体" w:eastAsia="宋体" w:cs="宋体"/>
          <w:b/>
          <w:bCs/>
          <w:kern w:val="0"/>
          <w:sz w:val="44"/>
          <w:szCs w:val="44"/>
          <w:lang w:eastAsia="zh-CN"/>
        </w:rPr>
        <w:t>养老服务体系建设项目</w:t>
      </w:r>
      <w:r>
        <w:rPr>
          <w:rFonts w:hint="eastAsia" w:ascii="宋体" w:hAnsi="宋体" w:eastAsia="宋体" w:cs="宋体"/>
          <w:b/>
          <w:bCs/>
          <w:kern w:val="0"/>
          <w:sz w:val="44"/>
          <w:szCs w:val="44"/>
        </w:rPr>
        <w:t>绩效评价</w:t>
      </w:r>
    </w:p>
    <w:p>
      <w:pPr>
        <w:widowControl/>
        <w:jc w:val="center"/>
        <w:rPr>
          <w:rFonts w:ascii="宋体" w:hAnsi="宋体" w:eastAsia="宋体" w:cs="宋体"/>
          <w:b/>
          <w:bCs/>
          <w:kern w:val="0"/>
          <w:sz w:val="44"/>
          <w:szCs w:val="44"/>
        </w:rPr>
      </w:pPr>
      <w:r>
        <w:rPr>
          <w:rFonts w:hint="eastAsia" w:ascii="宋体" w:hAnsi="宋体" w:eastAsia="宋体" w:cs="宋体"/>
          <w:b/>
          <w:bCs/>
          <w:kern w:val="0"/>
          <w:sz w:val="44"/>
          <w:szCs w:val="44"/>
        </w:rPr>
        <w:t>自评报告</w:t>
      </w:r>
    </w:p>
    <w:p>
      <w:pPr>
        <w:widowControl/>
        <w:rPr>
          <w:rFonts w:ascii="黑体" w:hAnsi="黑体" w:eastAsia="黑体" w:cs="宋体"/>
          <w:b/>
          <w:bCs/>
          <w:kern w:val="0"/>
          <w:sz w:val="44"/>
          <w:szCs w:val="44"/>
        </w:rPr>
      </w:pPr>
    </w:p>
    <w:p>
      <w:pPr>
        <w:pStyle w:val="18"/>
        <w:widowControl/>
        <w:numPr>
          <w:ilvl w:val="0"/>
          <w:numId w:val="1"/>
        </w:numPr>
        <w:ind w:firstLineChars="0"/>
        <w:rPr>
          <w:rFonts w:ascii="黑体" w:hAnsi="黑体" w:eastAsia="黑体" w:cs="宋体"/>
          <w:b/>
          <w:bCs/>
          <w:kern w:val="0"/>
          <w:sz w:val="32"/>
          <w:szCs w:val="32"/>
        </w:rPr>
      </w:pPr>
      <w:r>
        <w:rPr>
          <w:rFonts w:hint="eastAsia" w:ascii="黑体" w:hAnsi="黑体" w:eastAsia="黑体" w:cs="宋体"/>
          <w:b/>
          <w:bCs/>
          <w:kern w:val="0"/>
          <w:sz w:val="32"/>
          <w:szCs w:val="32"/>
        </w:rPr>
        <w:t>项目概况</w:t>
      </w:r>
    </w:p>
    <w:p>
      <w:pPr>
        <w:widowControl/>
        <w:rPr>
          <w:rFonts w:ascii="仿宋" w:hAnsi="仿宋" w:eastAsia="仿宋" w:cs="宋体"/>
          <w:kern w:val="0"/>
          <w:sz w:val="32"/>
          <w:szCs w:val="32"/>
        </w:rPr>
      </w:pPr>
      <w:r>
        <w:rPr>
          <w:rFonts w:hint="eastAsia" w:cs="宋体" w:asciiTheme="minorEastAsia" w:hAnsiTheme="minorEastAsia"/>
          <w:kern w:val="0"/>
          <w:sz w:val="32"/>
          <w:szCs w:val="32"/>
        </w:rPr>
        <w:t xml:space="preserve">  （</w:t>
      </w:r>
      <w:r>
        <w:rPr>
          <w:rFonts w:hint="eastAsia" w:ascii="仿宋" w:hAnsi="仿宋" w:eastAsia="仿宋" w:cs="宋体"/>
          <w:kern w:val="0"/>
          <w:sz w:val="32"/>
          <w:szCs w:val="32"/>
        </w:rPr>
        <w:t>一）政府战略规划或目标。</w:t>
      </w:r>
    </w:p>
    <w:p>
      <w:pPr>
        <w:keepNext w:val="0"/>
        <w:keepLines w:val="0"/>
        <w:widowControl w:val="0"/>
        <w:suppressLineNumbers w:val="0"/>
        <w:spacing w:before="0" w:beforeAutospacing="0" w:after="0" w:afterAutospacing="0" w:line="540" w:lineRule="exact"/>
        <w:ind w:left="0" w:right="0" w:firstLine="640" w:firstLineChars="200"/>
        <w:jc w:val="both"/>
        <w:rPr>
          <w:rFonts w:hint="eastAsia" w:ascii="仿宋" w:hAnsi="仿宋" w:eastAsia="仿宋" w:cs="仿宋"/>
          <w:sz w:val="32"/>
          <w:szCs w:val="32"/>
          <w:lang w:val="en-US"/>
        </w:rPr>
      </w:pPr>
      <w:r>
        <w:rPr>
          <w:rFonts w:hint="eastAsia" w:ascii="仿宋" w:hAnsi="仿宋" w:eastAsia="仿宋" w:cs="宋体"/>
          <w:kern w:val="0"/>
          <w:sz w:val="32"/>
          <w:szCs w:val="32"/>
        </w:rPr>
        <w:t xml:space="preserve">  </w:t>
      </w:r>
      <w:r>
        <w:rPr>
          <w:rFonts w:hint="eastAsia" w:ascii="仿宋" w:hAnsi="仿宋" w:eastAsia="仿宋" w:cs="仿宋"/>
          <w:kern w:val="2"/>
          <w:sz w:val="32"/>
          <w:szCs w:val="32"/>
          <w:lang w:val="en-US" w:eastAsia="zh-CN" w:bidi="ar"/>
        </w:rPr>
        <w:t>按照省财政厅、民政厅和市财政局、民政局要求，巨鹿县民政局与财政局，分别对我县2021年养老服务体系建设工作活动联合开展了绩效评价，全面评价了我县2021年开展城乡养老服务体系建设的情况，包括养老服务体系建设完成目标任务情况、补贴资金收入、支出和结余情况等。</w:t>
      </w:r>
    </w:p>
    <w:p>
      <w:pPr>
        <w:widowControl/>
        <w:rPr>
          <w:rFonts w:ascii="仿宋" w:hAnsi="仿宋" w:eastAsia="仿宋" w:cs="宋体"/>
          <w:kern w:val="0"/>
          <w:sz w:val="32"/>
          <w:szCs w:val="32"/>
        </w:rPr>
      </w:pPr>
      <w:r>
        <w:rPr>
          <w:rFonts w:hint="eastAsia" w:ascii="仿宋" w:hAnsi="仿宋" w:eastAsia="仿宋" w:cs="宋体"/>
          <w:kern w:val="0"/>
          <w:sz w:val="32"/>
          <w:szCs w:val="32"/>
        </w:rPr>
        <w:t>（二）单位工作目标。</w:t>
      </w:r>
    </w:p>
    <w:p>
      <w:pPr>
        <w:keepNext w:val="0"/>
        <w:keepLines w:val="0"/>
        <w:widowControl w:val="0"/>
        <w:suppressLineNumbers w:val="0"/>
        <w:spacing w:before="0" w:beforeAutospacing="0" w:after="0" w:afterAutospacing="0" w:line="540" w:lineRule="exact"/>
        <w:ind w:left="0" w:right="0" w:firstLine="640" w:firstLineChars="200"/>
        <w:jc w:val="both"/>
        <w:rPr>
          <w:rFonts w:hint="eastAsia" w:ascii="仿宋" w:hAnsi="仿宋" w:eastAsia="仿宋" w:cs="仿宋"/>
          <w:sz w:val="32"/>
          <w:szCs w:val="32"/>
          <w:lang w:val="en-US"/>
        </w:rPr>
      </w:pPr>
      <w:r>
        <w:rPr>
          <w:rFonts w:hint="eastAsia" w:ascii="仿宋" w:hAnsi="仿宋" w:eastAsia="仿宋" w:cs="宋体"/>
          <w:kern w:val="0"/>
          <w:sz w:val="32"/>
          <w:szCs w:val="32"/>
        </w:rPr>
        <w:t xml:space="preserve">  </w:t>
      </w:r>
      <w:r>
        <w:rPr>
          <w:rFonts w:hint="eastAsia" w:ascii="仿宋" w:hAnsi="仿宋" w:eastAsia="仿宋" w:cs="楷体_GB2312"/>
          <w:bCs/>
          <w:kern w:val="2"/>
          <w:sz w:val="32"/>
          <w:szCs w:val="32"/>
          <w:lang w:val="en-US" w:eastAsia="zh-CN" w:bidi="ar"/>
        </w:rPr>
        <w:t>依据省民政厅、财政厅有文件要求对我县养老机构一次性建设补贴，按新建、改建、租赁实施每张床位按8000元、3000元、1000元进行奖补，运营补贴按照入住人员每月每人自理100元和失能、半失能300元的标准进行发放。</w:t>
      </w:r>
      <w:r>
        <w:rPr>
          <w:rFonts w:hint="eastAsia" w:ascii="仿宋" w:hAnsi="仿宋" w:eastAsia="仿宋" w:cs="仿宋"/>
          <w:kern w:val="2"/>
          <w:sz w:val="32"/>
          <w:szCs w:val="32"/>
          <w:lang w:val="en-US" w:eastAsia="zh-CN" w:bidi="ar"/>
        </w:rPr>
        <w:t>新建每张床位（每42平方米）给予8000元的床位建设补贴，改建的床位给予3000元的床位建设补贴，租赁的床位给予1000元的床位建设补贴。用于养老院运行补贴，失能半失能老人每人每年3600元，能自理的老人每人每年1200元。用于星级养老补贴，4个二星级养老院，每年20000元，9个一星级养老院，每年10000元。目的是为了解决好经济困难高龄失能半失能老年人生活后顾之忧，让经济困难高龄失能半失能老年人真正得到帮助，实现我县老人老有所养，老有所依，老有所乐，老有所为的目标</w:t>
      </w:r>
    </w:p>
    <w:p>
      <w:pPr>
        <w:widowControl/>
        <w:rPr>
          <w:rFonts w:ascii="仿宋" w:hAnsi="仿宋" w:eastAsia="仿宋" w:cs="宋体"/>
          <w:kern w:val="0"/>
          <w:sz w:val="32"/>
          <w:szCs w:val="32"/>
        </w:rPr>
      </w:pPr>
      <w:r>
        <w:rPr>
          <w:rFonts w:hint="eastAsia" w:ascii="仿宋" w:hAnsi="仿宋" w:eastAsia="仿宋" w:cs="宋体"/>
          <w:kern w:val="0"/>
          <w:sz w:val="32"/>
          <w:szCs w:val="32"/>
        </w:rPr>
        <w:t>（三）工作活动(项目)基本情况。</w:t>
      </w:r>
    </w:p>
    <w:p>
      <w:pPr>
        <w:widowControl/>
        <w:ind w:left="281" w:leftChars="134" w:firstLine="640" w:firstLineChars="200"/>
        <w:rPr>
          <w:rFonts w:ascii="仿宋" w:hAnsi="仿宋" w:eastAsia="仿宋" w:cs="宋体"/>
          <w:kern w:val="0"/>
          <w:sz w:val="32"/>
          <w:szCs w:val="32"/>
        </w:rPr>
      </w:pPr>
      <w:r>
        <w:rPr>
          <w:rFonts w:hint="eastAsia" w:ascii="仿宋" w:hAnsi="仿宋" w:eastAsia="仿宋" w:cs="宋体"/>
          <w:kern w:val="0"/>
          <w:sz w:val="32"/>
          <w:szCs w:val="32"/>
        </w:rPr>
        <w:t>1、工作活动(项目)背景资料。简要说明项目名称、主要内容、主要解决的问题、项目实施依据、资金分配及历年安排情况；</w:t>
      </w:r>
    </w:p>
    <w:p>
      <w:pPr>
        <w:pStyle w:val="4"/>
        <w:keepNext w:val="0"/>
        <w:keepLines w:val="0"/>
        <w:widowControl w:val="0"/>
        <w:suppressLineNumbers w:val="0"/>
        <w:spacing w:before="0" w:beforeAutospacing="0" w:after="0" w:afterAutospacing="0" w:line="540" w:lineRule="exact"/>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为促进养老服务体系建设，我们确定了养老服务体系建设的岗位目标，按要求设置了管理、会计、出纳、审核、督查、信息分析、档案管理、信访咨询、管理等岗位，岗位职责与绩效目标设置明确，特别最细化、量化了岗位职责与绩效目标，明确年度目标与半年目标，具体到每个月要干什么、做什么。增强了工作的操作性。在机制建设上，建立健全并严格执行相关管理制度，落实项目建设目标责任制，规定业务工作由社会福利事务股负责，建设补助资金的拨付与使用则由财务股负责，实行业务与财务两条线制度，确保资金管理规范高效。</w:t>
      </w:r>
    </w:p>
    <w:p>
      <w:pPr>
        <w:widowControl/>
        <w:numPr>
          <w:ilvl w:val="0"/>
          <w:numId w:val="2"/>
        </w:numPr>
        <w:ind w:left="319" w:leftChars="152"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工作活动(项目)的可行性、必要性、有效性及其论证过程。</w:t>
      </w:r>
    </w:p>
    <w:p>
      <w:pPr>
        <w:pStyle w:val="4"/>
        <w:keepNext w:val="0"/>
        <w:keepLines w:val="0"/>
        <w:widowControl w:val="0"/>
        <w:numPr>
          <w:ilvl w:val="0"/>
          <w:numId w:val="3"/>
        </w:numPr>
        <w:suppressLineNumbers w:val="0"/>
        <w:spacing w:before="0" w:beforeAutospacing="0" w:after="0" w:afterAutospacing="0" w:line="540" w:lineRule="exact"/>
        <w:ind w:left="0" w:right="0" w:firstLine="640" w:firstLineChars="200"/>
        <w:jc w:val="both"/>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扎实推进民生实事项目。深入推进关爱居家困难老年人的服务工作，巨鹿民政智慧中心养老服务拓展至全县各镇，让更多的高龄老人享受政府购买的助老服务，切实提升老 年人的幸福指数，每季度对服务工作进行分析评估，确保财政 资金安全高效地运用到老人服务上。</w:t>
      </w:r>
    </w:p>
    <w:p>
      <w:pPr>
        <w:pStyle w:val="4"/>
        <w:keepNext w:val="0"/>
        <w:keepLines w:val="0"/>
        <w:widowControl w:val="0"/>
        <w:numPr>
          <w:ilvl w:val="0"/>
          <w:numId w:val="3"/>
        </w:numPr>
        <w:suppressLineNumbers w:val="0"/>
        <w:spacing w:before="0" w:beforeAutospacing="0" w:after="0" w:afterAutospacing="0" w:line="540" w:lineRule="exact"/>
        <w:ind w:left="0" w:right="0" w:firstLine="640" w:firstLineChars="200"/>
        <w:jc w:val="both"/>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整合闲置资源，对适合养老的闲置场所，加大扶持和培育社会力量兴办养老机构力度。</w:t>
      </w:r>
    </w:p>
    <w:p>
      <w:pPr>
        <w:pStyle w:val="4"/>
        <w:keepNext w:val="0"/>
        <w:keepLines w:val="0"/>
        <w:widowControl w:val="0"/>
        <w:numPr>
          <w:ilvl w:val="0"/>
          <w:numId w:val="3"/>
        </w:numPr>
        <w:suppressLineNumbers w:val="0"/>
        <w:spacing w:before="0" w:beforeAutospacing="0" w:after="0" w:afterAutospacing="0" w:line="540" w:lineRule="exact"/>
        <w:ind w:left="0" w:right="0" w:firstLine="640" w:firstLineChars="200"/>
        <w:jc w:val="both"/>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进一步加大医养结合型养老机构的建设及体制机制改 革。我们将和县卫健委联合，对有能力的养老机构设立医务室或诊所，实行医保定点和结算。创新“政府引导+市场服务”模式，加快推进公建民营改革，统一引进和培育一批有理念、有能力、有实力的养老机构专业运营团队，推进全县养老机构连 锁化、专业化、品牌化运营，拓展服务功能，提升服务品质，让老人享受有尊严、专业化的养老服务。</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二、工作活动(项目)绩效目标和指标设定情况</w:t>
      </w:r>
    </w:p>
    <w:p>
      <w:pPr>
        <w:widowControl/>
        <w:rPr>
          <w:rFonts w:ascii="仿宋" w:hAnsi="仿宋" w:eastAsia="仿宋" w:cs="宋体"/>
          <w:kern w:val="0"/>
          <w:sz w:val="32"/>
          <w:szCs w:val="32"/>
        </w:rPr>
      </w:pPr>
      <w:r>
        <w:rPr>
          <w:rFonts w:hint="eastAsia" w:ascii="仿宋" w:hAnsi="仿宋" w:eastAsia="仿宋" w:cs="宋体"/>
          <w:kern w:val="0"/>
          <w:sz w:val="32"/>
          <w:szCs w:val="32"/>
        </w:rPr>
        <w:t xml:space="preserve"> （一）工作活动(项目)总目标、年度目标设定情况。</w:t>
      </w:r>
    </w:p>
    <w:p>
      <w:pPr>
        <w:keepNext w:val="0"/>
        <w:keepLines w:val="0"/>
        <w:widowControl w:val="0"/>
        <w:suppressLineNumbers w:val="0"/>
        <w:spacing w:before="0" w:beforeAutospacing="0" w:after="0" w:afterAutospacing="0" w:line="540" w:lineRule="exact"/>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年度绩效目标搞好养老服务体系建设工作，解决好经济困难高龄失能半失能老年人生活后顾之忧。</w:t>
      </w:r>
    </w:p>
    <w:p>
      <w:pPr>
        <w:widowControl/>
        <w:rPr>
          <w:rFonts w:ascii="仿宋" w:hAnsi="仿宋" w:eastAsia="仿宋" w:cs="宋体"/>
          <w:kern w:val="0"/>
          <w:sz w:val="32"/>
          <w:szCs w:val="32"/>
        </w:rPr>
      </w:pPr>
      <w:r>
        <w:rPr>
          <w:rFonts w:hint="eastAsia" w:ascii="仿宋" w:hAnsi="仿宋" w:eastAsia="仿宋" w:cs="宋体"/>
          <w:kern w:val="0"/>
          <w:sz w:val="32"/>
          <w:szCs w:val="32"/>
        </w:rPr>
        <w:t xml:space="preserve"> （二）工作活动(项目)绩效指标设定情况。</w:t>
      </w:r>
    </w:p>
    <w:p>
      <w:pPr>
        <w:keepNext w:val="0"/>
        <w:keepLines w:val="0"/>
        <w:widowControl w:val="0"/>
        <w:suppressLineNumbers w:val="0"/>
        <w:spacing w:before="0" w:beforeAutospacing="0" w:after="0" w:afterAutospacing="0" w:line="540" w:lineRule="exact"/>
        <w:ind w:left="0" w:right="0"/>
        <w:jc w:val="both"/>
        <w:rPr>
          <w:rFonts w:hint="eastAsia" w:ascii="仿宋" w:hAnsi="仿宋" w:eastAsia="仿宋" w:cs="仿宋"/>
          <w:sz w:val="32"/>
          <w:szCs w:val="32"/>
          <w:lang w:val="en-US"/>
        </w:rPr>
      </w:pPr>
      <w:r>
        <w:rPr>
          <w:rFonts w:hint="eastAsia" w:ascii="仿宋" w:hAnsi="仿宋" w:eastAsia="仿宋" w:cs="宋体"/>
          <w:kern w:val="0"/>
          <w:sz w:val="32"/>
          <w:szCs w:val="32"/>
        </w:rPr>
        <w:t xml:space="preserve"> </w:t>
      </w:r>
      <w:r>
        <w:rPr>
          <w:rFonts w:hint="eastAsia" w:ascii="仿宋" w:hAnsi="仿宋" w:eastAsia="仿宋" w:cs="宋体"/>
          <w:kern w:val="0"/>
          <w:sz w:val="32"/>
          <w:szCs w:val="32"/>
          <w:lang w:val="en-US" w:eastAsia="zh-CN"/>
        </w:rPr>
        <w:t xml:space="preserve">  </w:t>
      </w:r>
      <w:r>
        <w:rPr>
          <w:rFonts w:hint="eastAsia" w:ascii="仿宋" w:hAnsi="仿宋" w:eastAsia="仿宋" w:cs="仿宋"/>
          <w:kern w:val="2"/>
          <w:sz w:val="32"/>
          <w:szCs w:val="32"/>
          <w:lang w:val="en-US" w:eastAsia="zh-CN" w:bidi="ar"/>
        </w:rPr>
        <w:t>实现我县老人老有所养，老有所依，老有所乐，老有所为的目标。重度失能老人护理补贴制度建立普及率（%）≥90%，扶助资金到位率=100%，经济困难高龄失能半失能老年人保障率（%）=100%，接受补贴对象的满意度（%）≥95%。养老机构奖补数量≥15个，养老机构一次性建设和运营奖补资金发放到位100%，奖补率100%。</w:t>
      </w:r>
      <w:r>
        <w:rPr>
          <w:rFonts w:hint="eastAsia" w:ascii="Times New Roman" w:hAnsi="Times New Roman" w:eastAsia="仿宋_GB2312" w:cs="仿宋_GB2312"/>
          <w:kern w:val="2"/>
          <w:sz w:val="32"/>
          <w:szCs w:val="32"/>
          <w:lang w:val="en-US" w:eastAsia="zh-CN" w:bidi="ar"/>
        </w:rPr>
        <w:t>长期护理险覆盖率</w:t>
      </w:r>
      <w:r>
        <w:rPr>
          <w:rFonts w:hint="default" w:ascii="Times New Roman" w:hAnsi="Times New Roman" w:eastAsia="仿宋_GB2312" w:cs="Times New Roman"/>
          <w:kern w:val="2"/>
          <w:sz w:val="32"/>
          <w:szCs w:val="32"/>
          <w:lang w:val="en-US" w:eastAsia="zh-CN" w:bidi="ar"/>
        </w:rPr>
        <w:t>100%</w:t>
      </w:r>
      <w:r>
        <w:rPr>
          <w:rFonts w:hint="eastAsia" w:ascii="Times New Roman" w:hAnsi="Times New Roman" w:eastAsia="仿宋_GB2312" w:cs="仿宋_GB2312"/>
          <w:kern w:val="2"/>
          <w:sz w:val="32"/>
          <w:szCs w:val="32"/>
          <w:lang w:val="en-US" w:eastAsia="zh-CN" w:bidi="ar"/>
        </w:rPr>
        <w:t>。</w:t>
      </w:r>
    </w:p>
    <w:p>
      <w:pPr>
        <w:widowControl/>
        <w:rPr>
          <w:rFonts w:ascii="仿宋" w:hAnsi="仿宋" w:eastAsia="仿宋" w:cs="宋体"/>
          <w:kern w:val="0"/>
          <w:sz w:val="32"/>
          <w:szCs w:val="32"/>
        </w:rPr>
      </w:pPr>
      <w:r>
        <w:rPr>
          <w:rFonts w:hint="eastAsia" w:ascii="仿宋" w:hAnsi="仿宋" w:eastAsia="仿宋" w:cs="宋体"/>
          <w:kern w:val="0"/>
          <w:sz w:val="32"/>
          <w:szCs w:val="32"/>
        </w:rPr>
        <w:t>（三）调整情况。</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三、工作活动(项目)实施绩效管理情况及取得成绩</w:t>
      </w:r>
    </w:p>
    <w:p>
      <w:pPr>
        <w:widowControl/>
        <w:ind w:left="320"/>
        <w:rPr>
          <w:rFonts w:ascii="仿宋" w:hAnsi="仿宋" w:eastAsia="仿宋" w:cs="宋体"/>
          <w:color w:val="000000"/>
          <w:kern w:val="0"/>
          <w:sz w:val="32"/>
          <w:szCs w:val="32"/>
        </w:rPr>
      </w:pPr>
      <w:r>
        <w:rPr>
          <w:rFonts w:hint="eastAsia" w:ascii="仿宋" w:hAnsi="仿宋" w:eastAsia="仿宋" w:cs="宋体"/>
          <w:kern w:val="0"/>
          <w:sz w:val="32"/>
          <w:szCs w:val="32"/>
        </w:rPr>
        <w:t>（一）计划制定和落实情况。</w:t>
      </w:r>
      <w:r>
        <w:rPr>
          <w:rFonts w:hint="eastAsia" w:ascii="仿宋" w:hAnsi="仿宋" w:eastAsia="仿宋" w:cs="宋体"/>
          <w:color w:val="000000"/>
          <w:kern w:val="0"/>
          <w:sz w:val="32"/>
          <w:szCs w:val="32"/>
        </w:rPr>
        <w:t>说明是否制定详细可行的工</w:t>
      </w:r>
    </w:p>
    <w:p>
      <w:pPr>
        <w:widowControl/>
        <w:ind w:left="32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作活动(项目)实施计划，是否按实施计划具体落实。</w:t>
      </w:r>
    </w:p>
    <w:p>
      <w:pPr>
        <w:widowControl/>
        <w:ind w:left="320"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扎实开展 2</w:t>
      </w:r>
      <w:r>
        <w:rPr>
          <w:rFonts w:hint="eastAsia" w:ascii="仿宋" w:hAnsi="仿宋" w:eastAsia="仿宋" w:cs="宋体"/>
          <w:color w:val="000000"/>
          <w:kern w:val="0"/>
          <w:sz w:val="32"/>
          <w:szCs w:val="32"/>
          <w:lang w:val="en-US" w:eastAsia="zh-CN"/>
        </w:rPr>
        <w:t>021</w:t>
      </w:r>
      <w:r>
        <w:rPr>
          <w:rFonts w:hint="eastAsia" w:ascii="仿宋" w:hAnsi="仿宋" w:eastAsia="仿宋" w:cs="宋体"/>
          <w:color w:val="000000"/>
          <w:kern w:val="0"/>
          <w:sz w:val="32"/>
          <w:szCs w:val="32"/>
        </w:rPr>
        <w:t> 年养老机构服务质量专项行动。 2</w:t>
      </w:r>
      <w:r>
        <w:rPr>
          <w:rFonts w:hint="eastAsia" w:ascii="仿宋" w:hAnsi="仿宋" w:eastAsia="仿宋" w:cs="宋体"/>
          <w:color w:val="000000"/>
          <w:kern w:val="0"/>
          <w:sz w:val="32"/>
          <w:szCs w:val="32"/>
          <w:lang w:val="en-US" w:eastAsia="zh-CN"/>
        </w:rPr>
        <w:t>021</w:t>
      </w:r>
      <w:r>
        <w:rPr>
          <w:rFonts w:hint="eastAsia" w:ascii="仿宋" w:hAnsi="仿宋" w:eastAsia="仿宋" w:cs="宋体"/>
          <w:color w:val="000000"/>
          <w:kern w:val="0"/>
          <w:sz w:val="32"/>
          <w:szCs w:val="32"/>
        </w:rPr>
        <w:t> 年在全县范围内开展养老机构服务质量提升专项行动，根据《养老院服务质量建设专项行动督查要点》和《养老院服务质量大 检查操作手册》，对照影响养老院服务质量的运营管理、生活 服务、健康服务、社会工作服务、安全管理等 5 个方面 115 项内容逐项进行检查打分，着重检查养老机构设施安全、消防器 材的配置、食品安全、用水用电安全、服务管理等情况。对检 查中发现的问题，现场下达整改通知书，要求逐项限期整改， 建立养老服务机构服务质量监督、信用体系，形成长效机制。 不断完善和提升全县养老服务机构服务质量水平。</w:t>
      </w:r>
    </w:p>
    <w:p>
      <w:pPr>
        <w:widowControl/>
        <w:ind w:left="320"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lang w:eastAsia="zh-CN"/>
        </w:rPr>
        <w:t>（二）</w:t>
      </w:r>
      <w:r>
        <w:rPr>
          <w:rFonts w:hint="eastAsia" w:ascii="仿宋" w:hAnsi="仿宋" w:eastAsia="仿宋" w:cs="宋体"/>
          <w:color w:val="000000"/>
          <w:kern w:val="0"/>
          <w:sz w:val="32"/>
          <w:szCs w:val="32"/>
        </w:rPr>
        <w:t>执行绩效监控情况。说明工作活动(项目)执行中绩效信息收集利用和执行中绩效管理情况。</w:t>
      </w:r>
    </w:p>
    <w:p>
      <w:pPr>
        <w:widowControl/>
        <w:ind w:left="320" w:firstLine="640" w:firstLineChars="200"/>
        <w:rPr>
          <w:rFonts w:hint="eastAsia"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为保障社会养老服务体系工作开展，巨鹿县坚持“党政主导、社会参与、全民关怀”的工作方针，以“适用实用，切合实际，稳步推进”为工作要求，大力推动城乡养老服务体现建设，初步形成了以居家养老为基础、社区养老为依托、机构养老为补充的城乡养老服务体系。通过政策的制订、落实、宣传，为巨鹿县贫困老年人生活状况的改善、生活质量的提高都起到了很大的作用，为全县形成尊老、敬老、爱老良好氛围提供了保障，社会效益明显，社会反馈较好。</w:t>
      </w:r>
    </w:p>
    <w:p>
      <w:pPr>
        <w:widowControl/>
        <w:ind w:left="320"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（三）资金管理情况。说明资金到位、自筹资金落实和实际支出等情况。</w:t>
      </w:r>
    </w:p>
    <w:p>
      <w:pPr>
        <w:keepNext w:val="0"/>
        <w:keepLines w:val="0"/>
        <w:widowControl w:val="0"/>
        <w:suppressLineNumbers w:val="0"/>
        <w:spacing w:before="0" w:beforeAutospacing="0" w:after="0" w:afterAutospacing="0" w:line="540" w:lineRule="exact"/>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2021年本年收入146.993195万元，按照规定的时间全部拨付到位。支出资金146.993195万元，完成资金实用率的100%，主要用于养老机构运营补贴、农村互助幸福院建设补贴、星级奖补等。</w:t>
      </w:r>
    </w:p>
    <w:p>
      <w:pPr>
        <w:widowControl/>
        <w:numPr>
          <w:numId w:val="0"/>
        </w:numPr>
        <w:ind w:leftChars="1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lang w:eastAsia="zh-CN"/>
        </w:rPr>
        <w:t>（四）</w:t>
      </w:r>
      <w:r>
        <w:rPr>
          <w:rFonts w:hint="eastAsia" w:ascii="仿宋" w:hAnsi="仿宋" w:eastAsia="仿宋" w:cs="宋体"/>
          <w:color w:val="000000"/>
          <w:kern w:val="0"/>
          <w:sz w:val="32"/>
          <w:szCs w:val="32"/>
        </w:rPr>
        <w:t>绩效管理制度建设及执行情况。说明工作活动(项目)绩效管理制度建设和执行情况。</w:t>
      </w:r>
    </w:p>
    <w:p>
      <w:pPr>
        <w:widowControl/>
        <w:numPr>
          <w:ilvl w:val="0"/>
          <w:numId w:val="0"/>
        </w:numPr>
        <w:ind w:leftChars="100" w:firstLine="640" w:firstLineChars="200"/>
        <w:rPr>
          <w:rFonts w:hint="eastAsia" w:ascii="仿宋" w:hAnsi="仿宋" w:eastAsia="仿宋" w:cs="宋体"/>
          <w:color w:val="000000"/>
          <w:kern w:val="0"/>
          <w:sz w:val="32"/>
          <w:szCs w:val="32"/>
          <w:lang w:val="en-US" w:eastAsia="zh-CN" w:bidi="ar-SA"/>
        </w:rPr>
      </w:pPr>
      <w:r>
        <w:rPr>
          <w:rFonts w:hint="eastAsia" w:ascii="仿宋" w:hAnsi="仿宋" w:eastAsia="仿宋" w:cs="宋体"/>
          <w:color w:val="000000"/>
          <w:kern w:val="0"/>
          <w:sz w:val="32"/>
          <w:szCs w:val="32"/>
          <w:lang w:val="en-US" w:eastAsia="zh-CN" w:bidi="ar-SA"/>
        </w:rPr>
        <w:t>召开提高养老机构服务质量专项行动部署会，开展养老机构服务质量专项行动大检查，重点检查安全生产等五大方面， 下发整改通知书，各养老机构都开展了自查和检查，建立养老服务机构服务质量监督、信用体系，形成长效机制。</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（五）风险管理情况。如果工作活动(项目)实施中存在影响绩效目标实现的风险因素，说明处置预案和处置情况。</w:t>
      </w:r>
    </w:p>
    <w:p>
      <w:pPr>
        <w:widowControl/>
        <w:ind w:firstLine="470" w:firstLineChars="147"/>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通过细化医养结合具体措施，健全医疗保险机制，对符合条件的养老机构内设医疗机构，优先纳入医保定点。完善老年护理保障制度，继续推进老年人意外伤害保险、养老机构综合责任保险，有效化解老人意外伤害风险。统筹配置养老和医疗设施，大力发展养医结合型养老服务机构，缓解老年护理供需矛盾。</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四、工作活动(项目)绩效自评情况</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（一）工作活动(项目)自评组织情况。</w:t>
      </w:r>
    </w:p>
    <w:p>
      <w:pPr>
        <w:keepNext w:val="0"/>
        <w:keepLines w:val="0"/>
        <w:widowControl w:val="0"/>
        <w:suppressLineNumbers w:val="0"/>
        <w:spacing w:before="0" w:beforeAutospacing="0" w:after="0" w:afterAutospacing="0" w:line="540" w:lineRule="exact"/>
        <w:ind w:left="0" w:right="0" w:firstLine="800" w:firstLineChars="25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为促进养老服务体系建设制度化、规范化，我们制定了《巨鹿县养老服务体系建设实施意见》、《巨鹿县实施“医养一体、两院融合”养老模式的实施办法》《巨鹿县养老机构质量建设实施方案》等文件与制度，严格执行相关项目管理制度。在项目信息化管理系统上，我们依托民政部养老系统，安全、方便、有效的报送相关养老服务体系建设信息，做到了信息报送及时准确。在项目的资金投向和结构，项目申报等工作上，坚持财务规划一体谋划，分步实行了原则，即项目申报与资金管理坚持财务负责，业务归口办理。确保项目申报符合资金管理办法等规定。</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（二）工作活动(项目)评价结果。</w:t>
      </w:r>
    </w:p>
    <w:p>
      <w:pPr>
        <w:widowControl/>
        <w:ind w:firstLine="630" w:firstLineChars="197"/>
        <w:rPr>
          <w:rFonts w:hint="eastAsia" w:ascii="Times New Roman" w:hAnsi="Times New Roman" w:eastAsia="仿宋_GB2312" w:cs="Times New Roman"/>
          <w:color w:val="000000"/>
          <w:kern w:val="2"/>
          <w:sz w:val="32"/>
          <w:szCs w:val="32"/>
          <w:shd w:val="clear" w:fill="FFFFFF"/>
          <w:lang w:val="en-US" w:eastAsia="zh-CN" w:bidi="ar"/>
        </w:rPr>
      </w:pPr>
      <w:r>
        <w:rPr>
          <w:rFonts w:hint="eastAsia" w:ascii="Times New Roman" w:hAnsi="Times New Roman" w:eastAsia="仿宋_GB2312" w:cs="Times New Roman"/>
          <w:kern w:val="2"/>
          <w:sz w:val="32"/>
          <w:szCs w:val="32"/>
          <w:lang w:val="en-US" w:eastAsia="zh-CN" w:bidi="ar"/>
        </w:rPr>
        <w:t>我局</w:t>
      </w:r>
      <w:r>
        <w:rPr>
          <w:rFonts w:hint="eastAsia" w:ascii="Times New Roman" w:hAnsi="Times New Roman" w:eastAsia="仿宋_GB2312" w:cs="Times New Roman"/>
          <w:color w:val="000000"/>
          <w:kern w:val="2"/>
          <w:sz w:val="32"/>
          <w:szCs w:val="32"/>
          <w:shd w:val="clear" w:fill="FFFFFF"/>
          <w:lang w:val="en-US" w:eastAsia="zh-CN" w:bidi="ar"/>
        </w:rPr>
        <w:t>始终秉持</w:t>
      </w:r>
      <w:r>
        <w:rPr>
          <w:rFonts w:hint="default" w:ascii="Times New Roman" w:hAnsi="Times New Roman" w:eastAsia="仿宋_GB2312" w:cs="Times New Roman"/>
          <w:color w:val="000000"/>
          <w:kern w:val="2"/>
          <w:sz w:val="32"/>
          <w:szCs w:val="32"/>
          <w:shd w:val="clear" w:fill="FFFFFF"/>
          <w:lang w:val="en-US" w:eastAsia="zh-CN" w:bidi="ar"/>
        </w:rPr>
        <w:t>“</w:t>
      </w:r>
      <w:r>
        <w:rPr>
          <w:rFonts w:hint="eastAsia" w:ascii="Times New Roman" w:hAnsi="Times New Roman" w:eastAsia="仿宋_GB2312" w:cs="Times New Roman"/>
          <w:color w:val="000000"/>
          <w:kern w:val="2"/>
          <w:sz w:val="32"/>
          <w:szCs w:val="32"/>
          <w:shd w:val="clear" w:fill="FFFFFF"/>
          <w:lang w:val="en-US" w:eastAsia="zh-CN" w:bidi="ar"/>
        </w:rPr>
        <w:t>贫困县办大民生</w:t>
      </w:r>
      <w:r>
        <w:rPr>
          <w:rFonts w:hint="default" w:ascii="Times New Roman" w:hAnsi="Times New Roman" w:eastAsia="仿宋_GB2312" w:cs="Times New Roman"/>
          <w:color w:val="000000"/>
          <w:kern w:val="2"/>
          <w:sz w:val="32"/>
          <w:szCs w:val="32"/>
          <w:shd w:val="clear" w:fill="FFFFFF"/>
          <w:lang w:val="en-US" w:eastAsia="zh-CN" w:bidi="ar"/>
        </w:rPr>
        <w:t>”</w:t>
      </w:r>
      <w:r>
        <w:rPr>
          <w:rFonts w:hint="eastAsia" w:ascii="Times New Roman" w:hAnsi="Times New Roman" w:eastAsia="仿宋_GB2312" w:cs="Times New Roman"/>
          <w:color w:val="000000"/>
          <w:kern w:val="2"/>
          <w:sz w:val="32"/>
          <w:szCs w:val="32"/>
          <w:shd w:val="clear" w:fill="FFFFFF"/>
          <w:lang w:val="en-US" w:eastAsia="zh-CN" w:bidi="ar"/>
        </w:rPr>
        <w:t>理念，持续在更好满足群众养老服务需求上下功夫</w:t>
      </w:r>
      <w:r>
        <w:rPr>
          <w:rFonts w:hint="eastAsia" w:ascii="Times New Roman" w:hAnsi="Times New Roman" w:eastAsia="仿宋_GB2312" w:cs="Times New Roman"/>
          <w:b/>
          <w:bCs/>
          <w:color w:val="000000"/>
          <w:kern w:val="2"/>
          <w:sz w:val="32"/>
          <w:szCs w:val="32"/>
          <w:shd w:val="clear" w:fill="FFFFFF"/>
          <w:lang w:val="en-US" w:eastAsia="zh-CN" w:bidi="ar"/>
        </w:rPr>
        <w:t>。</w:t>
      </w:r>
      <w:r>
        <w:rPr>
          <w:rFonts w:hint="eastAsia" w:ascii="Times New Roman" w:hAnsi="Times New Roman" w:eastAsia="楷体_GB2312" w:cs="Times New Roman"/>
          <w:b/>
          <w:bCs/>
          <w:kern w:val="2"/>
          <w:sz w:val="32"/>
          <w:szCs w:val="32"/>
          <w:lang w:val="en-US" w:eastAsia="zh-CN" w:bidi="ar"/>
        </w:rPr>
        <w:t>一是坚持持续创新，不断推进提升养老服务体系建设。</w:t>
      </w:r>
      <w:r>
        <w:rPr>
          <w:rFonts w:hint="eastAsia" w:ascii="Times New Roman" w:hAnsi="Times New Roman" w:eastAsia="仿宋_GB2312" w:cs="Times New Roman"/>
          <w:b/>
          <w:bCs/>
          <w:kern w:val="2"/>
          <w:sz w:val="32"/>
          <w:szCs w:val="32"/>
          <w:lang w:val="en-US" w:eastAsia="zh-CN" w:bidi="ar"/>
        </w:rPr>
        <w:t>始终将养老工作列</w:t>
      </w:r>
      <w:r>
        <w:rPr>
          <w:rFonts w:hint="eastAsia" w:ascii="Times New Roman" w:hAnsi="Times New Roman" w:eastAsia="仿宋_GB2312" w:cs="Times New Roman"/>
          <w:kern w:val="2"/>
          <w:sz w:val="32"/>
          <w:szCs w:val="32"/>
          <w:lang w:val="en-US" w:eastAsia="zh-CN" w:bidi="ar"/>
        </w:rPr>
        <w:t>入重点民生实事，围绕解决农村困难群众养老难题，自</w:t>
      </w:r>
      <w:r>
        <w:rPr>
          <w:rFonts w:hint="default" w:ascii="Times New Roman" w:hAnsi="Times New Roman" w:eastAsia="仿宋_GB2312" w:cs="Times New Roman"/>
          <w:kern w:val="2"/>
          <w:sz w:val="32"/>
          <w:szCs w:val="32"/>
          <w:lang w:val="en-US" w:eastAsia="zh-CN" w:bidi="ar"/>
        </w:rPr>
        <w:t>2007</w:t>
      </w:r>
      <w:r>
        <w:rPr>
          <w:rFonts w:hint="eastAsia" w:ascii="Times New Roman" w:hAnsi="Times New Roman" w:eastAsia="仿宋_GB2312" w:cs="Times New Roman"/>
          <w:kern w:val="2"/>
          <w:sz w:val="32"/>
          <w:szCs w:val="32"/>
          <w:lang w:val="en-US" w:eastAsia="zh-CN" w:bidi="ar"/>
        </w:rPr>
        <w:t>年以来，先后探索创建了</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政府花钱买岗位、村村设立救助员</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、五保集中供养</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村居点</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三位一体</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社会化机构养老等一系列机制，有力地保障了农村老人的养老需求。</w:t>
      </w:r>
      <w:r>
        <w:rPr>
          <w:rFonts w:hint="default" w:ascii="Times New Roman" w:hAnsi="Times New Roman" w:eastAsia="仿宋_GB2312" w:cs="Times New Roman"/>
          <w:kern w:val="2"/>
          <w:sz w:val="32"/>
          <w:szCs w:val="32"/>
          <w:lang w:val="en-US" w:eastAsia="zh-CN" w:bidi="ar"/>
        </w:rPr>
        <w:t>2011</w:t>
      </w:r>
      <w:r>
        <w:rPr>
          <w:rFonts w:hint="eastAsia" w:ascii="Times New Roman" w:hAnsi="Times New Roman" w:eastAsia="仿宋_GB2312" w:cs="Times New Roman"/>
          <w:kern w:val="2"/>
          <w:sz w:val="32"/>
          <w:szCs w:val="32"/>
          <w:lang w:val="en-US" w:eastAsia="zh-CN" w:bidi="ar"/>
        </w:rPr>
        <w:t>年起，立足农村群众健康养老需求实际，整合县乡村养老医疗资源，创新实施</w:t>
      </w:r>
      <w:r>
        <w:rPr>
          <w:rFonts w:hint="default" w:ascii="Times New Roman" w:hAnsi="Times New Roman" w:eastAsia="仿宋_GB2312" w:cs="Times New Roman"/>
          <w:kern w:val="2"/>
          <w:sz w:val="32"/>
          <w:szCs w:val="32"/>
          <w:lang w:val="en-US" w:eastAsia="zh-CN" w:bidi="ar"/>
        </w:rPr>
        <w:t xml:space="preserve"> “</w:t>
      </w:r>
      <w:r>
        <w:rPr>
          <w:rFonts w:hint="eastAsia" w:ascii="Times New Roman" w:hAnsi="Times New Roman" w:eastAsia="仿宋_GB2312" w:cs="Times New Roman"/>
          <w:kern w:val="2"/>
          <w:sz w:val="32"/>
          <w:szCs w:val="32"/>
          <w:lang w:val="en-US" w:eastAsia="zh-CN" w:bidi="ar"/>
        </w:rPr>
        <w:t>医养一体、两院融合</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养老模式。在此基础上，针对</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失能</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人员占用医疗养老资源多、费用高情况，为缓解失能、半失能家庭经济和日常照护负担，</w:t>
      </w:r>
      <w:r>
        <w:rPr>
          <w:rFonts w:hint="default" w:ascii="Times New Roman" w:hAnsi="Times New Roman" w:eastAsia="仿宋_GB2312" w:cs="Times New Roman"/>
          <w:kern w:val="2"/>
          <w:sz w:val="32"/>
          <w:szCs w:val="32"/>
          <w:lang w:val="en-US" w:eastAsia="zh-CN" w:bidi="ar"/>
        </w:rPr>
        <w:t>2016</w:t>
      </w:r>
      <w:r>
        <w:rPr>
          <w:rFonts w:hint="eastAsia" w:ascii="Times New Roman" w:hAnsi="Times New Roman" w:eastAsia="仿宋_GB2312" w:cs="Times New Roman"/>
          <w:kern w:val="2"/>
          <w:sz w:val="32"/>
          <w:szCs w:val="32"/>
          <w:lang w:val="en-US" w:eastAsia="zh-CN" w:bidi="ar"/>
        </w:rPr>
        <w:t>年</w:t>
      </w:r>
      <w:r>
        <w:rPr>
          <w:rFonts w:hint="default" w:ascii="Times New Roman" w:hAnsi="Times New Roman" w:eastAsia="仿宋_GB2312" w:cs="Times New Roman"/>
          <w:kern w:val="2"/>
          <w:sz w:val="32"/>
          <w:szCs w:val="32"/>
          <w:lang w:val="en-US" w:eastAsia="zh-CN" w:bidi="ar"/>
        </w:rPr>
        <w:t>8</w:t>
      </w:r>
      <w:r>
        <w:rPr>
          <w:rFonts w:hint="eastAsia" w:ascii="Times New Roman" w:hAnsi="Times New Roman" w:eastAsia="仿宋_GB2312" w:cs="Times New Roman"/>
          <w:kern w:val="2"/>
          <w:sz w:val="32"/>
          <w:szCs w:val="32"/>
          <w:lang w:val="en-US" w:eastAsia="zh-CN" w:bidi="ar"/>
        </w:rPr>
        <w:t>月，在省人社部门的大力支持下，县委县政府超前谋划、创新设计了</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五险</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之外的</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第六险</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长期护理险，当年实现重度失能人员医疗专护和机构护理服务全覆盖，</w:t>
      </w:r>
      <w:r>
        <w:rPr>
          <w:rFonts w:hint="default" w:ascii="Times New Roman" w:hAnsi="Times New Roman" w:eastAsia="仿宋_GB2312" w:cs="Times New Roman"/>
          <w:kern w:val="2"/>
          <w:sz w:val="32"/>
          <w:szCs w:val="32"/>
          <w:lang w:val="en-US" w:eastAsia="zh-CN" w:bidi="ar"/>
        </w:rPr>
        <w:t>2017</w:t>
      </w:r>
      <w:r>
        <w:rPr>
          <w:rFonts w:hint="eastAsia" w:ascii="Times New Roman" w:hAnsi="Times New Roman" w:eastAsia="仿宋_GB2312" w:cs="Times New Roman"/>
          <w:kern w:val="2"/>
          <w:sz w:val="32"/>
          <w:szCs w:val="32"/>
          <w:lang w:val="en-US" w:eastAsia="zh-CN" w:bidi="ar"/>
        </w:rPr>
        <w:t>年</w:t>
      </w:r>
      <w:r>
        <w:rPr>
          <w:rFonts w:hint="default" w:ascii="Times New Roman" w:hAnsi="Times New Roman" w:eastAsia="仿宋_GB2312" w:cs="Times New Roman"/>
          <w:kern w:val="2"/>
          <w:sz w:val="32"/>
          <w:szCs w:val="32"/>
          <w:lang w:val="en-US" w:eastAsia="zh-CN" w:bidi="ar"/>
        </w:rPr>
        <w:t>4</w:t>
      </w:r>
      <w:r>
        <w:rPr>
          <w:rFonts w:hint="eastAsia" w:ascii="Times New Roman" w:hAnsi="Times New Roman" w:eastAsia="仿宋_GB2312" w:cs="Times New Roman"/>
          <w:kern w:val="2"/>
          <w:sz w:val="32"/>
          <w:szCs w:val="32"/>
          <w:lang w:val="en-US" w:eastAsia="zh-CN" w:bidi="ar"/>
        </w:rPr>
        <w:t>月将保障范围扩大至中度失能人员，</w:t>
      </w:r>
      <w:r>
        <w:rPr>
          <w:rFonts w:hint="default" w:ascii="Times New Roman" w:hAnsi="Times New Roman" w:eastAsia="仿宋_GB2312" w:cs="Times New Roman"/>
          <w:kern w:val="2"/>
          <w:sz w:val="32"/>
          <w:szCs w:val="32"/>
          <w:lang w:val="en-US" w:eastAsia="zh-CN" w:bidi="ar"/>
        </w:rPr>
        <w:t>2018</w:t>
      </w:r>
      <w:r>
        <w:rPr>
          <w:rFonts w:hint="eastAsia" w:ascii="Times New Roman" w:hAnsi="Times New Roman" w:eastAsia="仿宋_GB2312" w:cs="Times New Roman"/>
          <w:kern w:val="2"/>
          <w:sz w:val="32"/>
          <w:szCs w:val="32"/>
          <w:lang w:val="en-US" w:eastAsia="zh-CN" w:bidi="ar"/>
        </w:rPr>
        <w:t>年</w:t>
      </w:r>
      <w:r>
        <w:rPr>
          <w:rFonts w:hint="default" w:ascii="Times New Roman" w:hAnsi="Times New Roman" w:eastAsia="仿宋_GB2312" w:cs="Times New Roman"/>
          <w:kern w:val="2"/>
          <w:sz w:val="32"/>
          <w:szCs w:val="32"/>
          <w:lang w:val="en-US" w:eastAsia="zh-CN" w:bidi="ar"/>
        </w:rPr>
        <w:t>5</w:t>
      </w:r>
      <w:r>
        <w:rPr>
          <w:rFonts w:hint="eastAsia" w:ascii="Times New Roman" w:hAnsi="Times New Roman" w:eastAsia="仿宋_GB2312" w:cs="Times New Roman"/>
          <w:kern w:val="2"/>
          <w:sz w:val="32"/>
          <w:szCs w:val="32"/>
          <w:lang w:val="en-US" w:eastAsia="zh-CN" w:bidi="ar"/>
        </w:rPr>
        <w:t>月拓展到居家护理服务，逐步搭建起</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医养险</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三位一体健康养老服务体系。</w:t>
      </w:r>
      <w:r>
        <w:rPr>
          <w:rFonts w:hint="eastAsia" w:ascii="Times New Roman" w:hAnsi="Times New Roman" w:eastAsia="楷体_GB2312" w:cs="Times New Roman"/>
          <w:b/>
          <w:kern w:val="2"/>
          <w:sz w:val="32"/>
          <w:szCs w:val="32"/>
          <w:lang w:val="en-US" w:eastAsia="zh-CN" w:bidi="ar"/>
        </w:rPr>
        <w:t>二是突出规划引领，持续完善养老服务发展思路定位。</w:t>
      </w:r>
      <w:r>
        <w:rPr>
          <w:rFonts w:hint="eastAsia" w:ascii="Times New Roman" w:hAnsi="Times New Roman" w:eastAsia="仿宋_GB2312" w:cs="Times New Roman"/>
          <w:color w:val="000000"/>
          <w:kern w:val="2"/>
          <w:sz w:val="32"/>
          <w:szCs w:val="32"/>
          <w:shd w:val="clear" w:fill="FFFFFF"/>
          <w:lang w:val="en-US" w:eastAsia="zh-CN" w:bidi="ar"/>
        </w:rPr>
        <w:t>将养老服务体系建设和新型健康养老产业纳入县</w:t>
      </w:r>
      <w:r>
        <w:rPr>
          <w:rFonts w:hint="default" w:ascii="Times New Roman" w:hAnsi="Times New Roman" w:eastAsia="仿宋_GB2312" w:cs="Times New Roman"/>
          <w:color w:val="000000"/>
          <w:kern w:val="2"/>
          <w:sz w:val="32"/>
          <w:szCs w:val="32"/>
          <w:shd w:val="clear" w:fill="FFFFFF"/>
          <w:lang w:val="en-US" w:eastAsia="zh-CN" w:bidi="ar"/>
        </w:rPr>
        <w:t>“</w:t>
      </w:r>
      <w:r>
        <w:rPr>
          <w:rFonts w:hint="eastAsia" w:ascii="Times New Roman" w:hAnsi="Times New Roman" w:eastAsia="仿宋_GB2312" w:cs="Times New Roman"/>
          <w:color w:val="000000"/>
          <w:kern w:val="2"/>
          <w:sz w:val="32"/>
          <w:szCs w:val="32"/>
          <w:shd w:val="clear" w:fill="FFFFFF"/>
          <w:lang w:val="en-US" w:eastAsia="zh-CN" w:bidi="ar"/>
        </w:rPr>
        <w:t>十三五</w:t>
      </w:r>
      <w:r>
        <w:rPr>
          <w:rFonts w:hint="default" w:ascii="Times New Roman" w:hAnsi="Times New Roman" w:eastAsia="仿宋_GB2312" w:cs="Times New Roman"/>
          <w:color w:val="000000"/>
          <w:kern w:val="2"/>
          <w:sz w:val="32"/>
          <w:szCs w:val="32"/>
          <w:shd w:val="clear" w:fill="FFFFFF"/>
          <w:lang w:val="en-US" w:eastAsia="zh-CN" w:bidi="ar"/>
        </w:rPr>
        <w:t>”</w:t>
      </w:r>
      <w:r>
        <w:rPr>
          <w:rFonts w:hint="eastAsia" w:ascii="Times New Roman" w:hAnsi="Times New Roman" w:eastAsia="仿宋_GB2312" w:cs="Times New Roman"/>
          <w:color w:val="000000"/>
          <w:kern w:val="2"/>
          <w:sz w:val="32"/>
          <w:szCs w:val="32"/>
          <w:shd w:val="clear" w:fill="FFFFFF"/>
          <w:lang w:val="en-US" w:eastAsia="zh-CN" w:bidi="ar"/>
        </w:rPr>
        <w:t>规划重点支持，专门制定了《巨鹿</w:t>
      </w:r>
      <w:r>
        <w:rPr>
          <w:rFonts w:hint="default" w:ascii="Times New Roman" w:hAnsi="Times New Roman" w:eastAsia="仿宋_GB2312" w:cs="Times New Roman"/>
          <w:color w:val="000000"/>
          <w:kern w:val="2"/>
          <w:sz w:val="32"/>
          <w:szCs w:val="32"/>
          <w:shd w:val="clear" w:fill="FFFFFF"/>
          <w:lang w:val="en-US" w:eastAsia="zh-CN" w:bidi="ar"/>
        </w:rPr>
        <w:t>“</w:t>
      </w:r>
      <w:r>
        <w:rPr>
          <w:rFonts w:hint="eastAsia" w:ascii="Times New Roman" w:hAnsi="Times New Roman" w:eastAsia="仿宋_GB2312" w:cs="Times New Roman"/>
          <w:color w:val="000000"/>
          <w:kern w:val="2"/>
          <w:sz w:val="32"/>
          <w:szCs w:val="32"/>
          <w:shd w:val="clear" w:fill="FFFFFF"/>
          <w:lang w:val="en-US" w:eastAsia="zh-CN" w:bidi="ar"/>
        </w:rPr>
        <w:t>十三五</w:t>
      </w:r>
      <w:r>
        <w:rPr>
          <w:rFonts w:hint="default" w:ascii="Times New Roman" w:hAnsi="Times New Roman" w:eastAsia="仿宋_GB2312" w:cs="Times New Roman"/>
          <w:color w:val="000000"/>
          <w:kern w:val="2"/>
          <w:sz w:val="32"/>
          <w:szCs w:val="32"/>
          <w:shd w:val="clear" w:fill="FFFFFF"/>
          <w:lang w:val="en-US" w:eastAsia="zh-CN" w:bidi="ar"/>
        </w:rPr>
        <w:t>”</w:t>
      </w:r>
      <w:r>
        <w:rPr>
          <w:rFonts w:hint="eastAsia" w:ascii="Times New Roman" w:hAnsi="Times New Roman" w:eastAsia="仿宋_GB2312" w:cs="Times New Roman"/>
          <w:color w:val="000000"/>
          <w:kern w:val="2"/>
          <w:sz w:val="32"/>
          <w:szCs w:val="32"/>
          <w:shd w:val="clear" w:fill="FFFFFF"/>
          <w:lang w:val="en-US" w:eastAsia="zh-CN" w:bidi="ar"/>
        </w:rPr>
        <w:t>时期大健康产业发展规划》。目前，整合我县以金银花为主的中药材、健康养老、全域旅游等优势，初步确定将文旅康养产业作为</w:t>
      </w:r>
      <w:r>
        <w:rPr>
          <w:rFonts w:hint="default" w:ascii="Times New Roman" w:hAnsi="Times New Roman" w:eastAsia="仿宋_GB2312" w:cs="Times New Roman"/>
          <w:color w:val="000000"/>
          <w:kern w:val="2"/>
          <w:sz w:val="32"/>
          <w:szCs w:val="32"/>
          <w:shd w:val="clear" w:fill="FFFFFF"/>
          <w:lang w:val="en-US" w:eastAsia="zh-CN" w:bidi="ar"/>
        </w:rPr>
        <w:t>“</w:t>
      </w:r>
      <w:r>
        <w:rPr>
          <w:rFonts w:hint="eastAsia" w:ascii="Times New Roman" w:hAnsi="Times New Roman" w:eastAsia="仿宋_GB2312" w:cs="Times New Roman"/>
          <w:color w:val="000000"/>
          <w:kern w:val="2"/>
          <w:sz w:val="32"/>
          <w:szCs w:val="32"/>
          <w:shd w:val="clear" w:fill="FFFFFF"/>
          <w:lang w:val="en-US" w:eastAsia="zh-CN" w:bidi="ar"/>
        </w:rPr>
        <w:t>十四五</w:t>
      </w:r>
      <w:r>
        <w:rPr>
          <w:rFonts w:hint="default" w:ascii="Times New Roman" w:hAnsi="Times New Roman" w:eastAsia="仿宋_GB2312" w:cs="Times New Roman"/>
          <w:color w:val="000000"/>
          <w:kern w:val="2"/>
          <w:sz w:val="32"/>
          <w:szCs w:val="32"/>
          <w:shd w:val="clear" w:fill="FFFFFF"/>
          <w:lang w:val="en-US" w:eastAsia="zh-CN" w:bidi="ar"/>
        </w:rPr>
        <w:t>”</w:t>
      </w:r>
      <w:r>
        <w:rPr>
          <w:rFonts w:hint="eastAsia" w:ascii="Times New Roman" w:hAnsi="Times New Roman" w:eastAsia="仿宋_GB2312" w:cs="Times New Roman"/>
          <w:color w:val="000000"/>
          <w:kern w:val="2"/>
          <w:sz w:val="32"/>
          <w:szCs w:val="32"/>
          <w:shd w:val="clear" w:fill="FFFFFF"/>
          <w:lang w:val="en-US" w:eastAsia="zh-CN" w:bidi="ar"/>
        </w:rPr>
        <w:t>重点培育产业之一，积极争创国家中医药健康旅游示范区，着力打造</w:t>
      </w:r>
      <w:r>
        <w:rPr>
          <w:rFonts w:hint="default" w:ascii="Times New Roman" w:hAnsi="Times New Roman" w:eastAsia="仿宋_GB2312" w:cs="Times New Roman"/>
          <w:color w:val="000000"/>
          <w:kern w:val="2"/>
          <w:sz w:val="32"/>
          <w:szCs w:val="32"/>
          <w:shd w:val="clear" w:fill="FFFFFF"/>
          <w:lang w:val="en-US" w:eastAsia="zh-CN" w:bidi="ar"/>
        </w:rPr>
        <w:t>“</w:t>
      </w:r>
      <w:r>
        <w:rPr>
          <w:rFonts w:hint="eastAsia" w:ascii="Times New Roman" w:hAnsi="Times New Roman" w:eastAsia="仿宋_GB2312" w:cs="Times New Roman"/>
          <w:color w:val="000000"/>
          <w:kern w:val="2"/>
          <w:sz w:val="32"/>
          <w:szCs w:val="32"/>
          <w:shd w:val="clear" w:fill="FFFFFF"/>
          <w:lang w:val="en-US" w:eastAsia="zh-CN" w:bidi="ar"/>
        </w:rPr>
        <w:t>金银花海、康养福地</w:t>
      </w:r>
      <w:r>
        <w:rPr>
          <w:rFonts w:hint="default" w:ascii="Times New Roman" w:hAnsi="Times New Roman" w:eastAsia="仿宋_GB2312" w:cs="Times New Roman"/>
          <w:color w:val="000000"/>
          <w:kern w:val="2"/>
          <w:sz w:val="32"/>
          <w:szCs w:val="32"/>
          <w:shd w:val="clear" w:fill="FFFFFF"/>
          <w:lang w:val="en-US" w:eastAsia="zh-CN" w:bidi="ar"/>
        </w:rPr>
        <w:t>”</w:t>
      </w:r>
      <w:r>
        <w:rPr>
          <w:rFonts w:hint="eastAsia" w:ascii="Times New Roman" w:hAnsi="Times New Roman" w:eastAsia="仿宋_GB2312" w:cs="Times New Roman"/>
          <w:color w:val="000000"/>
          <w:kern w:val="2"/>
          <w:sz w:val="32"/>
          <w:szCs w:val="32"/>
          <w:shd w:val="clear" w:fill="FFFFFF"/>
          <w:lang w:val="en-US" w:eastAsia="zh-CN" w:bidi="ar"/>
        </w:rPr>
        <w:t>。</w:t>
      </w:r>
      <w:r>
        <w:rPr>
          <w:rFonts w:hint="eastAsia" w:ascii="Times New Roman" w:hAnsi="Times New Roman" w:eastAsia="楷体_GB2312" w:cs="Times New Roman"/>
          <w:b/>
          <w:kern w:val="2"/>
          <w:sz w:val="32"/>
          <w:szCs w:val="32"/>
          <w:lang w:val="en-US" w:eastAsia="zh-CN" w:bidi="ar"/>
        </w:rPr>
        <w:t>三是统筹整合资源，全方位加大投入保障。</w:t>
      </w:r>
      <w:r>
        <w:rPr>
          <w:rFonts w:hint="eastAsia" w:ascii="Times New Roman" w:hAnsi="Times New Roman" w:eastAsia="仿宋_GB2312" w:cs="Times New Roman"/>
          <w:color w:val="000000"/>
          <w:kern w:val="2"/>
          <w:sz w:val="32"/>
          <w:szCs w:val="32"/>
          <w:shd w:val="clear" w:fill="FFFFFF"/>
          <w:lang w:val="en-US" w:eastAsia="zh-CN" w:bidi="ar"/>
        </w:rPr>
        <w:t>通过争取上级资金、引入社会资本投入等多种方式，持续加大养老机构建设力度。已落实运营补贴、星级养老院奖补资金。大力培育康养医护人才，完善搭建了养老服务技能、医护技能、照护服务技能三大培训平台，努力做好医养结合人才保障。</w:t>
      </w:r>
    </w:p>
    <w:p>
      <w:pPr>
        <w:widowControl/>
        <w:ind w:firstLine="633" w:firstLineChars="197"/>
        <w:rPr>
          <w:rFonts w:ascii="黑体" w:hAnsi="黑体" w:eastAsia="黑体" w:cs="宋体"/>
          <w:b/>
          <w:bCs/>
          <w:kern w:val="0"/>
          <w:sz w:val="32"/>
          <w:szCs w:val="32"/>
        </w:rPr>
      </w:pPr>
      <w:r>
        <w:rPr>
          <w:rFonts w:hint="eastAsia" w:ascii="黑体" w:hAnsi="黑体" w:eastAsia="黑体" w:cs="宋体"/>
          <w:b/>
          <w:bCs/>
          <w:kern w:val="0"/>
          <w:sz w:val="32"/>
          <w:szCs w:val="32"/>
        </w:rPr>
        <w:t>五、工作活动(项目)存在的问题、改进工作的意见及建议</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（一）工作活动(项目)实现绩效目标过程中存在的问题。</w:t>
      </w:r>
    </w:p>
    <w:p>
      <w:pPr>
        <w:keepNext w:val="0"/>
        <w:keepLines w:val="0"/>
        <w:widowControl w:val="0"/>
        <w:suppressLineNumbers w:val="0"/>
        <w:spacing w:before="0" w:beforeAutospacing="0" w:after="0" w:afterAutospacing="0" w:line="540" w:lineRule="exact"/>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我们按照有国家财经法规和财务管理制度以及有关专项资金管理办法，制定了内部控制度。一是做到了统一管理，严格按照规定进行审报批制度。二是在资金使用方面，严格按照资金来源的项目用途使用。做到了专款专用。专项资金运用均按流向分配到位，资金使用合理，没有出现滞留、截留挪用现象.</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（二）工作活动(项目)实施中改进意见及措施。</w:t>
      </w:r>
    </w:p>
    <w:p>
      <w:pPr>
        <w:keepNext w:val="0"/>
        <w:keepLines w:val="0"/>
        <w:widowControl w:val="0"/>
        <w:suppressLineNumbers w:val="0"/>
        <w:adjustRightInd w:val="0"/>
        <w:snapToGrid w:val="0"/>
        <w:spacing w:before="0" w:beforeAutospacing="0" w:after="0" w:afterAutospacing="0" w:line="540" w:lineRule="exact"/>
        <w:ind w:left="0" w:right="0" w:firstLine="640" w:firstLineChars="200"/>
        <w:jc w:val="both"/>
        <w:rPr>
          <w:rFonts w:hint="default" w:ascii="Times New Roman" w:hAnsi="Times New Roman" w:eastAsia="仿宋_GB2312" w:cs="仿宋_GB2312"/>
          <w:kern w:val="2"/>
          <w:sz w:val="32"/>
          <w:szCs w:val="32"/>
          <w:lang w:val="en-US" w:eastAsia="zh-CN" w:bidi="ar"/>
        </w:rPr>
      </w:pPr>
      <w:r>
        <w:rPr>
          <w:rFonts w:hint="eastAsia" w:ascii="Times New Roman" w:hAnsi="Times New Roman" w:eastAsia="仿宋_GB2312" w:cs="仿宋_GB2312"/>
          <w:kern w:val="2"/>
          <w:sz w:val="32"/>
          <w:szCs w:val="32"/>
          <w:lang w:val="en-US" w:eastAsia="zh-CN" w:bidi="ar"/>
        </w:rPr>
        <w:t>依托巨鹿国家级公立医院综合改革示范县、医养结合改革全国样板优势和县乡村三级医疗卫生、机构养老服务体系基础，高位规划、大力推进以</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医疗共同体</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为核心、</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预防共同体</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康养共同体</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为两翼的</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大健康共同体</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建设。特别是按照</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县级医养走高端、乡级医养抓全面、村级医养兜网底、鼓励社会办医养</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的思路，依托县域医疗服务共同体信息化网络系统、医养险智能服务平台等，加快推进城乡养老机构信息化管理、同质化服务，全面提升城乡养老服务水平。</w:t>
      </w:r>
    </w:p>
    <w:p>
      <w:pPr>
        <w:keepNext w:val="0"/>
        <w:keepLines w:val="0"/>
        <w:widowControl w:val="0"/>
        <w:suppressLineNumbers w:val="0"/>
        <w:adjustRightInd w:val="0"/>
        <w:snapToGrid w:val="0"/>
        <w:spacing w:before="0" w:beforeAutospacing="0" w:after="0" w:afterAutospacing="0" w:line="540" w:lineRule="exact"/>
        <w:ind w:left="0" w:right="0" w:firstLine="640" w:firstLineChars="200"/>
        <w:jc w:val="both"/>
        <w:rPr>
          <w:rFonts w:hint="eastAsia" w:ascii="Times New Roman" w:hAnsi="Times New Roman" w:eastAsia="仿宋_GB2312" w:cs="仿宋_GB2312"/>
          <w:kern w:val="2"/>
          <w:sz w:val="32"/>
          <w:szCs w:val="32"/>
          <w:lang w:val="en-US" w:eastAsia="zh-CN" w:bidi="ar"/>
        </w:rPr>
      </w:pPr>
      <w:r>
        <w:rPr>
          <w:rFonts w:hint="eastAsia" w:ascii="Times New Roman" w:hAnsi="Times New Roman" w:eastAsia="仿宋_GB2312" w:cs="仿宋_GB2312"/>
          <w:kern w:val="2"/>
          <w:sz w:val="32"/>
          <w:szCs w:val="32"/>
          <w:lang w:val="en-US" w:eastAsia="zh-CN" w:bidi="ar"/>
        </w:rPr>
        <w:t>（三）建议。</w:t>
      </w:r>
    </w:p>
    <w:p>
      <w:pPr>
        <w:keepNext w:val="0"/>
        <w:keepLines w:val="0"/>
        <w:widowControl w:val="0"/>
        <w:suppressLineNumbers w:val="0"/>
        <w:adjustRightInd w:val="0"/>
        <w:snapToGrid w:val="0"/>
        <w:spacing w:before="0" w:beforeAutospacing="0" w:after="0" w:afterAutospacing="0" w:line="540" w:lineRule="exact"/>
        <w:ind w:left="0" w:right="0" w:firstLine="640" w:firstLineChars="200"/>
        <w:jc w:val="both"/>
        <w:rPr>
          <w:rFonts w:hint="eastAsia" w:ascii="Times New Roman" w:hAnsi="Times New Roman" w:eastAsia="仿宋_GB2312" w:cs="仿宋_GB2312"/>
          <w:kern w:val="2"/>
          <w:sz w:val="32"/>
          <w:szCs w:val="32"/>
          <w:lang w:val="en-US" w:eastAsia="zh-CN" w:bidi="ar"/>
        </w:rPr>
      </w:pPr>
      <w:r>
        <w:rPr>
          <w:rFonts w:hint="eastAsia" w:ascii="Times New Roman" w:hAnsi="Times New Roman" w:eastAsia="仿宋_GB2312" w:cs="仿宋_GB2312"/>
          <w:kern w:val="2"/>
          <w:sz w:val="32"/>
          <w:szCs w:val="32"/>
          <w:lang w:val="en-US" w:eastAsia="zh-CN" w:bidi="ar"/>
        </w:rPr>
        <w:t>支持养老机构根据自身条件，通过独立设置医疗机构、配套设置医务室或卫生所、与周边医疗机构开展签约服务、开辟绿色就诊通道等方式，增强医护康复功能。支持医疗机构开展养老服务，鼓励医院设置老年护理床位，符合条件的转型为老年护理院；完善社区卫生服务，为老年人建立健康档案，鼓励社区卫生服务机构和全科医</w:t>
      </w:r>
      <w:bookmarkStart w:id="0" w:name="_GoBack"/>
      <w:bookmarkEnd w:id="0"/>
      <w:r>
        <w:rPr>
          <w:rFonts w:hint="eastAsia" w:ascii="Times New Roman" w:hAnsi="Times New Roman" w:eastAsia="仿宋_GB2312" w:cs="仿宋_GB2312"/>
          <w:kern w:val="2"/>
          <w:sz w:val="32"/>
          <w:szCs w:val="32"/>
          <w:lang w:val="en-US" w:eastAsia="zh-CN" w:bidi="ar"/>
        </w:rPr>
        <w:t>生开展上门医疗服务。支持社区医疗护理和养老服务机构有机整合，逐步实现资源共享。</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3C1620"/>
    <w:multiLevelType w:val="singleLevel"/>
    <w:tmpl w:val="8C3C1620"/>
    <w:lvl w:ilvl="0" w:tentative="0">
      <w:start w:val="1"/>
      <w:numFmt w:val="decimal"/>
      <w:suff w:val="nothing"/>
      <w:lvlText w:val="%1、"/>
      <w:lvlJc w:val="left"/>
    </w:lvl>
  </w:abstractNum>
  <w:abstractNum w:abstractNumId="1">
    <w:nsid w:val="8CB5DDF7"/>
    <w:multiLevelType w:val="singleLevel"/>
    <w:tmpl w:val="8CB5DDF7"/>
    <w:lvl w:ilvl="0" w:tentative="0">
      <w:start w:val="2"/>
      <w:numFmt w:val="decimal"/>
      <w:suff w:val="nothing"/>
      <w:lvlText w:val="%1、"/>
      <w:lvlJc w:val="left"/>
    </w:lvl>
  </w:abstractNum>
  <w:abstractNum w:abstractNumId="2">
    <w:nsid w:val="13874EA3"/>
    <w:multiLevelType w:val="multilevel"/>
    <w:tmpl w:val="13874EA3"/>
    <w:lvl w:ilvl="0" w:tentative="0">
      <w:start w:val="1"/>
      <w:numFmt w:val="japaneseCounting"/>
      <w:lvlText w:val="%1、"/>
      <w:lvlJc w:val="left"/>
      <w:pPr>
        <w:ind w:left="1192" w:hanging="720"/>
      </w:pPr>
      <w:rPr>
        <w:rFonts w:hint="default"/>
      </w:rPr>
    </w:lvl>
    <w:lvl w:ilvl="1" w:tentative="0">
      <w:start w:val="1"/>
      <w:numFmt w:val="lowerLetter"/>
      <w:lvlText w:val="%2)"/>
      <w:lvlJc w:val="left"/>
      <w:pPr>
        <w:ind w:left="1312" w:hanging="420"/>
      </w:pPr>
    </w:lvl>
    <w:lvl w:ilvl="2" w:tentative="0">
      <w:start w:val="1"/>
      <w:numFmt w:val="lowerRoman"/>
      <w:lvlText w:val="%3."/>
      <w:lvlJc w:val="right"/>
      <w:pPr>
        <w:ind w:left="1732" w:hanging="420"/>
      </w:pPr>
    </w:lvl>
    <w:lvl w:ilvl="3" w:tentative="0">
      <w:start w:val="1"/>
      <w:numFmt w:val="decimal"/>
      <w:lvlText w:val="%4."/>
      <w:lvlJc w:val="left"/>
      <w:pPr>
        <w:ind w:left="2152" w:hanging="420"/>
      </w:pPr>
    </w:lvl>
    <w:lvl w:ilvl="4" w:tentative="0">
      <w:start w:val="1"/>
      <w:numFmt w:val="lowerLetter"/>
      <w:lvlText w:val="%5)"/>
      <w:lvlJc w:val="left"/>
      <w:pPr>
        <w:ind w:left="2572" w:hanging="420"/>
      </w:pPr>
    </w:lvl>
    <w:lvl w:ilvl="5" w:tentative="0">
      <w:start w:val="1"/>
      <w:numFmt w:val="lowerRoman"/>
      <w:lvlText w:val="%6."/>
      <w:lvlJc w:val="right"/>
      <w:pPr>
        <w:ind w:left="2992" w:hanging="420"/>
      </w:pPr>
    </w:lvl>
    <w:lvl w:ilvl="6" w:tentative="0">
      <w:start w:val="1"/>
      <w:numFmt w:val="decimal"/>
      <w:lvlText w:val="%7."/>
      <w:lvlJc w:val="left"/>
      <w:pPr>
        <w:ind w:left="3412" w:hanging="420"/>
      </w:pPr>
    </w:lvl>
    <w:lvl w:ilvl="7" w:tentative="0">
      <w:start w:val="1"/>
      <w:numFmt w:val="lowerLetter"/>
      <w:lvlText w:val="%8)"/>
      <w:lvlJc w:val="left"/>
      <w:pPr>
        <w:ind w:left="3832" w:hanging="420"/>
      </w:pPr>
    </w:lvl>
    <w:lvl w:ilvl="8" w:tentative="0">
      <w:start w:val="1"/>
      <w:numFmt w:val="lowerRoman"/>
      <w:lvlText w:val="%9."/>
      <w:lvlJc w:val="right"/>
      <w:pPr>
        <w:ind w:left="4252"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7EA"/>
    <w:rsid w:val="000B6188"/>
    <w:rsid w:val="001D2EAA"/>
    <w:rsid w:val="002C71AF"/>
    <w:rsid w:val="0036746E"/>
    <w:rsid w:val="00476898"/>
    <w:rsid w:val="00584A12"/>
    <w:rsid w:val="00661BB7"/>
    <w:rsid w:val="006A012B"/>
    <w:rsid w:val="006C0284"/>
    <w:rsid w:val="00767F1C"/>
    <w:rsid w:val="007A1805"/>
    <w:rsid w:val="008E0144"/>
    <w:rsid w:val="00C047EA"/>
    <w:rsid w:val="00C569E2"/>
    <w:rsid w:val="00C91487"/>
    <w:rsid w:val="00CA444D"/>
    <w:rsid w:val="00FC3534"/>
    <w:rsid w:val="00FE09BC"/>
    <w:rsid w:val="031155FF"/>
    <w:rsid w:val="0EC40EB5"/>
    <w:rsid w:val="0F3552C9"/>
    <w:rsid w:val="19101D9E"/>
    <w:rsid w:val="5CFD38CE"/>
    <w:rsid w:val="6F353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Layout w:type="fixed"/>
      <w:tblCellMar>
        <w:top w:w="0" w:type="dxa"/>
        <w:left w:w="108" w:type="dxa"/>
        <w:bottom w:w="0" w:type="dxa"/>
        <w:right w:w="108" w:type="dxa"/>
      </w:tblCellMar>
    </w:tblPr>
  </w:style>
  <w:style w:type="paragraph" w:styleId="2">
    <w:name w:val="footer"/>
    <w:basedOn w:val="1"/>
    <w:link w:val="17"/>
    <w:semiHidden/>
    <w:unhideWhenUsed/>
    <w:qFormat/>
    <w:uiPriority w:val="99"/>
    <w:pPr>
      <w:tabs>
        <w:tab w:val="center" w:pos="4153"/>
        <w:tab w:val="right" w:pos="8306"/>
      </w:tabs>
      <w:snapToGrid w:val="0"/>
      <w:jc w:val="left"/>
    </w:pPr>
    <w:rPr>
      <w:sz w:val="18"/>
      <w:szCs w:val="18"/>
    </w:rPr>
  </w:style>
  <w:style w:type="paragraph" w:styleId="3">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Strong"/>
    <w:basedOn w:val="5"/>
    <w:qFormat/>
    <w:uiPriority w:val="22"/>
    <w:rPr>
      <w:b/>
      <w:sz w:val="18"/>
      <w:szCs w:val="18"/>
    </w:rPr>
  </w:style>
  <w:style w:type="character" w:styleId="7">
    <w:name w:val="FollowedHyperlink"/>
    <w:basedOn w:val="5"/>
    <w:semiHidden/>
    <w:unhideWhenUsed/>
    <w:uiPriority w:val="99"/>
    <w:rPr>
      <w:color w:val="333333"/>
      <w:u w:val="none"/>
    </w:rPr>
  </w:style>
  <w:style w:type="character" w:styleId="8">
    <w:name w:val="Emphasis"/>
    <w:basedOn w:val="5"/>
    <w:qFormat/>
    <w:uiPriority w:val="20"/>
  </w:style>
  <w:style w:type="character" w:styleId="9">
    <w:name w:val="HTML Definition"/>
    <w:basedOn w:val="5"/>
    <w:semiHidden/>
    <w:unhideWhenUsed/>
    <w:uiPriority w:val="99"/>
    <w:rPr>
      <w:i/>
    </w:rPr>
  </w:style>
  <w:style w:type="character" w:styleId="10">
    <w:name w:val="HTML Acronym"/>
    <w:basedOn w:val="5"/>
    <w:semiHidden/>
    <w:unhideWhenUsed/>
    <w:uiPriority w:val="99"/>
  </w:style>
  <w:style w:type="character" w:styleId="11">
    <w:name w:val="Hyperlink"/>
    <w:basedOn w:val="5"/>
    <w:semiHidden/>
    <w:unhideWhenUsed/>
    <w:uiPriority w:val="99"/>
    <w:rPr>
      <w:color w:val="333333"/>
      <w:u w:val="none"/>
    </w:rPr>
  </w:style>
  <w:style w:type="character" w:styleId="12">
    <w:name w:val="HTML Code"/>
    <w:basedOn w:val="5"/>
    <w:semiHidden/>
    <w:unhideWhenUsed/>
    <w:uiPriority w:val="99"/>
    <w:rPr>
      <w:rFonts w:hint="default" w:ascii="monospace" w:hAnsi="monospace" w:eastAsia="monospace" w:cs="monospace"/>
      <w:sz w:val="21"/>
      <w:szCs w:val="21"/>
    </w:rPr>
  </w:style>
  <w:style w:type="character" w:styleId="13">
    <w:name w:val="HTML Keyboard"/>
    <w:basedOn w:val="5"/>
    <w:semiHidden/>
    <w:unhideWhenUsed/>
    <w:uiPriority w:val="99"/>
    <w:rPr>
      <w:rFonts w:ascii="monospace" w:hAnsi="monospace" w:eastAsia="monospace" w:cs="monospace"/>
      <w:sz w:val="21"/>
      <w:szCs w:val="21"/>
    </w:rPr>
  </w:style>
  <w:style w:type="character" w:styleId="14">
    <w:name w:val="HTML Sample"/>
    <w:basedOn w:val="5"/>
    <w:semiHidden/>
    <w:unhideWhenUsed/>
    <w:uiPriority w:val="99"/>
    <w:rPr>
      <w:rFonts w:hint="default" w:ascii="monospace" w:hAnsi="monospace" w:eastAsia="monospace" w:cs="monospace"/>
      <w:sz w:val="21"/>
      <w:szCs w:val="21"/>
    </w:rPr>
  </w:style>
  <w:style w:type="character" w:customStyle="1" w:styleId="16">
    <w:name w:val="页眉 Char"/>
    <w:basedOn w:val="5"/>
    <w:link w:val="3"/>
    <w:semiHidden/>
    <w:qFormat/>
    <w:uiPriority w:val="99"/>
    <w:rPr>
      <w:sz w:val="18"/>
      <w:szCs w:val="18"/>
    </w:rPr>
  </w:style>
  <w:style w:type="character" w:customStyle="1" w:styleId="17">
    <w:name w:val="页脚 Char"/>
    <w:basedOn w:val="5"/>
    <w:link w:val="2"/>
    <w:semiHidden/>
    <w:qFormat/>
    <w:uiPriority w:val="99"/>
    <w:rPr>
      <w:sz w:val="18"/>
      <w:szCs w:val="18"/>
    </w:rPr>
  </w:style>
  <w:style w:type="paragraph" w:styleId="18">
    <w:name w:val="List Paragraph"/>
    <w:basedOn w:val="1"/>
    <w:qFormat/>
    <w:uiPriority w:val="34"/>
    <w:pPr>
      <w:ind w:firstLine="420" w:firstLineChars="200"/>
    </w:pPr>
  </w:style>
  <w:style w:type="character" w:customStyle="1" w:styleId="19">
    <w:name w:val="num31"/>
    <w:basedOn w:val="5"/>
    <w:uiPriority w:val="0"/>
  </w:style>
  <w:style w:type="character" w:customStyle="1" w:styleId="20">
    <w:name w:val="left"/>
    <w:basedOn w:val="5"/>
    <w:uiPriority w:val="0"/>
  </w:style>
  <w:style w:type="character" w:customStyle="1" w:styleId="21">
    <w:name w:val="prev7"/>
    <w:basedOn w:val="5"/>
    <w:uiPriority w:val="0"/>
  </w:style>
  <w:style w:type="character" w:customStyle="1" w:styleId="22">
    <w:name w:val="prev8"/>
    <w:basedOn w:val="5"/>
    <w:uiPriority w:val="0"/>
  </w:style>
  <w:style w:type="character" w:customStyle="1" w:styleId="23">
    <w:name w:val="prev9"/>
    <w:basedOn w:val="5"/>
    <w:uiPriority w:val="0"/>
  </w:style>
  <w:style w:type="character" w:customStyle="1" w:styleId="24">
    <w:name w:val="prev10"/>
    <w:basedOn w:val="5"/>
    <w:uiPriority w:val="0"/>
  </w:style>
  <w:style w:type="character" w:customStyle="1" w:styleId="25">
    <w:name w:val="num71"/>
    <w:basedOn w:val="5"/>
    <w:uiPriority w:val="0"/>
  </w:style>
  <w:style w:type="character" w:customStyle="1" w:styleId="26">
    <w:name w:val="next7"/>
    <w:basedOn w:val="5"/>
    <w:uiPriority w:val="0"/>
  </w:style>
  <w:style w:type="character" w:customStyle="1" w:styleId="27">
    <w:name w:val="next8"/>
    <w:basedOn w:val="5"/>
    <w:uiPriority w:val="0"/>
  </w:style>
  <w:style w:type="character" w:customStyle="1" w:styleId="28">
    <w:name w:val="next9"/>
    <w:basedOn w:val="5"/>
    <w:uiPriority w:val="0"/>
  </w:style>
  <w:style w:type="character" w:customStyle="1" w:styleId="29">
    <w:name w:val="next10"/>
    <w:basedOn w:val="5"/>
    <w:uiPriority w:val="0"/>
  </w:style>
  <w:style w:type="character" w:customStyle="1" w:styleId="30">
    <w:name w:val="num112"/>
    <w:basedOn w:val="5"/>
    <w:uiPriority w:val="0"/>
  </w:style>
  <w:style w:type="character" w:customStyle="1" w:styleId="31">
    <w:name w:val="zt"/>
    <w:basedOn w:val="5"/>
    <w:uiPriority w:val="0"/>
    <w:rPr>
      <w:color w:val="666666"/>
      <w:shd w:val="clear" w:fill="F3F3F3"/>
    </w:rPr>
  </w:style>
  <w:style w:type="character" w:customStyle="1" w:styleId="32">
    <w:name w:val="zt1"/>
    <w:basedOn w:val="5"/>
    <w:uiPriority w:val="0"/>
    <w:rPr>
      <w:color w:val="2B5C9F"/>
      <w:shd w:val="clear" w:fill="EEF3F9"/>
    </w:rPr>
  </w:style>
  <w:style w:type="character" w:customStyle="1" w:styleId="33">
    <w:name w:val="zt2"/>
    <w:basedOn w:val="5"/>
    <w:uiPriority w:val="0"/>
    <w:rPr>
      <w:color w:val="FF0000"/>
      <w:shd w:val="clear" w:fill="FED8D8"/>
    </w:rPr>
  </w:style>
  <w:style w:type="character" w:customStyle="1" w:styleId="34">
    <w:name w:val="num52"/>
    <w:basedOn w:val="5"/>
    <w:uiPriority w:val="0"/>
  </w:style>
  <w:style w:type="character" w:customStyle="1" w:styleId="35">
    <w:name w:val="msg-box14"/>
    <w:basedOn w:val="5"/>
    <w:uiPriority w:val="0"/>
  </w:style>
  <w:style w:type="character" w:customStyle="1" w:styleId="36">
    <w:name w:val="c2"/>
    <w:basedOn w:val="5"/>
    <w:uiPriority w:val="0"/>
  </w:style>
  <w:style w:type="character" w:customStyle="1" w:styleId="37">
    <w:name w:val="c1"/>
    <w:basedOn w:val="5"/>
    <w:uiPriority w:val="0"/>
  </w:style>
  <w:style w:type="character" w:customStyle="1" w:styleId="38">
    <w:name w:val="c3"/>
    <w:basedOn w:val="5"/>
    <w:uiPriority w:val="0"/>
  </w:style>
  <w:style w:type="character" w:customStyle="1" w:styleId="39">
    <w:name w:val="bt11"/>
    <w:basedOn w:val="5"/>
    <w:uiPriority w:val="0"/>
    <w:rPr>
      <w:b/>
      <w:sz w:val="24"/>
      <w:szCs w:val="24"/>
    </w:rPr>
  </w:style>
  <w:style w:type="character" w:customStyle="1" w:styleId="40">
    <w:name w:val="nr"/>
    <w:basedOn w:val="5"/>
    <w:uiPriority w:val="0"/>
  </w:style>
  <w:style w:type="character" w:customStyle="1" w:styleId="41">
    <w:name w:val="note-content"/>
    <w:basedOn w:val="5"/>
    <w:uiPriority w:val="0"/>
  </w:style>
  <w:style w:type="character" w:customStyle="1" w:styleId="42">
    <w:name w:val="img_title64"/>
    <w:basedOn w:val="5"/>
    <w:uiPriority w:val="0"/>
    <w:rPr>
      <w:vanish/>
    </w:rPr>
  </w:style>
  <w:style w:type="character" w:customStyle="1" w:styleId="43">
    <w:name w:val="lang"/>
    <w:basedOn w:val="5"/>
    <w:uiPriority w:val="0"/>
  </w:style>
  <w:style w:type="character" w:customStyle="1" w:styleId="44">
    <w:name w:val="button"/>
    <w:basedOn w:val="5"/>
    <w:uiPriority w:val="0"/>
  </w:style>
  <w:style w:type="character" w:customStyle="1" w:styleId="45">
    <w:name w:val="next"/>
    <w:basedOn w:val="5"/>
    <w:uiPriority w:val="0"/>
  </w:style>
  <w:style w:type="character" w:customStyle="1" w:styleId="46">
    <w:name w:val="next1"/>
    <w:basedOn w:val="5"/>
    <w:uiPriority w:val="0"/>
  </w:style>
  <w:style w:type="character" w:customStyle="1" w:styleId="47">
    <w:name w:val="next2"/>
    <w:basedOn w:val="5"/>
    <w:uiPriority w:val="0"/>
  </w:style>
  <w:style w:type="character" w:customStyle="1" w:styleId="48">
    <w:name w:val="next3"/>
    <w:basedOn w:val="5"/>
    <w:uiPriority w:val="0"/>
  </w:style>
  <w:style w:type="character" w:customStyle="1" w:styleId="49">
    <w:name w:val="prev"/>
    <w:basedOn w:val="5"/>
    <w:uiPriority w:val="0"/>
  </w:style>
  <w:style w:type="character" w:customStyle="1" w:styleId="50">
    <w:name w:val="prev1"/>
    <w:basedOn w:val="5"/>
    <w:uiPriority w:val="0"/>
  </w:style>
  <w:style w:type="character" w:customStyle="1" w:styleId="51">
    <w:name w:val="prev2"/>
    <w:basedOn w:val="5"/>
    <w:uiPriority w:val="0"/>
  </w:style>
  <w:style w:type="character" w:customStyle="1" w:styleId="52">
    <w:name w:val="prev3"/>
    <w:basedOn w:val="5"/>
    <w:uiPriority w:val="0"/>
  </w:style>
  <w:style w:type="character" w:customStyle="1" w:styleId="53">
    <w:name w:val="bt10"/>
    <w:basedOn w:val="5"/>
    <w:uiPriority w:val="0"/>
    <w:rPr>
      <w:b/>
      <w:sz w:val="24"/>
      <w:szCs w:val="24"/>
    </w:rPr>
  </w:style>
  <w:style w:type="character" w:customStyle="1" w:styleId="54">
    <w:name w:val="num110"/>
    <w:basedOn w:val="5"/>
    <w:uiPriority w:val="0"/>
  </w:style>
  <w:style w:type="character" w:customStyle="1" w:styleId="55">
    <w:name w:val="zt3"/>
    <w:basedOn w:val="5"/>
    <w:uiPriority w:val="0"/>
    <w:rPr>
      <w:color w:val="2B5C9F"/>
      <w:shd w:val="clear" w:fill="EEF3F9"/>
    </w:rPr>
  </w:style>
  <w:style w:type="character" w:customStyle="1" w:styleId="56">
    <w:name w:val="zt4"/>
    <w:basedOn w:val="5"/>
    <w:uiPriority w:val="0"/>
    <w:rPr>
      <w:color w:val="FF0000"/>
      <w:shd w:val="clear" w:fill="FED8D8"/>
    </w:rPr>
  </w:style>
  <w:style w:type="character" w:customStyle="1" w:styleId="57">
    <w:name w:val="left2"/>
    <w:basedOn w:val="5"/>
    <w:uiPriority w:val="0"/>
  </w:style>
  <w:style w:type="character" w:customStyle="1" w:styleId="58">
    <w:name w:val="bt"/>
    <w:basedOn w:val="5"/>
    <w:uiPriority w:val="0"/>
    <w:rPr>
      <w:b/>
      <w:sz w:val="24"/>
      <w:szCs w:val="24"/>
    </w:rPr>
  </w:style>
  <w:style w:type="character" w:customStyle="1" w:styleId="59">
    <w:name w:val="prev4"/>
    <w:basedOn w:val="5"/>
    <w:uiPriority w:val="0"/>
  </w:style>
  <w:style w:type="character" w:customStyle="1" w:styleId="60">
    <w:name w:val="prev6"/>
    <w:basedOn w:val="5"/>
    <w:uiPriority w:val="0"/>
  </w:style>
  <w:style w:type="character" w:customStyle="1" w:styleId="61">
    <w:name w:val="img_title"/>
    <w:basedOn w:val="5"/>
    <w:uiPriority w:val="0"/>
    <w:rPr>
      <w:vanish/>
    </w:rPr>
  </w:style>
  <w:style w:type="character" w:customStyle="1" w:styleId="62">
    <w:name w:val="num51"/>
    <w:basedOn w:val="5"/>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95</Words>
  <Characters>543</Characters>
  <Lines>4</Lines>
  <Paragraphs>1</Paragraphs>
  <TotalTime>13</TotalTime>
  <ScaleCrop>false</ScaleCrop>
  <LinksUpToDate>false</LinksUpToDate>
  <CharactersWithSpaces>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2022-03-02T02:51:00Z</dcterms:created>
  <dc:creator>lenovo</dc:creator>
  <cp:lastModifiedBy>Administrator</cp:lastModifiedBy>
  <cp:lastPrinted>2022-03-03T03:27:00Z</cp:lastPrinted>
  <dcterms:modified xsi:type="dcterms:W3CDTF">2022-04-24T02:10:43Z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