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w:t>
      </w:r>
      <w:r>
        <w:rPr>
          <w:rFonts w:hint="eastAsia" w:ascii="宋体" w:hAnsi="宋体" w:eastAsia="宋体" w:cs="宋体"/>
          <w:b/>
          <w:bCs/>
          <w:kern w:val="0"/>
          <w:sz w:val="44"/>
          <w:szCs w:val="44"/>
          <w:lang w:eastAsia="zh-CN"/>
        </w:rPr>
        <w:t>巨鹿县殡葬管理所运转和惠葬经费</w:t>
      </w:r>
      <w:r>
        <w:rPr>
          <w:rFonts w:hint="eastAsia" w:ascii="宋体" w:hAnsi="宋体" w:eastAsia="宋体" w:cs="宋体"/>
          <w:b/>
          <w:bCs/>
          <w:kern w:val="0"/>
          <w:sz w:val="44"/>
          <w:szCs w:val="44"/>
        </w:rPr>
        <w:t>绩效评价自评报告</w:t>
      </w:r>
    </w:p>
    <w:p>
      <w:pPr>
        <w:widowControl/>
        <w:rPr>
          <w:rFonts w:ascii="黑体" w:hAnsi="黑体" w:eastAsia="黑体" w:cs="宋体"/>
          <w:b/>
          <w:bCs/>
          <w:kern w:val="0"/>
          <w:sz w:val="44"/>
          <w:szCs w:val="44"/>
        </w:rPr>
      </w:pPr>
    </w:p>
    <w:p>
      <w:pPr>
        <w:pStyle w:val="9"/>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rPr>
          <w:rFonts w:ascii="仿宋" w:hAnsi="仿宋" w:eastAsia="仿宋" w:cs="宋体"/>
          <w:kern w:val="0"/>
          <w:sz w:val="32"/>
          <w:szCs w:val="32"/>
        </w:rPr>
      </w:pPr>
      <w:r>
        <w:rPr>
          <w:rFonts w:hint="eastAsia" w:cs="宋体" w:asciiTheme="minorEastAsia" w:hAnsiTheme="minorEastAsia"/>
          <w:kern w:val="0"/>
          <w:sz w:val="32"/>
          <w:szCs w:val="32"/>
        </w:rPr>
        <w:t xml:space="preserve">  （</w:t>
      </w:r>
      <w:r>
        <w:rPr>
          <w:rFonts w:hint="eastAsia" w:ascii="仿宋" w:hAnsi="仿宋" w:eastAsia="仿宋" w:cs="宋体"/>
          <w:kern w:val="0"/>
          <w:sz w:val="32"/>
          <w:szCs w:val="32"/>
        </w:rPr>
        <w:t>一）政府战略规划或目标。</w:t>
      </w:r>
    </w:p>
    <w:p>
      <w:pPr>
        <w:widowControl/>
        <w:numPr>
          <w:ilvl w:val="0"/>
          <w:numId w:val="0"/>
        </w:numPr>
        <w:ind w:left="320" w:leftChars="0"/>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仿宋"/>
          <w:kern w:val="2"/>
          <w:sz w:val="32"/>
          <w:szCs w:val="32"/>
          <w:lang w:val="en-US" w:eastAsia="zh-CN" w:bidi="ar"/>
        </w:rPr>
        <w:t>按照《邢台市财政局关于开展2021年度市级项目支出绩效自评和部门整体支出绩效自评工作的通知》（邢财监{2022}4号）文件要求开展自评，对我县2021年殡葬服务人员经费补助开展了绩效评价，全面评价了我县2021年开展殡葬实施的情况。</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（二）单位工作目标。</w:t>
      </w:r>
    </w:p>
    <w:p>
      <w:pPr>
        <w:widowControl/>
        <w:numPr>
          <w:ilvl w:val="0"/>
          <w:numId w:val="0"/>
        </w:numPr>
        <w:ind w:left="320" w:leftChars="0" w:firstLine="640"/>
        <w:rPr>
          <w:rFonts w:hint="eastAsia" w:ascii="仿宋" w:hAnsi="仿宋" w:eastAsia="仿宋" w:cs="仿宋"/>
          <w:kern w:val="2"/>
          <w:sz w:val="32"/>
          <w:szCs w:val="32"/>
          <w:lang w:val="en-US" w:eastAsia="zh-CN" w:bidi="ar"/>
        </w:rPr>
      </w:pPr>
      <w:r>
        <w:rPr>
          <w:rFonts w:hint="eastAsia" w:ascii="仿宋" w:hAnsi="仿宋" w:eastAsia="仿宋" w:cs="宋体"/>
          <w:kern w:val="0"/>
          <w:sz w:val="32"/>
          <w:szCs w:val="32"/>
        </w:rPr>
        <w:t xml:space="preserve"> </w:t>
      </w:r>
      <w:r>
        <w:rPr>
          <w:rFonts w:hint="eastAsia" w:ascii="仿宋" w:hAnsi="仿宋" w:eastAsia="仿宋" w:cs="仿宋"/>
          <w:kern w:val="2"/>
          <w:sz w:val="32"/>
          <w:szCs w:val="32"/>
          <w:lang w:val="en-US" w:eastAsia="zh-CN" w:bidi="ar"/>
        </w:rPr>
        <w:t>认真贯彻执行国家以及地方殡葬法律法规和方针政策；负责为我县城乡居民提供遗体接运、遗体冷藏、遗体火化、遗体整容化妆、悼念服务、骨灰存放等基本殡葬（仪）服务；配合殡葬管理有关部门宣传殡葬改革政策，搞好移风易俗，破除封建迷信，引导群众树立科学、文明、健康的丧葬习俗。    </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（三）工作活动(项目)基本情况。</w:t>
      </w:r>
    </w:p>
    <w:p>
      <w:pPr>
        <w:widowControl/>
        <w:ind w:left="281" w:leftChars="134" w:firstLine="640" w:firstLineChars="200"/>
        <w:rPr>
          <w:rFonts w:ascii="仿宋" w:hAnsi="仿宋" w:eastAsia="仿宋" w:cs="宋体"/>
          <w:kern w:val="0"/>
          <w:sz w:val="32"/>
          <w:szCs w:val="32"/>
        </w:rPr>
      </w:pPr>
      <w:r>
        <w:rPr>
          <w:rFonts w:hint="eastAsia" w:ascii="仿宋" w:hAnsi="仿宋" w:eastAsia="仿宋" w:cs="宋体"/>
          <w:kern w:val="0"/>
          <w:sz w:val="32"/>
          <w:szCs w:val="32"/>
        </w:rPr>
        <w:t>1、工作活动(项目)背景资料。简要说明项目名称、主要内容、主要解决的问题、项目实施依据、资金分配及历年安排情况；</w:t>
      </w:r>
    </w:p>
    <w:p>
      <w:pPr>
        <w:widowControl/>
        <w:ind w:left="281" w:leftChars="134"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20</w:t>
      </w:r>
      <w:r>
        <w:rPr>
          <w:rFonts w:hint="eastAsia" w:ascii="仿宋" w:hAnsi="仿宋" w:eastAsia="仿宋" w:cs="宋体"/>
          <w:kern w:val="0"/>
          <w:sz w:val="32"/>
          <w:szCs w:val="32"/>
          <w:lang w:val="en-US" w:eastAsia="zh-CN"/>
        </w:rPr>
        <w:t>21</w:t>
      </w:r>
      <w:r>
        <w:rPr>
          <w:rFonts w:hint="eastAsia" w:ascii="仿宋" w:hAnsi="仿宋" w:eastAsia="仿宋" w:cs="宋体"/>
          <w:kern w:val="0"/>
          <w:sz w:val="32"/>
          <w:szCs w:val="32"/>
        </w:rPr>
        <w:t>年全年火化遗体</w:t>
      </w:r>
      <w:r>
        <w:rPr>
          <w:rFonts w:hint="eastAsia" w:ascii="仿宋" w:hAnsi="仿宋" w:eastAsia="仿宋" w:cs="宋体"/>
          <w:kern w:val="0"/>
          <w:sz w:val="32"/>
          <w:szCs w:val="32"/>
          <w:lang w:val="en-US" w:eastAsia="zh-CN"/>
        </w:rPr>
        <w:t>2599</w:t>
      </w:r>
      <w:r>
        <w:rPr>
          <w:rFonts w:hint="eastAsia" w:ascii="仿宋" w:hAnsi="仿宋" w:eastAsia="仿宋" w:cs="宋体"/>
          <w:kern w:val="0"/>
          <w:sz w:val="32"/>
          <w:szCs w:val="32"/>
        </w:rPr>
        <w:t>具，完成年初绩效目标。本项目资金来源为财政拨款，为预算安排的</w:t>
      </w:r>
      <w:r>
        <w:rPr>
          <w:rFonts w:hint="eastAsia" w:ascii="仿宋" w:hAnsi="仿宋" w:eastAsia="仿宋" w:cs="宋体"/>
          <w:kern w:val="0"/>
          <w:sz w:val="32"/>
          <w:szCs w:val="32"/>
          <w:lang w:eastAsia="zh-CN"/>
        </w:rPr>
        <w:t>殡葬管理所运转和惠葬经费</w:t>
      </w:r>
      <w:r>
        <w:rPr>
          <w:rFonts w:hint="eastAsia" w:ascii="仿宋" w:hAnsi="仿宋" w:eastAsia="仿宋" w:cs="宋体"/>
          <w:kern w:val="0"/>
          <w:sz w:val="32"/>
          <w:szCs w:val="32"/>
          <w:lang w:val="en-US" w:eastAsia="zh-CN"/>
        </w:rPr>
        <w:t>120</w:t>
      </w:r>
      <w:r>
        <w:rPr>
          <w:rFonts w:hint="eastAsia" w:ascii="仿宋" w:hAnsi="仿宋" w:eastAsia="仿宋" w:cs="宋体"/>
          <w:kern w:val="0"/>
          <w:sz w:val="32"/>
          <w:szCs w:val="32"/>
        </w:rPr>
        <w:t>万元，</w:t>
      </w:r>
      <w:r>
        <w:rPr>
          <w:rFonts w:hint="eastAsia" w:ascii="仿宋" w:hAnsi="仿宋" w:eastAsia="仿宋" w:cs="宋体"/>
          <w:kern w:val="0"/>
          <w:sz w:val="32"/>
          <w:szCs w:val="32"/>
          <w:lang w:eastAsia="zh-CN"/>
        </w:rPr>
        <w:t>主要用于殡葬管理所人员工资、日常公用经费、油费等各项日常支出。</w:t>
      </w:r>
      <w:r>
        <w:rPr>
          <w:rFonts w:hint="eastAsia" w:ascii="仿宋" w:hAnsi="仿宋" w:eastAsia="仿宋" w:cs="宋体"/>
          <w:kern w:val="0"/>
          <w:sz w:val="32"/>
          <w:szCs w:val="32"/>
        </w:rPr>
        <w:t>资金已于20</w:t>
      </w:r>
      <w:r>
        <w:rPr>
          <w:rFonts w:hint="eastAsia" w:ascii="仿宋" w:hAnsi="仿宋" w:eastAsia="仿宋" w:cs="宋体"/>
          <w:kern w:val="0"/>
          <w:sz w:val="32"/>
          <w:szCs w:val="32"/>
          <w:lang w:val="en-US" w:eastAsia="zh-CN"/>
        </w:rPr>
        <w:t>21</w:t>
      </w:r>
      <w:r>
        <w:rPr>
          <w:rFonts w:hint="eastAsia" w:ascii="仿宋" w:hAnsi="仿宋" w:eastAsia="仿宋" w:cs="宋体"/>
          <w:kern w:val="0"/>
          <w:sz w:val="32"/>
          <w:szCs w:val="32"/>
        </w:rPr>
        <w:t>年初随部门预算批复到位</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严格按照国库集中支付管理制度规定和财政下达资金的使用范围进行。按照项目计划安排和实际工作情况开支，做到了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widowControl/>
        <w:ind w:left="319" w:leftChars="152" w:firstLine="640" w:firstLineChars="200"/>
        <w:rPr>
          <w:rFonts w:ascii="仿宋" w:hAnsi="仿宋" w:eastAsia="仿宋" w:cs="宋体"/>
          <w:color w:val="000000"/>
          <w:kern w:val="0"/>
          <w:sz w:val="32"/>
          <w:szCs w:val="32"/>
        </w:rPr>
      </w:pPr>
      <w:r>
        <w:rPr>
          <w:rFonts w:hint="eastAsia" w:ascii="仿宋" w:hAnsi="仿宋" w:eastAsia="仿宋" w:cs="宋体"/>
          <w:kern w:val="0"/>
          <w:sz w:val="32"/>
          <w:szCs w:val="32"/>
        </w:rPr>
        <w:t>2、</w:t>
      </w:r>
      <w:r>
        <w:rPr>
          <w:rFonts w:hint="eastAsia" w:ascii="仿宋" w:hAnsi="仿宋" w:eastAsia="仿宋" w:cs="宋体"/>
          <w:color w:val="000000"/>
          <w:kern w:val="0"/>
          <w:sz w:val="32"/>
          <w:szCs w:val="32"/>
        </w:rPr>
        <w:t>工作活动(项目)的可行性、必要性、有效性及其论证过程。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1、项目实施对经济和社会的影响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项目实施加强了财政资金监管工作，确保了各项惠民资金顺利到位，保障了各项民生政策落到实处。加强了财政内部管理，提高了财政资金使用效率和运行质量预算执行进度；强化了基层财政监督职能，保障了各项惠民政策贯彻落实和各项资金有效使用，极大地保障了财政资金的安全高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 2、项目的可持续性分析。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目前，现代殡葬、绿色殡葬的理念逐渐深入人心。为了进一步树立文明丧葬新风尚，深化殡葬改革事业，全面建立“减、免、补”的惠民政策机制，实现惠民殡葬全覆盖。还需要继续增加对该项目的资金支持。</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widowControl/>
        <w:rPr>
          <w:rFonts w:hint="default"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 xml:space="preserve">    巨鹿</w:t>
      </w:r>
      <w:r>
        <w:rPr>
          <w:rFonts w:hint="default" w:ascii="仿宋" w:hAnsi="仿宋" w:eastAsia="仿宋" w:cs="宋体"/>
          <w:kern w:val="0"/>
          <w:sz w:val="32"/>
          <w:szCs w:val="32"/>
          <w:lang w:val="en-US" w:eastAsia="zh-CN" w:bidi="ar-SA"/>
        </w:rPr>
        <w:t>县殡仪馆，使之成为</w:t>
      </w:r>
      <w:r>
        <w:rPr>
          <w:rFonts w:hint="eastAsia" w:ascii="仿宋" w:hAnsi="仿宋" w:eastAsia="仿宋" w:cs="宋体"/>
          <w:kern w:val="0"/>
          <w:sz w:val="32"/>
          <w:szCs w:val="32"/>
          <w:lang w:val="en-US" w:eastAsia="zh-CN" w:bidi="ar-SA"/>
        </w:rPr>
        <w:t>于巨鹿</w:t>
      </w:r>
      <w:r>
        <w:rPr>
          <w:rFonts w:hint="default" w:ascii="仿宋" w:hAnsi="仿宋" w:eastAsia="仿宋" w:cs="宋体"/>
          <w:kern w:val="0"/>
          <w:sz w:val="32"/>
          <w:szCs w:val="32"/>
          <w:lang w:val="en-US" w:eastAsia="zh-CN" w:bidi="ar-SA"/>
        </w:rPr>
        <w:t>城市规模和经济发展战略功能定位相适应的社会主义精神文明建设阵地。能够承担起</w:t>
      </w:r>
      <w:r>
        <w:rPr>
          <w:rFonts w:hint="eastAsia" w:ascii="仿宋" w:hAnsi="仿宋" w:eastAsia="仿宋" w:cs="宋体"/>
          <w:kern w:val="0"/>
          <w:sz w:val="32"/>
          <w:szCs w:val="32"/>
          <w:lang w:val="en-US" w:eastAsia="zh-CN" w:bidi="ar-SA"/>
        </w:rPr>
        <w:t>巨鹿</w:t>
      </w:r>
      <w:r>
        <w:rPr>
          <w:rFonts w:hint="default" w:ascii="仿宋" w:hAnsi="仿宋" w:eastAsia="仿宋" w:cs="宋体"/>
          <w:kern w:val="0"/>
          <w:sz w:val="32"/>
          <w:szCs w:val="32"/>
          <w:lang w:val="en-US" w:eastAsia="zh-CN" w:bidi="ar-SA"/>
        </w:rPr>
        <w:t>县</w:t>
      </w:r>
      <w:r>
        <w:rPr>
          <w:rFonts w:hint="eastAsia" w:ascii="仿宋" w:hAnsi="仿宋" w:eastAsia="仿宋" w:cs="宋体"/>
          <w:kern w:val="0"/>
          <w:sz w:val="32"/>
          <w:szCs w:val="32"/>
          <w:lang w:val="en-US" w:eastAsia="zh-CN" w:bidi="ar-SA"/>
        </w:rPr>
        <w:t>全县</w:t>
      </w:r>
      <w:r>
        <w:rPr>
          <w:rFonts w:hint="default" w:ascii="仿宋" w:hAnsi="仿宋" w:eastAsia="仿宋" w:cs="宋体"/>
          <w:kern w:val="0"/>
          <w:sz w:val="32"/>
          <w:szCs w:val="32"/>
          <w:lang w:val="en-US" w:eastAsia="zh-CN" w:bidi="ar-SA"/>
        </w:rPr>
        <w:t>死亡人员的全部殡葬火化任务，是新形势下构建和谐社会、落实“以人为本”科学发展观的具体体现，也是发展社会福利事业和完善社会保障制度的要求。</w:t>
      </w:r>
    </w:p>
    <w:p>
      <w:pPr>
        <w:widowControl/>
        <w:rPr>
          <w:rFonts w:hint="default"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（二）工作活动(项目)绩效指标设定情况。</w:t>
      </w:r>
    </w:p>
    <w:p>
      <w:pPr>
        <w:widowControl/>
        <w:ind w:firstLine="640" w:firstLineChars="200"/>
        <w:rPr>
          <w:rFonts w:hint="default"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 xml:space="preserve"> 2021年全年火化遗体2599具，完成年初绩效目标。</w:t>
      </w:r>
      <w:r>
        <w:rPr>
          <w:rFonts w:hint="default" w:ascii="仿宋" w:hAnsi="仿宋" w:eastAsia="仿宋" w:cs="宋体"/>
          <w:kern w:val="0"/>
          <w:sz w:val="32"/>
          <w:szCs w:val="32"/>
          <w:lang w:val="en-US" w:eastAsia="zh-CN" w:bidi="ar-SA"/>
        </w:rPr>
        <w:t>随着经济社会的不断发展，导致人们对殡葬事业的需求越来越强烈，和谐殡葬是构建社会主义和谐社会不可或缺的一部分，殡仪馆作为目前殡葬服务的主要提供者，在贯彻落实党和 政府的“亲民、为民、利民”政策上具有不可替代的作用</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（三）调整情况。</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ascii="仿宋" w:hAnsi="仿宋" w:eastAsia="仿宋" w:cs="宋体"/>
          <w:color w:val="000000"/>
          <w:kern w:val="0"/>
          <w:sz w:val="32"/>
          <w:szCs w:val="32"/>
        </w:rPr>
      </w:pPr>
      <w:r>
        <w:rPr>
          <w:rFonts w:hint="eastAsia" w:ascii="仿宋" w:hAnsi="仿宋" w:eastAsia="仿宋" w:cs="宋体"/>
          <w:kern w:val="0"/>
          <w:sz w:val="32"/>
          <w:szCs w:val="32"/>
        </w:rPr>
        <w:t>（一）计划制定和落实情况。</w:t>
      </w:r>
      <w:r>
        <w:rPr>
          <w:rFonts w:hint="eastAsia" w:ascii="仿宋" w:hAnsi="仿宋" w:eastAsia="仿宋" w:cs="宋体"/>
          <w:color w:val="000000"/>
          <w:kern w:val="0"/>
          <w:sz w:val="32"/>
          <w:szCs w:val="32"/>
        </w:rPr>
        <w:t>说明是否制定详细可行的工</w:t>
      </w:r>
    </w:p>
    <w:p>
      <w:pPr>
        <w:widowControl/>
        <w:ind w:left="32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作活动(项目)实施计划，是否按实施计划具体落实。</w:t>
      </w:r>
    </w:p>
    <w:p>
      <w:pPr>
        <w:widowControl/>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20</w:t>
      </w:r>
      <w:r>
        <w:rPr>
          <w:rFonts w:hint="eastAsia" w:ascii="仿宋" w:hAnsi="仿宋" w:eastAsia="仿宋" w:cs="宋体"/>
          <w:color w:val="000000"/>
          <w:kern w:val="0"/>
          <w:sz w:val="32"/>
          <w:szCs w:val="32"/>
          <w:lang w:val="en-US" w:eastAsia="zh-CN"/>
        </w:rPr>
        <w:t>21</w:t>
      </w:r>
      <w:r>
        <w:rPr>
          <w:rFonts w:hint="eastAsia" w:ascii="仿宋" w:hAnsi="仿宋" w:eastAsia="仿宋" w:cs="宋体"/>
          <w:color w:val="000000"/>
          <w:kern w:val="0"/>
          <w:sz w:val="32"/>
          <w:szCs w:val="32"/>
        </w:rPr>
        <w:t>年项目绩效目标完成。殡葬执法宣传收到良好社会效果，全面覆盖弱势群体殡葬费用补助及全民火化费用的减免一系列惠民政策落实到位。</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（二）执行绩效监控情况。说明工作活动(项目)执行中绩效信息收集利用和执行中绩效管理情况。</w:t>
      </w:r>
    </w:p>
    <w:p>
      <w:pPr>
        <w:widowControl/>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认真贯彻执行国家以及地方殡葬法律法规和方针政策；负责为</w:t>
      </w:r>
      <w:r>
        <w:rPr>
          <w:rFonts w:hint="eastAsia" w:ascii="仿宋" w:hAnsi="仿宋" w:eastAsia="仿宋" w:cs="宋体"/>
          <w:color w:val="000000"/>
          <w:kern w:val="0"/>
          <w:sz w:val="32"/>
          <w:szCs w:val="32"/>
          <w:lang w:eastAsia="zh-CN"/>
        </w:rPr>
        <w:t>我县</w:t>
      </w:r>
      <w:r>
        <w:rPr>
          <w:rFonts w:hint="eastAsia" w:ascii="仿宋" w:hAnsi="仿宋" w:eastAsia="仿宋" w:cs="宋体"/>
          <w:color w:val="000000"/>
          <w:kern w:val="0"/>
          <w:sz w:val="32"/>
          <w:szCs w:val="32"/>
        </w:rPr>
        <w:t>城乡居民提供遗体接运、冷冻保存、火化、整容化妆、悼念厅租赁、骨灰存放等基本殡葬（仪）服务；配合殡葬管理有关部门宣传殡葬改革政策，搞好移风易俗，破除封建迷信，引导群众树立科学、文明、健康的丧葬习俗。</w:t>
      </w:r>
      <w:r>
        <w:rPr>
          <w:rFonts w:ascii="微软雅黑" w:hAnsi="微软雅黑" w:eastAsia="微软雅黑" w:cs="微软雅黑"/>
          <w:i w:val="0"/>
          <w:caps w:val="0"/>
          <w:color w:val="535353"/>
          <w:spacing w:val="0"/>
          <w:sz w:val="32"/>
          <w:szCs w:val="32"/>
          <w:shd w:val="clear" w:fill="FFFFFF"/>
          <w:lang w:val="en-US"/>
        </w:rPr>
        <w:t> </w:t>
      </w:r>
      <w:r>
        <w:rPr>
          <w:rFonts w:hint="eastAsia" w:ascii="仿宋" w:hAnsi="仿宋" w:eastAsia="仿宋" w:cs="宋体"/>
          <w:color w:val="000000"/>
          <w:kern w:val="0"/>
          <w:sz w:val="32"/>
          <w:szCs w:val="32"/>
        </w:rPr>
        <w:t>（三）资金管理情况。说明资金到位、自筹资金落实和实际支出等情况。</w:t>
      </w:r>
    </w:p>
    <w:p>
      <w:pPr>
        <w:widowControl/>
        <w:ind w:firstLine="640" w:firstLineChars="200"/>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2021年本年收入120万元，按照规定的时间全部拨付到位。支出资金120万元，完成资金实用率的100%，</w:t>
      </w:r>
      <w:r>
        <w:rPr>
          <w:rFonts w:hint="eastAsia" w:ascii="仿宋" w:hAnsi="仿宋" w:eastAsia="仿宋" w:cs="宋体"/>
          <w:kern w:val="0"/>
          <w:sz w:val="32"/>
          <w:szCs w:val="32"/>
          <w:lang w:eastAsia="zh-CN"/>
        </w:rPr>
        <w:t>主要用于殡葬管理所人员工资发放、日常公用经费、油费等各项日常支出</w:t>
      </w:r>
      <w:r>
        <w:rPr>
          <w:rFonts w:hint="eastAsia" w:ascii="仿宋" w:hAnsi="仿宋" w:eastAsia="仿宋" w:cs="仿宋"/>
          <w:kern w:val="2"/>
          <w:sz w:val="32"/>
          <w:szCs w:val="32"/>
          <w:lang w:val="en-US" w:eastAsia="zh-CN" w:bidi="ar"/>
        </w:rPr>
        <w:t>等。</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（四）绩效管理制度建设及执行情况。说明工作活动(项目)绩效管理制度建设和执行情况。</w:t>
      </w:r>
    </w:p>
    <w:p>
      <w:pPr>
        <w:widowControl/>
        <w:ind w:firstLine="320" w:firstLineChars="1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召开提高殡葬服务质量专项行动部署会，开展殡葬服务质量专项行动大检查，重点检查火化、骨灰存放等五大方面， 建立殡葬服务质量监督、信用体系，形成长效机制。</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（五）风险管理情况。如果工作活动(项目)实施中存在影响绩效目标实现的风险因素，说明处置预案和处置情况。</w:t>
      </w:r>
    </w:p>
    <w:p>
      <w:pPr>
        <w:widowControl/>
        <w:ind w:firstLine="470" w:firstLineChars="147"/>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lang w:eastAsia="zh-CN"/>
        </w:rPr>
        <w:t>为</w:t>
      </w:r>
      <w:r>
        <w:rPr>
          <w:rFonts w:hint="eastAsia" w:ascii="仿宋" w:hAnsi="仿宋" w:eastAsia="仿宋" w:cs="宋体"/>
          <w:color w:val="000000"/>
          <w:kern w:val="0"/>
          <w:sz w:val="32"/>
          <w:szCs w:val="32"/>
        </w:rPr>
        <w:t>确保殡葬事业工作安全高效运行，在申报年初预算时，必须结合实际多方面考虑，不能将无法预知事项纳入预算；同时绩效目标不能简单的以数量、质量等指标来定义。</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widowControl/>
        <w:numPr>
          <w:ilvl w:val="0"/>
          <w:numId w:val="0"/>
        </w:numPr>
        <w:ind w:left="32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根据绩效评价的要求，我单位特成立自评工作小组。自评工作小组结合单位的具体情况，制定绩效评价评分表，进行现场收集、汇总、整理、查阅相关资料、核查账簿、实地勘察及民意调查等方法，按照评价指标和标准进行评议打分，本着独立、客观、公正、科学的原则，认真组织开展了20</w:t>
      </w:r>
      <w:r>
        <w:rPr>
          <w:rFonts w:hint="eastAsia" w:ascii="仿宋" w:hAnsi="仿宋" w:eastAsia="仿宋" w:cs="宋体"/>
          <w:color w:val="000000"/>
          <w:kern w:val="0"/>
          <w:sz w:val="32"/>
          <w:szCs w:val="32"/>
          <w:lang w:val="en-US" w:eastAsia="zh-CN"/>
        </w:rPr>
        <w:t>21</w:t>
      </w:r>
      <w:r>
        <w:rPr>
          <w:rFonts w:hint="eastAsia" w:ascii="仿宋" w:hAnsi="仿宋" w:eastAsia="仿宋" w:cs="宋体"/>
          <w:color w:val="000000"/>
          <w:kern w:val="0"/>
          <w:sz w:val="32"/>
          <w:szCs w:val="32"/>
        </w:rPr>
        <w:t>年度单位预算绩效自评工作，在自评过程发现问题，查找原因，及时纠正偏差，为下一步工作夯实基础。</w:t>
      </w:r>
    </w:p>
    <w:p>
      <w:pPr>
        <w:widowControl/>
        <w:numPr>
          <w:ilvl w:val="0"/>
          <w:numId w:val="2"/>
        </w:numPr>
        <w:ind w:left="320" w:leftChars="0" w:firstLine="0" w:firstLineChars="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工作活动(项目)评价结果。</w:t>
      </w:r>
    </w:p>
    <w:p>
      <w:pPr>
        <w:widowControl/>
        <w:numPr>
          <w:ilvl w:val="0"/>
          <w:numId w:val="0"/>
        </w:numPr>
        <w:ind w:left="32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结合</w:t>
      </w:r>
      <w:r>
        <w:rPr>
          <w:rFonts w:hint="eastAsia" w:ascii="仿宋" w:hAnsi="仿宋" w:eastAsia="仿宋" w:cs="宋体"/>
          <w:color w:val="000000"/>
          <w:kern w:val="0"/>
          <w:sz w:val="32"/>
          <w:szCs w:val="32"/>
          <w:lang w:val="en-US" w:eastAsia="zh-CN"/>
        </w:rPr>
        <w:t>邢台市财政局关于开展2021年度市级项目支出绩效自评和部门整体支出绩效自评工作的通知》（邢财监{2022}4号）文件要求</w:t>
      </w:r>
      <w:r>
        <w:rPr>
          <w:rFonts w:hint="eastAsia" w:ascii="仿宋" w:hAnsi="仿宋" w:eastAsia="仿宋" w:cs="宋体"/>
          <w:color w:val="000000"/>
          <w:kern w:val="0"/>
          <w:sz w:val="32"/>
          <w:szCs w:val="32"/>
        </w:rPr>
        <w:t>评分，评价结果得分90分（详见附件）</w:t>
      </w:r>
    </w:p>
    <w:tbl>
      <w:tblPr>
        <w:tblStyle w:val="6"/>
        <w:tblW w:w="8336" w:type="dxa"/>
        <w:tblInd w:w="0" w:type="dxa"/>
        <w:shd w:val="clear" w:color="auto" w:fill="auto"/>
        <w:tblLayout w:type="fixed"/>
        <w:tblCellMar>
          <w:top w:w="0" w:type="dxa"/>
          <w:left w:w="0" w:type="dxa"/>
          <w:bottom w:w="0" w:type="dxa"/>
          <w:right w:w="0" w:type="dxa"/>
        </w:tblCellMar>
      </w:tblPr>
      <w:tblGrid>
        <w:gridCol w:w="539"/>
        <w:gridCol w:w="864"/>
        <w:gridCol w:w="704"/>
        <w:gridCol w:w="1493"/>
        <w:gridCol w:w="879"/>
        <w:gridCol w:w="507"/>
        <w:gridCol w:w="395"/>
        <w:gridCol w:w="885"/>
        <w:gridCol w:w="837"/>
        <w:gridCol w:w="556"/>
        <w:gridCol w:w="677"/>
      </w:tblGrid>
      <w:tr>
        <w:tblPrEx>
          <w:shd w:val="clear" w:color="auto" w:fill="auto"/>
          <w:tblLayout w:type="fixed"/>
          <w:tblCellMar>
            <w:top w:w="0" w:type="dxa"/>
            <w:left w:w="0" w:type="dxa"/>
            <w:bottom w:w="0" w:type="dxa"/>
            <w:right w:w="0" w:type="dxa"/>
          </w:tblCellMar>
        </w:tblPrEx>
        <w:trPr>
          <w:trHeight w:val="690" w:hRule="atLeast"/>
        </w:trPr>
        <w:tc>
          <w:tcPr>
            <w:tcW w:w="8336"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0"/>
                <w:szCs w:val="40"/>
                <w:u w:val="none"/>
              </w:rPr>
            </w:pPr>
            <w:r>
              <w:rPr>
                <w:rFonts w:hint="default" w:ascii="方正小标宋_GBK" w:hAnsi="方正小标宋_GBK" w:eastAsia="方正小标宋_GBK" w:cs="方正小标宋_GBK"/>
                <w:i w:val="0"/>
                <w:color w:val="000000"/>
                <w:kern w:val="0"/>
                <w:sz w:val="40"/>
                <w:szCs w:val="40"/>
                <w:u w:val="none"/>
                <w:lang w:val="en-US" w:eastAsia="zh-CN" w:bidi="ar"/>
              </w:rPr>
              <w:t>巨鹿县2021年度县级预算项目绩效自评表</w:t>
            </w:r>
          </w:p>
        </w:tc>
      </w:tr>
      <w:tr>
        <w:tblPrEx>
          <w:tblLayout w:type="fixed"/>
          <w:tblCellMar>
            <w:top w:w="0" w:type="dxa"/>
            <w:left w:w="0" w:type="dxa"/>
            <w:bottom w:w="0" w:type="dxa"/>
            <w:right w:w="0" w:type="dxa"/>
          </w:tblCellMar>
        </w:tblPrEx>
        <w:trPr>
          <w:trHeight w:val="465" w:hRule="atLeast"/>
        </w:trPr>
        <w:tc>
          <w:tcPr>
            <w:tcW w:w="539"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填报单位：</w:t>
            </w:r>
          </w:p>
        </w:tc>
        <w:tc>
          <w:tcPr>
            <w:tcW w:w="6564" w:type="dxa"/>
            <w:gridSpan w:val="8"/>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单位负责人签字：</w:t>
            </w:r>
          </w:p>
        </w:tc>
        <w:tc>
          <w:tcPr>
            <w:tcW w:w="1233"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金额单位：万元</w:t>
            </w:r>
          </w:p>
        </w:tc>
      </w:tr>
      <w:tr>
        <w:tblPrEx>
          <w:tblLayout w:type="fixed"/>
          <w:tblCellMar>
            <w:top w:w="0" w:type="dxa"/>
            <w:left w:w="0" w:type="dxa"/>
            <w:bottom w:w="0" w:type="dxa"/>
            <w:right w:w="0" w:type="dxa"/>
          </w:tblCellMar>
        </w:tblPrEx>
        <w:trPr>
          <w:trHeight w:val="780"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一、基本情况</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巨鹿县殡葬管理所运转和惠葬经费</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主管单位</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巨鹿县民政局</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巨鹿县民政局</w:t>
            </w:r>
          </w:p>
        </w:tc>
      </w:tr>
      <w:tr>
        <w:tblPrEx>
          <w:tblLayout w:type="fixed"/>
          <w:tblCellMar>
            <w:top w:w="0" w:type="dxa"/>
            <w:left w:w="0" w:type="dxa"/>
            <w:bottom w:w="0" w:type="dxa"/>
            <w:right w:w="0" w:type="dxa"/>
          </w:tblCellMar>
        </w:tblPrEx>
        <w:trPr>
          <w:trHeight w:val="45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二、预算执行情况</w:t>
            </w:r>
          </w:p>
        </w:tc>
        <w:tc>
          <w:tcPr>
            <w:tcW w:w="306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预算安排情况</w:t>
            </w:r>
          </w:p>
        </w:tc>
        <w:tc>
          <w:tcPr>
            <w:tcW w:w="17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资金到位情况</w:t>
            </w:r>
          </w:p>
        </w:tc>
        <w:tc>
          <w:tcPr>
            <w:tcW w:w="22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资金执行情况</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预算执行进度</w:t>
            </w:r>
          </w:p>
        </w:tc>
      </w:tr>
      <w:tr>
        <w:tblPrEx>
          <w:tblLayout w:type="fixed"/>
          <w:tblCellMar>
            <w:top w:w="0" w:type="dxa"/>
            <w:left w:w="0" w:type="dxa"/>
            <w:bottom w:w="0" w:type="dxa"/>
            <w:right w:w="0" w:type="dxa"/>
          </w:tblCellMar>
        </w:tblPrEx>
        <w:trPr>
          <w:trHeight w:val="45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预算数</w:t>
            </w:r>
          </w:p>
        </w:tc>
        <w:tc>
          <w:tcPr>
            <w:tcW w:w="21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到位数</w:t>
            </w:r>
          </w:p>
        </w:tc>
        <w:tc>
          <w:tcPr>
            <w:tcW w:w="90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执行数</w:t>
            </w:r>
          </w:p>
        </w:tc>
        <w:tc>
          <w:tcPr>
            <w:tcW w:w="1393"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Layout w:type="fixed"/>
          <w:tblCellMar>
            <w:top w:w="0" w:type="dxa"/>
            <w:left w:w="0" w:type="dxa"/>
            <w:bottom w:w="0" w:type="dxa"/>
            <w:right w:w="0" w:type="dxa"/>
          </w:tblCellMar>
        </w:tblPrEx>
        <w:trPr>
          <w:trHeight w:val="45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其中：财政资金</w:t>
            </w:r>
          </w:p>
        </w:tc>
        <w:tc>
          <w:tcPr>
            <w:tcW w:w="21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其中：财政资金</w:t>
            </w:r>
          </w:p>
        </w:tc>
        <w:tc>
          <w:tcPr>
            <w:tcW w:w="90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其中：财政资金</w:t>
            </w:r>
          </w:p>
        </w:tc>
        <w:tc>
          <w:tcPr>
            <w:tcW w:w="1393"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w:t>
            </w: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5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21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90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三、目标完成情况</w:t>
            </w:r>
          </w:p>
        </w:tc>
        <w:tc>
          <w:tcPr>
            <w:tcW w:w="394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年度预期目标</w:t>
            </w:r>
          </w:p>
        </w:tc>
        <w:tc>
          <w:tcPr>
            <w:tcW w:w="318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具体完成情况</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总体完成率</w:t>
            </w:r>
          </w:p>
        </w:tc>
      </w:tr>
      <w:tr>
        <w:tblPrEx>
          <w:tblLayout w:type="fixed"/>
          <w:tblCellMar>
            <w:top w:w="0" w:type="dxa"/>
            <w:left w:w="0" w:type="dxa"/>
            <w:bottom w:w="0" w:type="dxa"/>
            <w:right w:w="0" w:type="dxa"/>
          </w:tblCellMar>
        </w:tblPrEx>
        <w:trPr>
          <w:trHeight w:val="6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940"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切实改善殡葬福利事业机构从业人员的工作条件和工资福利待遇。二是提高管理、服务水平</w:t>
            </w:r>
          </w:p>
        </w:tc>
        <w:tc>
          <w:tcPr>
            <w:tcW w:w="318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切实改善殡葬福利事业机构从业人员的工作条件和工资福利待遇。二是提高管理、服务水平</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Layout w:type="fixed"/>
          <w:tblCellMar>
            <w:top w:w="0" w:type="dxa"/>
            <w:left w:w="0" w:type="dxa"/>
            <w:bottom w:w="0" w:type="dxa"/>
            <w:right w:w="0" w:type="dxa"/>
          </w:tblCellMar>
        </w:tblPrEx>
        <w:trPr>
          <w:trHeight w:val="60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四、年度绩效指标完成情况</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49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w:t>
            </w:r>
          </w:p>
        </w:tc>
        <w:tc>
          <w:tcPr>
            <w:tcW w:w="17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预期指标值</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单项指标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完成率（%）</w:t>
            </w: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自评得分</w:t>
            </w:r>
          </w:p>
        </w:tc>
      </w:tr>
      <w:tr>
        <w:tblPrEx>
          <w:tblLayout w:type="fixed"/>
          <w:tblCellMar>
            <w:top w:w="0" w:type="dxa"/>
            <w:left w:w="0" w:type="dxa"/>
            <w:bottom w:w="0" w:type="dxa"/>
            <w:right w:w="0" w:type="dxa"/>
          </w:tblCellMar>
        </w:tblPrEx>
        <w:trPr>
          <w:trHeight w:val="6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4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符号</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值</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单位</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（文字描述）</w:t>
            </w: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Layout w:type="fixed"/>
          <w:tblCellMar>
            <w:top w:w="0" w:type="dxa"/>
            <w:left w:w="0" w:type="dxa"/>
            <w:bottom w:w="0" w:type="dxa"/>
            <w:right w:w="0" w:type="dxa"/>
          </w:tblCellMar>
        </w:tblPrEx>
        <w:trPr>
          <w:trHeight w:val="55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（50）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骨灰盒数量（个）</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≥1300个</w:t>
            </w: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1300</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98%</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w:t>
            </w: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火化率（%）</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98%</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w:t>
            </w:r>
          </w:p>
        </w:tc>
      </w:tr>
      <w:tr>
        <w:tblPrEx>
          <w:tblLayout w:type="fixed"/>
          <w:tblCellMar>
            <w:top w:w="0" w:type="dxa"/>
            <w:left w:w="0" w:type="dxa"/>
            <w:bottom w:w="0" w:type="dxa"/>
            <w:right w:w="0" w:type="dxa"/>
          </w:tblCellMar>
        </w:tblPrEx>
        <w:trPr>
          <w:trHeight w:val="28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火化及时率（%）</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97%</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w:t>
            </w:r>
          </w:p>
        </w:tc>
      </w:tr>
      <w:tr>
        <w:tblPrEx>
          <w:tblLayout w:type="fixed"/>
          <w:tblCellMar>
            <w:top w:w="0" w:type="dxa"/>
            <w:left w:w="0" w:type="dxa"/>
            <w:bottom w:w="0" w:type="dxa"/>
            <w:right w:w="0" w:type="dxa"/>
          </w:tblCellMar>
        </w:tblPrEx>
        <w:trPr>
          <w:trHeight w:val="34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每火化一人的成本（人/元）</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≥1200（元）</w:t>
            </w: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元</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98%</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15</w:t>
            </w:r>
          </w:p>
        </w:tc>
      </w:tr>
      <w:tr>
        <w:tblPrEx>
          <w:tblLayout w:type="fixed"/>
          <w:tblCellMar>
            <w:top w:w="0" w:type="dxa"/>
            <w:left w:w="0" w:type="dxa"/>
            <w:bottom w:w="0" w:type="dxa"/>
            <w:right w:w="0" w:type="dxa"/>
          </w:tblCellMar>
        </w:tblPrEx>
        <w:trPr>
          <w:trHeight w:val="48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（30）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享受惠葬政策的比例（%）</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97%</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w:t>
            </w:r>
          </w:p>
        </w:tc>
      </w:tr>
      <w:tr>
        <w:tblPrEx>
          <w:tblLayout w:type="fixed"/>
          <w:tblCellMar>
            <w:top w:w="0" w:type="dxa"/>
            <w:left w:w="0" w:type="dxa"/>
            <w:bottom w:w="0" w:type="dxa"/>
            <w:right w:w="0" w:type="dxa"/>
          </w:tblCellMar>
        </w:tblPrEx>
        <w:trPr>
          <w:trHeight w:val="54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both"/>
              <w:textAlignment w:val="bottom"/>
              <w:rPr>
                <w:rFonts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每月火化遗体数完成率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≥98%</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97</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5</w:t>
            </w: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left"/>
              <w:rPr>
                <w:rFonts w:hint="eastAsia" w:ascii="宋体" w:hAnsi="宋体" w:eastAsia="宋体" w:cs="宋体"/>
                <w:i w:val="0"/>
                <w:color w:val="000000"/>
                <w:sz w:val="18"/>
                <w:szCs w:val="18"/>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lef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left"/>
              <w:rPr>
                <w:rFonts w:hint="eastAsia" w:ascii="宋体" w:hAnsi="宋体" w:eastAsia="宋体" w:cs="宋体"/>
                <w:i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殡葬火化开展情况</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正常顺利开展</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正常顺利</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满意度指标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Layout w:type="fixed"/>
          <w:tblCellMar>
            <w:top w:w="0" w:type="dxa"/>
            <w:left w:w="0" w:type="dxa"/>
            <w:bottom w:w="0" w:type="dxa"/>
            <w:right w:w="0" w:type="dxa"/>
          </w:tblCellMar>
        </w:tblPrEx>
        <w:trPr>
          <w:trHeight w:val="57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预算执行率</w:t>
            </w:r>
          </w:p>
        </w:tc>
        <w:tc>
          <w:tcPr>
            <w:tcW w:w="1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预算执行落实率</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≥95%</w:t>
            </w:r>
          </w:p>
        </w:tc>
        <w:tc>
          <w:tcPr>
            <w:tcW w:w="3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96</w:t>
            </w:r>
          </w:p>
        </w:tc>
        <w:tc>
          <w:tcPr>
            <w:tcW w:w="6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w:t>
            </w:r>
          </w:p>
        </w:tc>
      </w:tr>
      <w:tr>
        <w:tblPrEx>
          <w:tblLayout w:type="fixed"/>
          <w:tblCellMar>
            <w:top w:w="0" w:type="dxa"/>
            <w:left w:w="0" w:type="dxa"/>
            <w:bottom w:w="0" w:type="dxa"/>
            <w:right w:w="0" w:type="dxa"/>
          </w:tblCellMar>
        </w:tblPrEx>
        <w:trPr>
          <w:trHeight w:val="3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120"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自评总分</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90</w:t>
            </w:r>
          </w:p>
        </w:tc>
      </w:tr>
      <w:tr>
        <w:tblPrEx>
          <w:tblLayout w:type="fixed"/>
          <w:tblCellMar>
            <w:top w:w="0" w:type="dxa"/>
            <w:left w:w="0" w:type="dxa"/>
            <w:bottom w:w="0" w:type="dxa"/>
            <w:right w:w="0" w:type="dxa"/>
          </w:tblCellMar>
        </w:tblPrEx>
        <w:trPr>
          <w:trHeight w:val="1776"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五、存在问题、原因及下一步整改措施</w:t>
            </w:r>
          </w:p>
        </w:tc>
        <w:tc>
          <w:tcPr>
            <w:tcW w:w="7797"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针对上述存在的问题，为进一步做好单位的财务工作，严格按照预算编制的相关制度和要求进行预算的编制，编制范围尽可能的全面、不漏项，进一步提高预算编制的科学性、合理性、严谨性和可控性。</w:t>
            </w:r>
          </w:p>
        </w:tc>
      </w:tr>
    </w:tbl>
    <w:p>
      <w:pPr>
        <w:widowControl/>
        <w:numPr>
          <w:ilvl w:val="0"/>
          <w:numId w:val="0"/>
        </w:numPr>
        <w:ind w:left="320" w:leftChars="0" w:firstLine="640" w:firstLineChars="200"/>
        <w:rPr>
          <w:rFonts w:hint="eastAsia" w:ascii="仿宋" w:hAnsi="仿宋" w:eastAsia="仿宋" w:cs="宋体"/>
          <w:color w:val="000000"/>
          <w:kern w:val="0"/>
          <w:sz w:val="32"/>
          <w:szCs w:val="32"/>
        </w:rPr>
      </w:pP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widowControl/>
        <w:ind w:firstLine="640" w:firstLineChars="200"/>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eastAsia="zh-CN"/>
        </w:rPr>
        <w:t>我单位主要服务的对象</w:t>
      </w:r>
      <w:r>
        <w:rPr>
          <w:rFonts w:hint="eastAsia" w:ascii="仿宋" w:hAnsi="仿宋" w:eastAsia="仿宋" w:cs="宋体"/>
          <w:color w:val="000000"/>
          <w:kern w:val="0"/>
          <w:sz w:val="32"/>
          <w:szCs w:val="32"/>
          <w:lang w:val="en-US" w:eastAsia="zh-CN"/>
        </w:rPr>
        <w:tab/>
      </w:r>
      <w:r>
        <w:rPr>
          <w:rFonts w:hint="eastAsia" w:ascii="仿宋" w:hAnsi="仿宋" w:eastAsia="仿宋" w:cs="宋体"/>
          <w:color w:val="000000"/>
          <w:kern w:val="0"/>
          <w:sz w:val="32"/>
          <w:szCs w:val="32"/>
          <w:lang w:val="en-US" w:eastAsia="zh-CN"/>
        </w:rPr>
        <w:t>丧者家属，有少数的丧者家属对殡葬改革意识还不太清楚。</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（二）工作活动(项目)实</w:t>
      </w:r>
      <w:bookmarkStart w:id="0" w:name="_GoBack"/>
      <w:bookmarkEnd w:id="0"/>
      <w:r>
        <w:rPr>
          <w:rFonts w:hint="eastAsia" w:ascii="仿宋" w:hAnsi="仿宋" w:eastAsia="仿宋" w:cs="宋体"/>
          <w:color w:val="000000"/>
          <w:kern w:val="0"/>
          <w:sz w:val="32"/>
          <w:szCs w:val="32"/>
        </w:rPr>
        <w:t>施中改进意见及措施。</w:t>
      </w:r>
    </w:p>
    <w:p>
      <w:pPr>
        <w:widowControl/>
        <w:ind w:firstLine="640" w:firstLineChars="200"/>
        <w:rPr>
          <w:rFonts w:hint="eastAsia" w:ascii="仿宋" w:hAnsi="仿宋" w:eastAsia="仿宋" w:cs="宋体"/>
          <w:color w:val="000000"/>
          <w:kern w:val="0"/>
          <w:sz w:val="32"/>
          <w:szCs w:val="32"/>
          <w:lang w:eastAsia="zh-CN"/>
        </w:rPr>
      </w:pPr>
      <w:r>
        <w:rPr>
          <w:rFonts w:hint="eastAsia" w:ascii="仿宋" w:hAnsi="仿宋" w:eastAsia="仿宋" w:cs="宋体"/>
          <w:color w:val="000000"/>
          <w:kern w:val="0"/>
          <w:sz w:val="32"/>
          <w:szCs w:val="32"/>
          <w:lang w:eastAsia="zh-CN"/>
        </w:rPr>
        <w:t>提高服务质量，提高办事效率，提升业务水平，加大殡葬改革宣传力度。</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（三）建议。</w:t>
      </w:r>
    </w:p>
    <w:p>
      <w:pPr>
        <w:ind w:firstLine="560" w:firstLineChars="200"/>
        <w:rPr>
          <w:rFonts w:hint="eastAsia" w:ascii="仿宋" w:hAnsi="仿宋" w:eastAsia="仿宋" w:cs="宋体"/>
          <w:color w:val="000000"/>
          <w:kern w:val="0"/>
          <w:sz w:val="32"/>
          <w:szCs w:val="32"/>
          <w:lang w:eastAsia="zh-CN"/>
        </w:rPr>
      </w:pPr>
      <w:r>
        <w:rPr>
          <w:rFonts w:hint="eastAsia" w:ascii="仿宋" w:hAnsi="仿宋" w:eastAsia="仿宋"/>
          <w:sz w:val="28"/>
          <w:szCs w:val="28"/>
          <w:lang w:eastAsia="zh-CN"/>
        </w:rPr>
        <w:t>为</w:t>
      </w:r>
      <w:r>
        <w:rPr>
          <w:rFonts w:hint="eastAsia" w:ascii="仿宋" w:hAnsi="仿宋" w:eastAsia="仿宋" w:cs="宋体"/>
          <w:color w:val="000000"/>
          <w:kern w:val="0"/>
          <w:sz w:val="32"/>
          <w:szCs w:val="32"/>
          <w:lang w:eastAsia="zh-CN"/>
        </w:rPr>
        <w:t>了进一步加强运营管理，确保各项殡葬服务业务正常运转，逐步增加对殡葬福利事业的投入，加强基础设施建设，支持和鼓励社会力量多形式、多渠道投入，积极引导社会各界参与殡葬福利事业的建设，使殡葬福利事业与经济、社会协调发展。</w:t>
      </w:r>
    </w:p>
    <w:p>
      <w:pPr>
        <w:widowControl/>
        <w:ind w:firstLine="320" w:firstLineChars="100"/>
        <w:rPr>
          <w:rFonts w:ascii="仿宋" w:hAnsi="仿宋" w:eastAsia="仿宋" w:cs="宋体"/>
          <w:color w:val="000000"/>
          <w:kern w:val="0"/>
          <w:sz w:val="32"/>
          <w:szCs w:val="32"/>
        </w:rPr>
      </w:pP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_GBK">
    <w:altName w:val="Arial Unicode MS"/>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470C7"/>
    <w:multiLevelType w:val="singleLevel"/>
    <w:tmpl w:val="0EC470C7"/>
    <w:lvl w:ilvl="0" w:tentative="0">
      <w:start w:val="1"/>
      <w:numFmt w:val="chineseCounting"/>
      <w:suff w:val="nothing"/>
      <w:lvlText w:val="（%1）"/>
      <w:lvlJc w:val="left"/>
      <w:pPr>
        <w:ind w:left="320" w:leftChars="0" w:firstLine="0" w:firstLineChars="0"/>
      </w:pPr>
      <w:rPr>
        <w:rFonts w:hint="eastAsia"/>
      </w:rPr>
    </w:lvl>
  </w:abstractNum>
  <w:abstractNum w:abstractNumId="1">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5CFD38CE"/>
    <w:rsid w:val="62DC4229"/>
    <w:rsid w:val="685005C3"/>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1</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2022-04-26T02:13:32Z</cp:lastPrinted>
  <dcterms:modified xsi:type="dcterms:W3CDTF">2022-04-26T02:13:43Z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