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w:t>
      </w:r>
      <w:r>
        <w:rPr>
          <w:rFonts w:hint="eastAsia" w:ascii="宋体" w:hAnsi="宋体" w:eastAsia="宋体" w:cs="宋体"/>
          <w:b/>
          <w:bCs/>
          <w:kern w:val="0"/>
          <w:sz w:val="44"/>
          <w:szCs w:val="44"/>
          <w:lang w:eastAsia="zh-CN"/>
        </w:rPr>
        <w:t>日间照料服务站养老服务体系建设项目</w:t>
      </w:r>
      <w:r>
        <w:rPr>
          <w:rFonts w:hint="eastAsia" w:ascii="宋体" w:hAnsi="宋体" w:eastAsia="宋体" w:cs="宋体"/>
          <w:b/>
          <w:bCs/>
          <w:kern w:val="0"/>
          <w:sz w:val="44"/>
          <w:szCs w:val="44"/>
        </w:rPr>
        <w:t>绩效评价自评报告</w:t>
      </w:r>
    </w:p>
    <w:p>
      <w:pPr>
        <w:widowControl/>
        <w:rPr>
          <w:rFonts w:ascii="黑体" w:hAnsi="黑体" w:eastAsia="黑体" w:cs="宋体"/>
          <w:b/>
          <w:bCs/>
          <w:kern w:val="0"/>
          <w:sz w:val="44"/>
          <w:szCs w:val="44"/>
        </w:rPr>
      </w:pPr>
    </w:p>
    <w:p>
      <w:pPr>
        <w:pStyle w:val="9"/>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rPr>
          <w:rFonts w:hint="eastAsia" w:ascii="仿宋" w:hAnsi="仿宋" w:eastAsia="仿宋" w:cs="宋体"/>
          <w:kern w:val="0"/>
          <w:sz w:val="32"/>
          <w:szCs w:val="32"/>
          <w:lang w:val="en-US" w:eastAsia="zh-CN"/>
        </w:rPr>
      </w:pPr>
      <w:r>
        <w:rPr>
          <w:rFonts w:hint="eastAsia" w:cs="宋体" w:asciiTheme="minorEastAsia" w:hAnsiTheme="minorEastAsia"/>
          <w:kern w:val="0"/>
          <w:sz w:val="32"/>
          <w:szCs w:val="32"/>
        </w:rPr>
        <w:t xml:space="preserve">  （</w:t>
      </w:r>
      <w:r>
        <w:rPr>
          <w:rFonts w:hint="eastAsia" w:ascii="仿宋" w:hAnsi="仿宋" w:eastAsia="仿宋" w:cs="宋体"/>
          <w:kern w:val="0"/>
          <w:sz w:val="32"/>
          <w:szCs w:val="32"/>
        </w:rPr>
        <w:t>一）政府战略规划或目标。</w:t>
      </w:r>
      <w:r>
        <w:rPr>
          <w:rFonts w:hint="eastAsia" w:ascii="仿宋" w:hAnsi="仿宋" w:eastAsia="仿宋" w:cs="宋体"/>
          <w:kern w:val="0"/>
          <w:sz w:val="32"/>
          <w:szCs w:val="32"/>
          <w:lang w:val="en-US" w:eastAsia="zh-CN"/>
        </w:rPr>
        <w:tab/>
      </w:r>
    </w:p>
    <w:p>
      <w:pPr>
        <w:widowControl/>
        <w:rPr>
          <w:rFonts w:hint="eastAsia" w:ascii="仿宋" w:hAnsi="仿宋" w:eastAsia="仿宋" w:cs="仿宋"/>
          <w:kern w:val="2"/>
          <w:sz w:val="32"/>
          <w:szCs w:val="32"/>
          <w:lang w:val="en-US" w:eastAsia="zh-CN" w:bidi="ar"/>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仿宋"/>
          <w:kern w:val="2"/>
          <w:sz w:val="32"/>
          <w:szCs w:val="32"/>
          <w:lang w:val="en-US" w:eastAsia="zh-CN" w:bidi="ar"/>
        </w:rPr>
        <w:t>按照省财政厅、民政厅和市财政局、民政局要求，巨鹿县民政局与财政局，分别对我县2021年养老服务体系建设工作活动联合开展了绩效评价，全面评价了我县2021年开展城乡养老服务体系建设的情况，包括养老服务体系建设完成目标任务情况、补贴资金收入、支出和结余情况等。</w:t>
      </w:r>
    </w:p>
    <w:p>
      <w:pPr>
        <w:widowControl/>
        <w:rPr>
          <w:rFonts w:ascii="仿宋" w:hAnsi="仿宋" w:eastAsia="仿宋" w:cs="宋体"/>
          <w:kern w:val="0"/>
          <w:sz w:val="32"/>
          <w:szCs w:val="32"/>
        </w:rPr>
      </w:pPr>
      <w:r>
        <w:rPr>
          <w:rFonts w:hint="eastAsia" w:ascii="仿宋" w:hAnsi="仿宋" w:eastAsia="仿宋" w:cs="宋体"/>
          <w:kern w:val="0"/>
          <w:sz w:val="32"/>
          <w:szCs w:val="32"/>
        </w:rPr>
        <w:t>（二）单位工作目标。</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宋体"/>
          <w:kern w:val="0"/>
          <w:sz w:val="32"/>
          <w:szCs w:val="32"/>
        </w:rPr>
        <w:t xml:space="preserve">  </w:t>
      </w:r>
      <w:r>
        <w:rPr>
          <w:rFonts w:hint="eastAsia" w:ascii="仿宋" w:hAnsi="仿宋" w:eastAsia="仿宋" w:cs="楷体_GB2312"/>
          <w:bCs/>
          <w:kern w:val="2"/>
          <w:sz w:val="32"/>
          <w:szCs w:val="32"/>
          <w:lang w:val="en-US" w:eastAsia="zh-CN" w:bidi="ar"/>
        </w:rPr>
        <w:t>依据《邢台市“双创双服”活动领导小组办公室关于落实邢台市2021年20项民生工程的通知》要求新增养老机构床位2000张，改造康复护理型床位1500张，新建社区日间照料服务站（点）158个以上，增强养老服务能力。</w:t>
      </w:r>
      <w:r>
        <w:rPr>
          <w:rFonts w:hint="eastAsia" w:ascii="仿宋" w:hAnsi="仿宋" w:eastAsia="仿宋" w:cs="仿宋"/>
          <w:kern w:val="2"/>
          <w:sz w:val="32"/>
          <w:szCs w:val="32"/>
          <w:lang w:val="en-US" w:eastAsia="zh-CN" w:bidi="ar"/>
        </w:rPr>
        <w:t>为了解决好经济困难高龄失能半失能老年人生活后顾之忧，让经济困难高龄失能半失能老年人真正得到帮助，实现我县老人老有所养，老有所依，老有所乐，老有所为的目标。</w:t>
      </w:r>
    </w:p>
    <w:p>
      <w:pPr>
        <w:widowControl/>
        <w:rPr>
          <w:rFonts w:ascii="仿宋" w:hAnsi="仿宋" w:eastAsia="仿宋" w:cs="宋体"/>
          <w:kern w:val="0"/>
          <w:sz w:val="32"/>
          <w:szCs w:val="32"/>
        </w:rPr>
      </w:pPr>
      <w:r>
        <w:rPr>
          <w:rFonts w:hint="eastAsia" w:ascii="仿宋" w:hAnsi="仿宋" w:eastAsia="仿宋" w:cs="宋体"/>
          <w:kern w:val="0"/>
          <w:sz w:val="32"/>
          <w:szCs w:val="32"/>
        </w:rPr>
        <w:t>（三）工作活动(项目)基本情况。</w:t>
      </w:r>
    </w:p>
    <w:p>
      <w:pPr>
        <w:widowControl/>
        <w:ind w:left="281" w:leftChars="134" w:firstLine="640" w:firstLineChars="200"/>
        <w:rPr>
          <w:rFonts w:ascii="仿宋" w:hAnsi="仿宋" w:eastAsia="仿宋" w:cs="宋体"/>
          <w:kern w:val="0"/>
          <w:sz w:val="32"/>
          <w:szCs w:val="32"/>
        </w:rPr>
      </w:pPr>
      <w:r>
        <w:rPr>
          <w:rFonts w:hint="eastAsia" w:ascii="仿宋" w:hAnsi="仿宋" w:eastAsia="仿宋" w:cs="宋体"/>
          <w:kern w:val="0"/>
          <w:sz w:val="32"/>
          <w:szCs w:val="32"/>
        </w:rPr>
        <w:t>1、工作活动(项目)背景资料。简要说明项目名称、主要内容、主要解决的问题、项目实施依据、资金分配及历年安排情况；</w:t>
      </w:r>
    </w:p>
    <w:p>
      <w:pPr>
        <w:pStyle w:val="4"/>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为促进养老服务体系建设，我们确定了养老服务体系建设的岗位目标，按要求设置了管理、会计、出纳、审核、督查、信息分析、档案管理、信访咨询、管理等岗位，岗位职责与绩效目标设置明确，特别最细化、量化了岗位职责与绩效目标，明确年度目标与半年目标，具体到每个月要干什么、做什么。增强了工作的操作性。在机制建设上，建立健全并严格执行相关管理制度，落实项目建设目标责任制，规定业务工作由社会福利事务股负责，建设补助资金的拨付与使用则由财务股负责，实行业务与财务两条线制度，确保资金管理规范高效。</w:t>
      </w:r>
    </w:p>
    <w:p>
      <w:pPr>
        <w:widowControl/>
        <w:ind w:left="319" w:leftChars="152" w:firstLine="640" w:firstLineChars="200"/>
        <w:rPr>
          <w:rFonts w:ascii="仿宋" w:hAnsi="仿宋" w:eastAsia="仿宋" w:cs="宋体"/>
          <w:color w:val="000000"/>
          <w:kern w:val="0"/>
          <w:sz w:val="32"/>
          <w:szCs w:val="32"/>
        </w:rPr>
      </w:pPr>
      <w:r>
        <w:rPr>
          <w:rFonts w:hint="eastAsia" w:ascii="仿宋" w:hAnsi="仿宋" w:eastAsia="仿宋" w:cs="宋体"/>
          <w:kern w:val="0"/>
          <w:sz w:val="32"/>
          <w:szCs w:val="32"/>
        </w:rPr>
        <w:t>2、</w:t>
      </w:r>
      <w:r>
        <w:rPr>
          <w:rFonts w:hint="eastAsia" w:ascii="仿宋" w:hAnsi="仿宋" w:eastAsia="仿宋" w:cs="宋体"/>
          <w:color w:val="000000"/>
          <w:kern w:val="0"/>
          <w:sz w:val="32"/>
          <w:szCs w:val="32"/>
        </w:rPr>
        <w:t>工作活动(项目)的可行性、必要性、有效性及其论证过程。</w:t>
      </w:r>
    </w:p>
    <w:p>
      <w:pPr>
        <w:pStyle w:val="4"/>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1、扎实推进民生实事项目。深入推进关爱居家困难老年人的服务工作，巨鹿民政智慧中心养老服务拓展至全县各镇，让更多的高龄老人享受政府购买的助老服务，切实提升老 年人的幸福指数，每季度对服务工作进行分析评估，确保财政 资金安全高效地运用到老人服务上。</w:t>
      </w:r>
    </w:p>
    <w:p>
      <w:pPr>
        <w:pStyle w:val="4"/>
        <w:keepNext w:val="0"/>
        <w:keepLines w:val="0"/>
        <w:widowControl w:val="0"/>
        <w:suppressLineNumbers w:val="0"/>
        <w:spacing w:before="0" w:beforeAutospacing="0" w:after="0" w:afterAutospacing="0" w:line="540" w:lineRule="exact"/>
        <w:ind w:right="0" w:firstLine="640" w:firstLineChars="200"/>
        <w:jc w:val="both"/>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 xml:space="preserve"> 2、整合闲置资源，对适合养老的闲置场所，加大扶持和培育社会力量兴办养老机构力度</w:t>
      </w:r>
      <w:r>
        <w:rPr>
          <w:rFonts w:hint="eastAsia" w:ascii="仿宋" w:hAnsi="仿宋" w:eastAsia="仿宋" w:cs="仿宋"/>
          <w:kern w:val="2"/>
          <w:sz w:val="32"/>
          <w:szCs w:val="32"/>
          <w:lang w:val="en-US" w:eastAsia="zh-CN" w:bidi="ar"/>
        </w:rPr>
        <w:t>。</w:t>
      </w:r>
    </w:p>
    <w:p>
      <w:pPr>
        <w:pStyle w:val="4"/>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  3、进一步加大医养结合型养老机构的建设及体制机制改 革。我们将和县卫健委联合，对有能力的养老机构设立医务室或诊所，实行医保定点和结算。创新“政府引导+市场服务”模式，加快推进公建民营改革，统一引进和培育一批有理念、有能力、有实力的养老机构专业运营团队，推进全县养老机构连 锁化、专业化、品牌化运营，拓展服务功能，提升服务品质，让老人享受有尊严、专业化的养老服务。</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年度绩效目标搞好养老服务体系建设工作，解决好经济困难高龄失能半失能老年人生活后顾之忧。</w:t>
      </w: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（二）工作活动(项目)绩效指标设定情况。</w:t>
      </w:r>
    </w:p>
    <w:p>
      <w:pPr>
        <w:keepNext w:val="0"/>
        <w:keepLines w:val="0"/>
        <w:widowControl w:val="0"/>
        <w:suppressLineNumbers w:val="0"/>
        <w:spacing w:before="0" w:beforeAutospacing="0" w:after="0" w:afterAutospacing="0" w:line="540" w:lineRule="exact"/>
        <w:ind w:left="0" w:right="0"/>
        <w:jc w:val="both"/>
        <w:rPr>
          <w:rFonts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ascii="微软雅黑" w:hAnsi="微软雅黑" w:eastAsia="微软雅黑" w:cs="微软雅黑"/>
          <w:i w:val="0"/>
          <w:caps w:val="0"/>
          <w:color w:val="555555"/>
          <w:spacing w:val="0"/>
          <w:sz w:val="24"/>
          <w:szCs w:val="24"/>
          <w:shd w:val="clear" w:fill="FFFFFF"/>
        </w:rPr>
        <w:t> </w:t>
      </w:r>
      <w:r>
        <w:rPr>
          <w:rFonts w:hint="eastAsia" w:ascii="微软雅黑" w:hAnsi="微软雅黑" w:eastAsia="微软雅黑" w:cs="微软雅黑"/>
          <w:i w:val="0"/>
          <w:caps w:val="0"/>
          <w:color w:val="555555"/>
          <w:spacing w:val="0"/>
          <w:sz w:val="24"/>
          <w:szCs w:val="24"/>
          <w:shd w:val="clear" w:fill="FFFFFF"/>
        </w:rPr>
        <w:t> </w:t>
      </w:r>
      <w:r>
        <w:rPr>
          <w:rFonts w:hint="eastAsia" w:ascii="仿宋" w:hAnsi="仿宋" w:eastAsia="仿宋" w:cs="宋体"/>
          <w:kern w:val="0"/>
          <w:sz w:val="32"/>
          <w:szCs w:val="32"/>
        </w:rPr>
        <w:t>1．科学性：随着我国老龄化程度日益加剧，养老问题受到日益关注，我国《中国老龄事业发展十二五规划》明确提出，“建立以居家为基础、社区为依托、机构为支撑的养老服务体系”，而社区养老，目前主要依赖老年人日间照料中心作为载体。所以，老年人日间照料中心的建立，是国家政策鼓励和资金大力支持的事业，充分体现了党和政府对城乡老年人的重视和关爱。</w:t>
      </w:r>
      <w:r>
        <w:rPr>
          <w:rFonts w:hint="eastAsia" w:ascii="仿宋" w:hAnsi="仿宋" w:eastAsia="仿宋" w:cs="宋体"/>
          <w:kern w:val="0"/>
          <w:sz w:val="32"/>
          <w:szCs w:val="32"/>
        </w:rPr>
        <w:br w:type="textWrapping"/>
      </w:r>
      <w:r>
        <w:rPr>
          <w:rFonts w:hint="eastAsia" w:ascii="仿宋" w:hAnsi="仿宋" w:eastAsia="仿宋" w:cs="宋体"/>
          <w:kern w:val="0"/>
          <w:sz w:val="32"/>
          <w:szCs w:val="32"/>
        </w:rPr>
        <w:t>       2．合理性：我国是目前世界上老年人口最多的国家，人口老龄化速度非常快，呈现出发展迅速、规模巨大、持续时间长的特点，到2050年，老年人口总量将超过4亿，老龄化水平达到30%以上。人口预期寿命也将提高到79.3岁；2050年后将进入稳定的重度老龄化阶段，老龄化水平基本稳定在31%左右。老龄化、高龄化的不断加剧，势必导致生活自理能力缺失的失能老人和生活自理能力部分缺损的半失能老人群体持续扩大，日常专业照料的需求量大且功能要求越来越高。而由于家庭规模小型化和空巢老年家庭的增多，单纯依靠家庭和子女解决这一问题的传统养老模式已难以为继。党和政府高度重视养老服务体系的建设，国民经济和社会发展第十二个五年规划纲要明确提出了到2015年每千名老人拥有30张养老床位的具体指标。社区日间照料中心设施建设标准的出台，将是完成这一重要任务的基础依据和必要的技术保障。 </w:t>
      </w:r>
      <w:r>
        <w:rPr>
          <w:rFonts w:hint="eastAsia" w:ascii="仿宋" w:hAnsi="仿宋" w:eastAsia="仿宋" w:cs="仿宋"/>
          <w:kern w:val="2"/>
          <w:sz w:val="32"/>
          <w:szCs w:val="32"/>
          <w:lang w:val="en-US" w:eastAsia="zh-CN" w:bidi="ar"/>
        </w:rPr>
        <w:t>实现我县老人老有所养，老有所依，老有所乐，老有所为的目标。重度失能老人护理补贴制度建立普及率（%）≥90%，扶助资金到位率=100%，经济困难高龄失能半失能老年人保障率（%）=100%，接受补贴对象的满意度（%）≥95%。日间照料服务站数量≥17个。</w:t>
      </w:r>
      <w:bookmarkStart w:id="0" w:name="_GoBack"/>
      <w:bookmarkEnd w:id="0"/>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ascii="仿宋" w:hAnsi="仿宋" w:eastAsia="仿宋" w:cs="宋体"/>
          <w:color w:val="000000"/>
          <w:kern w:val="0"/>
          <w:sz w:val="32"/>
          <w:szCs w:val="32"/>
        </w:rPr>
      </w:pPr>
      <w:r>
        <w:rPr>
          <w:rFonts w:hint="eastAsia" w:ascii="仿宋" w:hAnsi="仿宋" w:eastAsia="仿宋" w:cs="宋体"/>
          <w:kern w:val="0"/>
          <w:sz w:val="32"/>
          <w:szCs w:val="32"/>
        </w:rPr>
        <w:t>（一）计划制定和落实情况。</w:t>
      </w:r>
      <w:r>
        <w:rPr>
          <w:rFonts w:hint="eastAsia" w:ascii="仿宋" w:hAnsi="仿宋" w:eastAsia="仿宋" w:cs="宋体"/>
          <w:color w:val="000000"/>
          <w:kern w:val="0"/>
          <w:sz w:val="32"/>
          <w:szCs w:val="32"/>
        </w:rPr>
        <w:t>说明是否制定详细可行的工</w:t>
      </w:r>
    </w:p>
    <w:p>
      <w:pPr>
        <w:widowControl/>
        <w:ind w:left="320"/>
        <w:rPr>
          <w:rFonts w:ascii="黑体" w:hAnsi="黑体" w:eastAsia="黑体" w:cs="宋体"/>
          <w:b/>
          <w:bCs/>
          <w:kern w:val="0"/>
          <w:sz w:val="32"/>
          <w:szCs w:val="32"/>
        </w:rPr>
      </w:pPr>
      <w:r>
        <w:rPr>
          <w:rFonts w:hint="eastAsia" w:ascii="仿宋" w:hAnsi="仿宋" w:eastAsia="仿宋" w:cs="宋体"/>
          <w:color w:val="000000"/>
          <w:kern w:val="0"/>
          <w:sz w:val="32"/>
          <w:szCs w:val="32"/>
        </w:rPr>
        <w:t>作活动(项目)实施计划，是否按实施计划具体落实。</w:t>
      </w:r>
    </w:p>
    <w:p>
      <w:pPr>
        <w:widowControl/>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从项目的经济性和效率性来看，项目建设支出都控制在预算内。从项目的可持续发展性来看，为社区老年人提供休闲娱乐、康复保健、配餐送餐等日间照护服务，是开展居家养老服务的有益补充，也是实现老年人就近养老的重要支撑。</w:t>
      </w:r>
      <w:r>
        <w:rPr>
          <w:rFonts w:hint="eastAsia" w:ascii="仿宋" w:hAnsi="仿宋" w:eastAsia="仿宋" w:cs="宋体"/>
          <w:color w:val="000000"/>
          <w:kern w:val="0"/>
          <w:sz w:val="32"/>
          <w:szCs w:val="32"/>
          <w:lang w:eastAsia="zh-CN"/>
        </w:rPr>
        <w:t>巨鹿县</w:t>
      </w:r>
      <w:r>
        <w:rPr>
          <w:rFonts w:hint="eastAsia" w:ascii="仿宋" w:hAnsi="仿宋" w:eastAsia="仿宋" w:cs="宋体"/>
          <w:color w:val="000000"/>
          <w:kern w:val="0"/>
          <w:sz w:val="32"/>
          <w:szCs w:val="32"/>
        </w:rPr>
        <w:t>日间照料中心运营后，将居家养老和社区服务二者有效结合，使更多的老年人足不出户在社区就能得到贴心周到的生活服务照料，深受社区的欢迎，社会效益明显。</w:t>
      </w:r>
    </w:p>
    <w:p>
      <w:pPr>
        <w:widowControl/>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（二）执行绩效监控情况。说明工作活动(项目)执行中绩效信息收集利用和执行中绩效管理情况。</w:t>
      </w:r>
    </w:p>
    <w:p>
      <w:pPr>
        <w:widowControl/>
        <w:ind w:firstLine="320" w:firstLineChars="100"/>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lang w:val="en-US" w:eastAsia="zh-CN"/>
        </w:rPr>
        <w:t>为保障社会养老服务体系工作开展，巨鹿县坚持“党政主导、社会参与、全民关怀”的工作方针，以“适用实用，切合实际，稳步推进”为工作要求，大力推动城乡养老服务体现建设，初步形成了以居家养老为基础、社区养老为依托、机构养老为补充的城乡养老服务体系。通过政策的制订、落实、宣传，为巨鹿县贫困老年人生活状况的改善、生活质量的提高都起到了很大的作用，为全县形成尊老、敬老、爱老良好氛围提供了保障，社会效益明显，社会反馈较好。</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（三）资金管理情况。说明资金到位、自筹资金落实和实际支出等情况。</w:t>
      </w:r>
    </w:p>
    <w:p>
      <w:pPr>
        <w:keepNext w:val="0"/>
        <w:keepLines w:val="0"/>
        <w:widowControl w:val="0"/>
        <w:suppressLineNumbers w:val="0"/>
        <w:spacing w:before="0" w:beforeAutospacing="0" w:after="0" w:afterAutospacing="0" w:line="540" w:lineRule="exact"/>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2021年本年收入61.23万元，按照规定的时间全部拨付到位。支出资金61.23万元，完成资金实用率的100%，主要用于建设日间照料服务站建设及设备等。</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（四）绩效管理制度建设及执行情况。说明工作活动(项目)绩效管理制度建设和执行情况。</w:t>
      </w:r>
    </w:p>
    <w:p>
      <w:pPr>
        <w:widowControl/>
        <w:numPr>
          <w:ilvl w:val="0"/>
          <w:numId w:val="0"/>
        </w:numPr>
        <w:ind w:leftChars="1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召开提高养老机构服务质量专项行动部署会，开展养老机构服务质量专项行动大检查，重点检查安全生产等五大方面， 下发整改通知书，各养老机构都开展了自查和检查，建立养老服务机构服务质量监督、信用体系，形成长效机制。</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（五）风险管理情况。如果工作活动(项目)实施中存在影响绩效目标实现的风险因素，说明处置预案和处置情况。</w:t>
      </w:r>
    </w:p>
    <w:p>
      <w:pPr>
        <w:widowControl/>
        <w:ind w:firstLine="470" w:firstLineChars="147"/>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通过细化医养结合具体措施，健全医疗保险机制，对符合条件的养老机构内设医疗机构，优先纳入医保定点。完善老年护理保障制度。统筹配置养老和医疗设施，大力发展养医结合型养老服务机构，缓解老年护理供需矛盾。</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keepNext w:val="0"/>
        <w:keepLines w:val="0"/>
        <w:widowControl w:val="0"/>
        <w:suppressLineNumbers w:val="0"/>
        <w:spacing w:before="0" w:beforeAutospacing="0" w:after="0" w:afterAutospacing="0" w:line="540" w:lineRule="exact"/>
        <w:ind w:left="0" w:right="0" w:firstLine="800" w:firstLineChars="25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为促进养老服务体系建设制度化、规范化，我们制定了《巨鹿县养老服务体系建设实施意见》、《巨鹿县实施“医养一体、两院融合”养老模式的实施办法》《巨鹿县养老机构质量建设实施方案》等文件与制度，严格执行相关项目管理制度。在项目信息化管理系统上，我们依托民政部养老系统，安全、方便、有效的报送相关养老服务体系建设信息，做到了信息报送及时准确。在项目的资金投向和结构，项目申报等工作上，坚持财务规划一体谋划，分步实行了原则，即项目申报与资金管理坚持财务负责，业务归口办理。确保项目申报符合资金管理办法等规定。</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（二）工作活动(项目)评价结果。</w:t>
      </w:r>
    </w:p>
    <w:p>
      <w:pPr>
        <w:widowControl/>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本项目资金补助的</w:t>
      </w:r>
      <w:r>
        <w:rPr>
          <w:rFonts w:hint="eastAsia" w:ascii="仿宋" w:hAnsi="仿宋" w:eastAsia="仿宋" w:cs="宋体"/>
          <w:color w:val="000000"/>
          <w:kern w:val="0"/>
          <w:sz w:val="32"/>
          <w:szCs w:val="32"/>
          <w:lang w:val="en-US"/>
        </w:rPr>
        <w:t>1</w:t>
      </w:r>
      <w:r>
        <w:rPr>
          <w:rFonts w:hint="eastAsia" w:ascii="仿宋" w:hAnsi="仿宋" w:eastAsia="仿宋" w:cs="宋体"/>
          <w:color w:val="000000"/>
          <w:kern w:val="0"/>
          <w:sz w:val="32"/>
          <w:szCs w:val="32"/>
          <w:lang w:val="en-US" w:eastAsia="zh-CN"/>
        </w:rPr>
        <w:t>7</w:t>
      </w:r>
      <w:r>
        <w:rPr>
          <w:rFonts w:hint="eastAsia" w:ascii="仿宋" w:hAnsi="仿宋" w:eastAsia="仿宋" w:cs="宋体"/>
          <w:color w:val="000000"/>
          <w:kern w:val="0"/>
          <w:sz w:val="32"/>
          <w:szCs w:val="32"/>
        </w:rPr>
        <w:t>个社区老年人日间照料中心，在专项资金的分配、使用和管理等方面都严格实行专款专用，专账专户。省民政厅下发《关于加强全省城乡社区老年人日间照料中心项目建设和管理工作的通知》，加强日间照料中心项目规范化管理，保障项目的有效实施。项目落实情况良好，基本能完成项目指标，综合评价得分</w:t>
      </w:r>
      <w:r>
        <w:rPr>
          <w:rFonts w:hint="eastAsia" w:ascii="仿宋" w:hAnsi="仿宋" w:eastAsia="仿宋" w:cs="宋体"/>
          <w:color w:val="000000"/>
          <w:kern w:val="0"/>
          <w:sz w:val="32"/>
          <w:szCs w:val="32"/>
          <w:lang w:val="en-US"/>
        </w:rPr>
        <w:t>85</w:t>
      </w:r>
      <w:r>
        <w:rPr>
          <w:rFonts w:hint="eastAsia" w:ascii="仿宋" w:hAnsi="仿宋" w:eastAsia="仿宋" w:cs="宋体"/>
          <w:color w:val="000000"/>
          <w:kern w:val="0"/>
          <w:sz w:val="32"/>
          <w:szCs w:val="32"/>
        </w:rPr>
        <w:t>分。绩效评价等次为良好。</w:t>
      </w: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numPr>
          <w:numId w:val="0"/>
        </w:numPr>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widowControl/>
        <w:numPr>
          <w:numId w:val="0"/>
        </w:numPr>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服务内容单一，专业化程度没有，根据抽查情况看，已开始运作的也只是提供娱乐休闲方面服务，尚不具备提供医疗、护理、康复、心理慰藉等专业化服务能力。服务人员服务水平也较低。</w:t>
      </w:r>
    </w:p>
    <w:p>
      <w:pPr>
        <w:widowControl/>
        <w:numPr>
          <w:ilvl w:val="0"/>
          <w:numId w:val="2"/>
        </w:numPr>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工作活动(项目)实施中改进意见及措施。</w:t>
      </w:r>
    </w:p>
    <w:p>
      <w:pPr>
        <w:widowControl/>
        <w:numPr>
          <w:numId w:val="0"/>
        </w:numPr>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1、建议制定一个完整的日间照料中心建设标准，落实日间照料中心建设用地等问题，加大财政资金投入力度，同时监督资金使用效率；</w:t>
      </w:r>
      <w:r>
        <w:rPr>
          <w:rFonts w:hint="eastAsia" w:ascii="仿宋" w:hAnsi="仿宋" w:eastAsia="仿宋" w:cs="宋体"/>
          <w:color w:val="000000"/>
          <w:kern w:val="0"/>
          <w:sz w:val="32"/>
          <w:szCs w:val="32"/>
        </w:rPr>
        <w:br w:type="textWrapping"/>
      </w:r>
      <w:r>
        <w:rPr>
          <w:rFonts w:hint="eastAsia" w:ascii="仿宋" w:hAnsi="仿宋" w:eastAsia="仿宋" w:cs="宋体"/>
          <w:color w:val="000000"/>
          <w:kern w:val="0"/>
          <w:sz w:val="32"/>
          <w:szCs w:val="32"/>
        </w:rPr>
        <w:t>      2</w:t>
      </w:r>
      <w:r>
        <w:rPr>
          <w:rFonts w:hint="eastAsia" w:ascii="仿宋" w:hAnsi="仿宋" w:eastAsia="仿宋" w:cs="宋体"/>
          <w:color w:val="000000"/>
          <w:kern w:val="0"/>
          <w:sz w:val="32"/>
          <w:szCs w:val="32"/>
          <w:lang w:eastAsia="zh-CN"/>
        </w:rPr>
        <w:t>、</w:t>
      </w:r>
      <w:r>
        <w:rPr>
          <w:rFonts w:hint="eastAsia" w:ascii="仿宋" w:hAnsi="仿宋" w:eastAsia="仿宋" w:cs="宋体"/>
          <w:color w:val="000000"/>
          <w:kern w:val="0"/>
          <w:sz w:val="32"/>
          <w:szCs w:val="32"/>
        </w:rPr>
        <w:t>引入社会资源和社会资本，提高专业化服务能力和运营经费保障能力，适当考虑市场化运作模式，使其可持续发展。</w:t>
      </w:r>
    </w:p>
    <w:p>
      <w:pPr>
        <w:widowControl/>
        <w:numPr>
          <w:numId w:val="0"/>
        </w:numPr>
        <w:ind w:firstLine="320" w:firstLineChars="1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（三）建议。</w:t>
      </w:r>
    </w:p>
    <w:p>
      <w:pPr>
        <w:widowControl/>
        <w:ind w:firstLine="640" w:firstLineChars="200"/>
        <w:rPr>
          <w:rFonts w:hint="eastAsia"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rPr>
        <w:t>202</w:t>
      </w:r>
      <w:r>
        <w:rPr>
          <w:rFonts w:hint="eastAsia" w:ascii="仿宋" w:hAnsi="仿宋" w:eastAsia="仿宋" w:cs="宋体"/>
          <w:color w:val="000000"/>
          <w:kern w:val="0"/>
          <w:sz w:val="32"/>
          <w:szCs w:val="32"/>
          <w:lang w:val="en-US" w:eastAsia="zh-CN"/>
        </w:rPr>
        <w:t>2</w:t>
      </w:r>
      <w:r>
        <w:rPr>
          <w:rFonts w:hint="eastAsia" w:ascii="仿宋" w:hAnsi="仿宋" w:eastAsia="仿宋" w:cs="宋体"/>
          <w:color w:val="000000"/>
          <w:kern w:val="0"/>
          <w:sz w:val="32"/>
          <w:szCs w:val="32"/>
        </w:rPr>
        <w:t>年预算时仍需继续保留的专项资金，为社会化社区日间照料中心的运营提供部分资金保障，支持居家和社区养老服务发展</w:t>
      </w:r>
      <w:r>
        <w:rPr>
          <w:rFonts w:hint="eastAsia" w:ascii="仿宋" w:hAnsi="仿宋" w:eastAsia="仿宋" w:cs="宋体"/>
          <w:color w:val="000000"/>
          <w:kern w:val="0"/>
          <w:sz w:val="32"/>
          <w:szCs w:val="32"/>
          <w:lang w:val="en-US" w:eastAsia="zh-CN"/>
        </w:rPr>
        <w:t>。</w:t>
      </w: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abstractNum w:abstractNumId="1">
    <w:nsid w:val="20FBB755"/>
    <w:multiLevelType w:val="singleLevel"/>
    <w:tmpl w:val="20FBB75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0FAC6D86"/>
    <w:rsid w:val="4A9038CD"/>
    <w:rsid w:val="5CFD38CE"/>
    <w:rsid w:val="6DCB2AC5"/>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9</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2022-04-24T02:07:47Z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