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left"/>
        <w:rPr>
          <w:rFonts w:ascii="仿宋" w:hAnsi="仿宋" w:eastAsia="仿宋" w:cs="仿宋"/>
          <w:kern w:val="0"/>
          <w:sz w:val="32"/>
          <w:szCs w:val="32"/>
          <w:shd w:val="clear" w:color="auto" w:fill="FFFFFF"/>
        </w:rPr>
      </w:pPr>
      <w:r>
        <w:rPr>
          <w:rFonts w:hint="eastAsia" w:ascii="仿宋" w:hAnsi="仿宋" w:eastAsia="仿宋" w:cs="仿宋"/>
          <w:kern w:val="0"/>
          <w:sz w:val="32"/>
          <w:szCs w:val="32"/>
          <w:shd w:val="clear" w:color="auto" w:fill="FFFFFF"/>
        </w:rPr>
        <w:t xml:space="preserve">  附件</w:t>
      </w:r>
      <w:r>
        <w:rPr>
          <w:rFonts w:hint="eastAsia" w:ascii="仿宋" w:hAnsi="仿宋" w:eastAsia="仿宋" w:cs="仿宋"/>
          <w:kern w:val="0"/>
          <w:sz w:val="32"/>
          <w:szCs w:val="32"/>
          <w:shd w:val="clear" w:color="auto" w:fill="FFFFFF"/>
          <w:lang w:val="en-US" w:eastAsia="zh-CN"/>
        </w:rPr>
        <w:t>3</w:t>
      </w:r>
      <w:r>
        <w:rPr>
          <w:rFonts w:hint="eastAsia" w:ascii="仿宋" w:hAnsi="仿宋" w:eastAsia="仿宋" w:cs="仿宋"/>
          <w:kern w:val="0"/>
          <w:sz w:val="32"/>
          <w:szCs w:val="32"/>
          <w:shd w:val="clear" w:color="auto" w:fill="FFFFFF"/>
        </w:rPr>
        <w:t>：</w:t>
      </w:r>
    </w:p>
    <w:p>
      <w:pPr>
        <w:spacing w:line="480" w:lineRule="exact"/>
        <w:jc w:val="center"/>
        <w:rPr>
          <w:rFonts w:ascii="宋体" w:hAnsi="宋体"/>
          <w:b/>
          <w:sz w:val="44"/>
          <w:szCs w:val="44"/>
        </w:rPr>
      </w:pPr>
      <w:r>
        <w:rPr>
          <w:rFonts w:hint="eastAsia" w:ascii="宋体" w:hAnsi="宋体"/>
          <w:b/>
          <w:sz w:val="44"/>
          <w:szCs w:val="44"/>
          <w:lang w:eastAsia="zh-CN"/>
        </w:rPr>
        <w:t>巨鹿</w:t>
      </w:r>
      <w:r>
        <w:rPr>
          <w:rFonts w:hint="eastAsia" w:ascii="宋体" w:hAnsi="宋体"/>
          <w:b/>
          <w:sz w:val="44"/>
          <w:szCs w:val="44"/>
        </w:rPr>
        <w:t>县</w:t>
      </w:r>
      <w:r>
        <w:rPr>
          <w:rFonts w:hint="eastAsia" w:ascii="宋体" w:hAnsi="宋体"/>
          <w:b/>
          <w:sz w:val="44"/>
          <w:szCs w:val="44"/>
          <w:lang w:eastAsia="zh-CN"/>
        </w:rPr>
        <w:t>民政局</w:t>
      </w:r>
      <w:r>
        <w:rPr>
          <w:rFonts w:hint="eastAsia" w:ascii="宋体" w:hAnsi="宋体"/>
          <w:b/>
          <w:sz w:val="44"/>
          <w:szCs w:val="44"/>
        </w:rPr>
        <w:t>2021年</w:t>
      </w:r>
    </w:p>
    <w:p>
      <w:pPr>
        <w:spacing w:line="480" w:lineRule="exact"/>
        <w:jc w:val="center"/>
        <w:rPr>
          <w:rFonts w:ascii="宋体" w:hAnsi="宋体" w:eastAsia="宋体" w:cs="宋体"/>
          <w:b/>
          <w:color w:val="000000"/>
          <w:kern w:val="0"/>
          <w:sz w:val="44"/>
          <w:szCs w:val="44"/>
          <w:shd w:val="clear" w:color="auto" w:fill="FFFFFF"/>
        </w:rPr>
      </w:pPr>
      <w:r>
        <w:rPr>
          <w:rFonts w:hint="eastAsia" w:ascii="宋体" w:hAnsi="宋体"/>
          <w:b/>
          <w:sz w:val="44"/>
          <w:szCs w:val="44"/>
        </w:rPr>
        <w:t>部门整体支出绩效评价</w:t>
      </w:r>
      <w:r>
        <w:rPr>
          <w:rFonts w:hint="eastAsia" w:ascii="宋体" w:hAnsi="宋体" w:eastAsia="宋体" w:cs="宋体"/>
          <w:b/>
          <w:color w:val="000000"/>
          <w:kern w:val="0"/>
          <w:sz w:val="44"/>
          <w:szCs w:val="44"/>
          <w:shd w:val="clear" w:color="auto" w:fill="FFFFFF"/>
        </w:rPr>
        <w:t>指标体系评分表</w:t>
      </w:r>
    </w:p>
    <w:p>
      <w:pPr>
        <w:spacing w:line="480" w:lineRule="exact"/>
        <w:jc w:val="left"/>
        <w:rPr>
          <w:rFonts w:ascii="仿宋" w:hAnsi="仿宋" w:eastAsia="仿宋" w:cs="仿宋"/>
          <w:sz w:val="24"/>
          <w:szCs w:val="24"/>
        </w:rPr>
      </w:pPr>
      <w:r>
        <w:rPr>
          <w:rFonts w:hint="eastAsia" w:ascii="仿宋" w:hAnsi="仿宋" w:eastAsia="仿宋" w:cs="仿宋"/>
          <w:sz w:val="24"/>
          <w:szCs w:val="24"/>
        </w:rPr>
        <w:t xml:space="preserve">单位名称:        (公章)         单位负责人:          </w:t>
      </w:r>
    </w:p>
    <w:tbl>
      <w:tblPr>
        <w:tblStyle w:val="8"/>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851"/>
        <w:gridCol w:w="1559"/>
        <w:gridCol w:w="3260"/>
        <w:gridCol w:w="2552"/>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一级指标</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二级指标</w:t>
            </w:r>
          </w:p>
        </w:tc>
        <w:tc>
          <w:tcPr>
            <w:tcW w:w="4819" w:type="dxa"/>
            <w:gridSpan w:val="2"/>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三级指标</w:t>
            </w:r>
          </w:p>
        </w:tc>
        <w:tc>
          <w:tcPr>
            <w:tcW w:w="2552" w:type="dxa"/>
            <w:vMerge w:val="restart"/>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评分标准</w:t>
            </w:r>
          </w:p>
        </w:tc>
        <w:tc>
          <w:tcPr>
            <w:tcW w:w="567" w:type="dxa"/>
            <w:vMerge w:val="restart"/>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b/>
              </w:rPr>
            </w:pPr>
            <w:r>
              <w:rPr>
                <w:rFonts w:hint="default" w:ascii="仿宋_GB2312" w:hAnsi="新宋体" w:eastAsia="仿宋_GB2312" w:cs="仿宋_GB2312"/>
                <w:b/>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指标名称</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b/>
              </w:rPr>
            </w:pPr>
            <w:r>
              <w:rPr>
                <w:rFonts w:hint="default" w:ascii="仿宋_GB2312" w:hAnsi="新宋体" w:eastAsia="仿宋_GB2312" w:cs="仿宋_GB2312"/>
                <w:b/>
                <w:kern w:val="0"/>
                <w:sz w:val="24"/>
                <w:szCs w:val="24"/>
              </w:rPr>
              <w:t>指标解释说明</w:t>
            </w:r>
          </w:p>
        </w:tc>
        <w:tc>
          <w:tcPr>
            <w:tcW w:w="2552" w:type="dxa"/>
            <w:vMerge w:val="continue"/>
            <w:tcBorders>
              <w:top w:val="single" w:color="000000"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szCs w:val="21"/>
              </w:rPr>
            </w:pPr>
          </w:p>
        </w:tc>
        <w:tc>
          <w:tcPr>
            <w:tcW w:w="567" w:type="dxa"/>
            <w:vMerge w:val="continue"/>
            <w:tcBorders>
              <w:top w:val="single" w:color="000000"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9039" w:type="dxa"/>
            <w:gridSpan w:val="5"/>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新宋体" w:eastAsia="仿宋_GB2312" w:cs="仿宋_GB2312"/>
                <w:b/>
                <w:kern w:val="0"/>
                <w:sz w:val="24"/>
                <w:szCs w:val="24"/>
              </w:rPr>
            </w:pPr>
            <w:r>
              <w:rPr>
                <w:rFonts w:hint="eastAsia" w:ascii="仿宋_GB2312" w:hAnsi="新宋体" w:eastAsia="仿宋_GB2312" w:cs="仿宋_GB2312"/>
                <w:b/>
                <w:kern w:val="0"/>
                <w:sz w:val="24"/>
                <w:szCs w:val="24"/>
              </w:rPr>
              <w:t>自评总分</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投入（1</w:t>
            </w:r>
            <w:r>
              <w:rPr>
                <w:rFonts w:hint="eastAsia" w:ascii="仿宋_GB2312" w:hAnsi="新宋体" w:eastAsia="仿宋_GB2312" w:cs="仿宋_GB2312"/>
                <w:kern w:val="0"/>
                <w:szCs w:val="21"/>
              </w:rPr>
              <w:t>0分</w:t>
            </w:r>
            <w:r>
              <w:rPr>
                <w:rFonts w:hint="default"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绩效</w:t>
            </w:r>
            <w:r>
              <w:rPr>
                <w:rFonts w:hint="default" w:ascii="仿宋_GB2312" w:hAnsi="新宋体" w:eastAsia="仿宋_GB2312" w:cs="仿宋_GB2312"/>
                <w:kern w:val="0"/>
                <w:szCs w:val="21"/>
              </w:rPr>
              <w:t>目标设定</w:t>
            </w:r>
            <w:r>
              <w:rPr>
                <w:rFonts w:hint="eastAsia" w:ascii="仿宋_GB2312" w:hAnsi="新宋体" w:eastAsia="仿宋_GB2312" w:cs="仿宋_GB2312"/>
                <w:kern w:val="0"/>
                <w:szCs w:val="21"/>
              </w:rPr>
              <w:t>情</w:t>
            </w:r>
          </w:p>
          <w:p>
            <w:pPr>
              <w:keepNext w:val="0"/>
              <w:keepLines w:val="0"/>
              <w:widowControl/>
              <w:suppressLineNumbers w:val="0"/>
              <w:spacing w:before="0" w:beforeAutospacing="0" w:after="0" w:afterAutospacing="0" w:line="240" w:lineRule="exact"/>
              <w:ind w:left="0" w:right="0"/>
              <w:jc w:val="left"/>
              <w:rPr>
                <w:rFonts w:hint="default"/>
                <w:sz w:val="18"/>
                <w:szCs w:val="18"/>
              </w:rPr>
            </w:pPr>
            <w:r>
              <w:rPr>
                <w:rFonts w:hint="default" w:ascii="仿宋_GB2312" w:hAnsi="新宋体" w:eastAsia="仿宋_GB2312" w:cs="仿宋_GB2312"/>
                <w:kern w:val="0"/>
                <w:sz w:val="18"/>
                <w:szCs w:val="18"/>
              </w:rPr>
              <w:t>（</w:t>
            </w:r>
            <w:r>
              <w:rPr>
                <w:rFonts w:hint="eastAsia" w:ascii="仿宋_GB2312" w:hAnsi="新宋体" w:eastAsia="仿宋_GB2312" w:cs="仿宋_GB2312"/>
                <w:kern w:val="0"/>
                <w:sz w:val="18"/>
                <w:szCs w:val="18"/>
              </w:rPr>
              <w:t>5分</w:t>
            </w:r>
            <w:r>
              <w:rPr>
                <w:rFonts w:hint="default"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职责明确</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部门的职责设定是否符合“三定”方案中所赋予的职责，用以反映和评价部门工作的目的性与计划性。</w:t>
            </w:r>
          </w:p>
        </w:tc>
        <w:tc>
          <w:tcPr>
            <w:tcW w:w="2552"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符合（1）；</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不符合（0）。</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5"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活动合规性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部门的活动是否在职责范围之内并符合部门中长期规划，用以反映和评价部门活动目标与部门履职、年度工作任务的相符性情况。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1.部门活动的设定在部门所确定的职责范围之内；</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2.部门活动符合</w:t>
            </w:r>
            <w:r>
              <w:rPr>
                <w:rFonts w:hint="eastAsia" w:ascii="仿宋_GB2312" w:hAnsi="新宋体" w:eastAsia="仿宋_GB2312" w:cs="仿宋_GB2312"/>
                <w:kern w:val="0"/>
                <w:szCs w:val="21"/>
              </w:rPr>
              <w:t>市</w:t>
            </w:r>
            <w:r>
              <w:rPr>
                <w:rFonts w:hint="default" w:ascii="仿宋_GB2312" w:hAnsi="新宋体" w:eastAsia="仿宋_GB2312" w:cs="仿宋_GB2312"/>
                <w:kern w:val="0"/>
                <w:szCs w:val="21"/>
              </w:rPr>
              <w:t>委、</w:t>
            </w:r>
            <w:r>
              <w:rPr>
                <w:rFonts w:hint="eastAsia" w:ascii="仿宋_GB2312" w:hAnsi="新宋体" w:eastAsia="仿宋_GB2312" w:cs="仿宋_GB2312"/>
                <w:kern w:val="0"/>
                <w:szCs w:val="21"/>
              </w:rPr>
              <w:t>市</w:t>
            </w:r>
            <w:r>
              <w:rPr>
                <w:rFonts w:hint="default" w:ascii="仿宋_GB2312" w:hAnsi="新宋体" w:eastAsia="仿宋_GB2312" w:cs="仿宋_GB2312"/>
                <w:kern w:val="0"/>
                <w:szCs w:val="21"/>
              </w:rPr>
              <w:t>政府的发展规划及本部门的年度工作安排与发展规划。</w:t>
            </w:r>
          </w:p>
        </w:tc>
        <w:tc>
          <w:tcPr>
            <w:tcW w:w="2552"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全部符合（2）；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其中一项不符合（0）。</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活动合理性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部门所设立的活动是否明确合理、活动的关键性指标设置是否可衡量，用以反映和评价部门活动目标设定的合理性。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1.活动目标的设定是可量化的，可通过清晰、可衡量的关键指标值予以体现；</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2.在活动目标设定时，将关键指标明细分解为具体的达成目标与工作任务。</w:t>
            </w:r>
          </w:p>
        </w:tc>
        <w:tc>
          <w:tcPr>
            <w:tcW w:w="2552"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全部符合（2）；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其中一项不符合（0）。</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1"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预算配置</w:t>
            </w:r>
            <w:r>
              <w:rPr>
                <w:rFonts w:hint="eastAsia" w:ascii="仿宋_GB2312" w:hAnsi="新宋体" w:eastAsia="仿宋_GB2312" w:cs="仿宋_GB2312"/>
                <w:kern w:val="0"/>
                <w:szCs w:val="21"/>
              </w:rPr>
              <w:t>情况</w:t>
            </w: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hint="default" w:ascii="仿宋_GB2312" w:hAnsi="新宋体" w:eastAsia="仿宋_GB2312" w:cs="仿宋_GB2312"/>
                <w:kern w:val="0"/>
                <w:szCs w:val="21"/>
              </w:rPr>
              <w:t>)</w:t>
            </w:r>
          </w:p>
        </w:tc>
        <w:tc>
          <w:tcPr>
            <w:tcW w:w="1559" w:type="dxa"/>
            <w:tcBorders>
              <w:top w:val="single" w:color="auto" w:sz="4" w:space="0"/>
              <w:left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在职人员控制率（</w:t>
            </w:r>
            <w:r>
              <w:rPr>
                <w:rFonts w:hint="eastAsia" w:ascii="仿宋_GB2312" w:hAnsi="新宋体" w:eastAsia="仿宋_GB2312" w:cs="仿宋_GB2312"/>
                <w:kern w:val="0"/>
                <w:szCs w:val="21"/>
              </w:rPr>
              <w:t>1分</w:t>
            </w:r>
            <w:r>
              <w:rPr>
                <w:rFonts w:hint="default" w:ascii="仿宋_GB2312" w:hAnsi="新宋体" w:eastAsia="仿宋_GB2312" w:cs="仿宋_GB2312"/>
                <w:kern w:val="0"/>
                <w:szCs w:val="21"/>
              </w:rPr>
              <w:t>）</w:t>
            </w:r>
          </w:p>
        </w:tc>
        <w:tc>
          <w:tcPr>
            <w:tcW w:w="3260" w:type="dxa"/>
            <w:tcBorders>
              <w:top w:val="single" w:color="auto"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部门本年度实际在职人员数与编制数的比率，用以反映和评价部门对人员成本的控制程度。</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在职人员控制率=（在职人员数/编制数）×100%。</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在职人员数：部门实际在职人数，以财政部确定的部门决算编制口径为准，由编制部门和人劳部门批复同意的临聘人员除外。</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编制数：机构编制部门核定批复的部门人员编制数。</w:t>
            </w:r>
          </w:p>
        </w:tc>
        <w:tc>
          <w:tcPr>
            <w:tcW w:w="2552" w:type="dxa"/>
            <w:tcBorders>
              <w:top w:val="single" w:color="auto"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1.在职人员控制率小于或等于100%的，得满分；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2.在职人员控制率大于或等于115%的，得0分；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3.在职人员控制率在100%-115%之间的，在0分和满分之间计算确定：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得分=[max（在职人员控制率）－某部门在职人员控制率]/[max（在职人员控制率）－min（在职人员控制率）]×该指标分值。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17" w:type="dxa"/>
            <w:vMerge w:val="restart"/>
            <w:tcBorders>
              <w:top w:val="single" w:color="000000" w:sz="4" w:space="0"/>
              <w:left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1559" w:type="dxa"/>
            <w:tcBorders>
              <w:top w:val="single" w:color="auto" w:sz="4" w:space="0"/>
              <w:left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eastAsia" w:ascii="仿宋" w:hAnsi="仿宋" w:eastAsia="仿宋" w:cs="仿宋"/>
                <w:color w:val="000000"/>
                <w:kern w:val="0"/>
                <w:szCs w:val="21"/>
              </w:rPr>
              <w:t>“三公经费”变动率（2分）</w:t>
            </w:r>
          </w:p>
        </w:tc>
        <w:tc>
          <w:tcPr>
            <w:tcW w:w="3260" w:type="dxa"/>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eastAsia" w:ascii="仿宋" w:hAnsi="仿宋" w:eastAsia="仿宋" w:cs="仿宋"/>
                <w:color w:val="000000"/>
                <w:kern w:val="0"/>
                <w:szCs w:val="21"/>
              </w:rPr>
              <w:t>部门本年度“三公经费”预算数与上年度“三公经费”预算数的变动比率，用以反映和考核部门对控制重点行政成本的努力程度。“三公经费”变动率=[（本年度“三公经费”总额-上年度“三公经费”总额）/上年度“三公经费”总额]×100%。</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“三公经费”：年度预算安排的因公出国（境）费、公务车辆购置及运行费和公务招待费。</w:t>
            </w:r>
          </w:p>
        </w:tc>
        <w:tc>
          <w:tcPr>
            <w:tcW w:w="2552" w:type="dxa"/>
            <w:tcBorders>
              <w:top w:val="single" w:color="auto"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w:t>
            </w:r>
            <w:r>
              <w:rPr>
                <w:rFonts w:hint="eastAsia" w:ascii="仿宋" w:hAnsi="仿宋" w:eastAsia="仿宋" w:cs="仿宋"/>
                <w:color w:val="000000"/>
                <w:kern w:val="0"/>
                <w:szCs w:val="21"/>
              </w:rPr>
              <w:t>“三公经费”变动率</w:t>
            </w:r>
            <w:r>
              <w:rPr>
                <w:rFonts w:hint="default" w:ascii="仿宋_GB2312" w:hAnsi="新宋体" w:eastAsia="仿宋_GB2312" w:cs="仿宋_GB2312"/>
                <w:kern w:val="0"/>
                <w:szCs w:val="21"/>
              </w:rPr>
              <w:t>小于或等于</w:t>
            </w:r>
            <w:r>
              <w:rPr>
                <w:rFonts w:hint="eastAsia" w:ascii="仿宋_GB2312" w:hAnsi="新宋体" w:eastAsia="仿宋_GB2312" w:cs="仿宋_GB2312"/>
                <w:kern w:val="0"/>
                <w:szCs w:val="21"/>
              </w:rPr>
              <w:t>-5</w:t>
            </w:r>
            <w:r>
              <w:rPr>
                <w:rFonts w:hint="default" w:ascii="仿宋_GB2312" w:hAnsi="新宋体" w:eastAsia="仿宋_GB2312" w:cs="仿宋_GB2312"/>
                <w:kern w:val="0"/>
                <w:szCs w:val="21"/>
              </w:rPr>
              <w:t>%的，得满分；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w:t>
            </w:r>
            <w:r>
              <w:rPr>
                <w:rFonts w:hint="eastAsia" w:ascii="仿宋" w:hAnsi="仿宋" w:eastAsia="仿宋" w:cs="仿宋"/>
                <w:color w:val="000000"/>
                <w:kern w:val="0"/>
                <w:szCs w:val="21"/>
              </w:rPr>
              <w:t>“三公经费”变动率</w:t>
            </w:r>
            <w:r>
              <w:rPr>
                <w:rFonts w:hint="default" w:ascii="仿宋_GB2312" w:hAnsi="新宋体" w:eastAsia="仿宋_GB2312" w:cs="仿宋_GB2312"/>
                <w:kern w:val="0"/>
                <w:szCs w:val="21"/>
              </w:rPr>
              <w:t>大于或等于1</w:t>
            </w:r>
            <w:r>
              <w:rPr>
                <w:rFonts w:hint="eastAsia" w:ascii="仿宋_GB2312" w:hAnsi="新宋体" w:eastAsia="仿宋_GB2312" w:cs="仿宋_GB2312"/>
                <w:kern w:val="0"/>
                <w:szCs w:val="21"/>
              </w:rPr>
              <w:t>0</w:t>
            </w:r>
            <w:r>
              <w:rPr>
                <w:rFonts w:hint="default" w:ascii="仿宋_GB2312" w:hAnsi="新宋体" w:eastAsia="仿宋_GB2312" w:cs="仿宋_GB2312"/>
                <w:kern w:val="0"/>
                <w:szCs w:val="21"/>
              </w:rPr>
              <w:t>%的，得0分；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3.在职人员控制率在</w:t>
            </w:r>
            <w:r>
              <w:rPr>
                <w:rFonts w:hint="eastAsia" w:ascii="仿宋_GB2312" w:hAnsi="新宋体" w:eastAsia="仿宋_GB2312" w:cs="仿宋_GB2312"/>
                <w:kern w:val="0"/>
                <w:szCs w:val="21"/>
              </w:rPr>
              <w:t>-5</w:t>
            </w: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10</w:t>
            </w:r>
            <w:r>
              <w:rPr>
                <w:rFonts w:hint="default" w:ascii="仿宋_GB2312" w:hAnsi="新宋体" w:eastAsia="仿宋_GB2312" w:cs="仿宋_GB2312"/>
                <w:kern w:val="0"/>
                <w:szCs w:val="21"/>
              </w:rPr>
              <w:t>%之间的，在0分和满分之间计算确定：</w:t>
            </w:r>
          </w:p>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default" w:ascii="仿宋_GB2312" w:hAnsi="新宋体" w:eastAsia="仿宋_GB2312" w:cs="仿宋_GB2312"/>
                <w:kern w:val="0"/>
                <w:szCs w:val="21"/>
              </w:rPr>
              <w:t>得分=[max（</w:t>
            </w:r>
            <w:r>
              <w:rPr>
                <w:rFonts w:hint="eastAsia" w:ascii="仿宋" w:hAnsi="仿宋" w:eastAsia="仿宋" w:cs="仿宋"/>
                <w:color w:val="000000"/>
                <w:kern w:val="0"/>
                <w:szCs w:val="21"/>
              </w:rPr>
              <w:t>“三公经费”变动率</w:t>
            </w:r>
            <w:r>
              <w:rPr>
                <w:rFonts w:hint="default" w:ascii="仿宋_GB2312" w:hAnsi="新宋体" w:eastAsia="仿宋_GB2312" w:cs="仿宋_GB2312"/>
                <w:kern w:val="0"/>
                <w:szCs w:val="21"/>
              </w:rPr>
              <w:t>）－</w:t>
            </w:r>
            <w:r>
              <w:rPr>
                <w:rFonts w:hint="eastAsia" w:ascii="仿宋" w:hAnsi="仿宋" w:eastAsia="仿宋" w:cs="仿宋"/>
                <w:color w:val="000000"/>
                <w:kern w:val="0"/>
                <w:szCs w:val="21"/>
              </w:rPr>
              <w:t>“三公经费”变动率</w:t>
            </w:r>
            <w:r>
              <w:rPr>
                <w:rFonts w:hint="default" w:ascii="仿宋_GB2312" w:hAnsi="新宋体" w:eastAsia="仿宋_GB2312" w:cs="仿宋_GB2312"/>
                <w:kern w:val="0"/>
                <w:szCs w:val="21"/>
              </w:rPr>
              <w:t>]/[max（</w:t>
            </w:r>
            <w:r>
              <w:rPr>
                <w:rFonts w:hint="eastAsia" w:ascii="仿宋" w:hAnsi="仿宋" w:eastAsia="仿宋" w:cs="仿宋"/>
                <w:color w:val="000000"/>
                <w:kern w:val="0"/>
                <w:szCs w:val="21"/>
              </w:rPr>
              <w:t>“三公经费”变动率</w:t>
            </w:r>
            <w:r>
              <w:rPr>
                <w:rFonts w:hint="default" w:ascii="仿宋_GB2312" w:hAnsi="新宋体" w:eastAsia="仿宋_GB2312" w:cs="仿宋_GB2312"/>
                <w:kern w:val="0"/>
                <w:szCs w:val="21"/>
              </w:rPr>
              <w:t>）－min（</w:t>
            </w:r>
            <w:r>
              <w:rPr>
                <w:rFonts w:hint="eastAsia" w:ascii="仿宋" w:hAnsi="仿宋" w:eastAsia="仿宋" w:cs="仿宋"/>
                <w:color w:val="000000"/>
                <w:kern w:val="0"/>
                <w:szCs w:val="21"/>
              </w:rPr>
              <w:t>“三公经费”变动率</w:t>
            </w:r>
            <w:r>
              <w:rPr>
                <w:rFonts w:hint="default" w:ascii="仿宋_GB2312" w:hAnsi="新宋体" w:eastAsia="仿宋_GB2312" w:cs="仿宋_GB2312"/>
                <w:kern w:val="0"/>
                <w:szCs w:val="21"/>
              </w:rPr>
              <w:t>）]×该指标分值。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817" w:type="dxa"/>
            <w:vMerge w:val="continue"/>
            <w:tcBorders>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1559" w:type="dxa"/>
            <w:tcBorders>
              <w:top w:val="single" w:color="auto" w:sz="4" w:space="0"/>
              <w:left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eastAsia" w:ascii="仿宋" w:hAnsi="仿宋" w:eastAsia="仿宋" w:cs="仿宋"/>
                <w:color w:val="000000"/>
                <w:kern w:val="0"/>
                <w:szCs w:val="21"/>
              </w:rPr>
              <w:t>重点支出安排率（2分）</w:t>
            </w:r>
          </w:p>
        </w:tc>
        <w:tc>
          <w:tcPr>
            <w:tcW w:w="3260" w:type="dxa"/>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eastAsia" w:ascii="仿宋" w:hAnsi="仿宋" w:eastAsia="仿宋" w:cs="仿宋"/>
                <w:color w:val="000000"/>
                <w:kern w:val="0"/>
                <w:szCs w:val="21"/>
              </w:rPr>
              <w:t>部门本年度预算安排的重点项目支出与部门项目总支出的比率，用以反映和考核部门对履行主要职责或完成重点任务的保障程度。重点支出安排率=（重点项目支出/项目总支出）×100%。</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重点项目支出：部门（单位）年度预算安排的，与本部门履职和发展密切相关、具有明显社会和经济影响、党委政府关心或社会比较关注的项目支出总额。</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项目总支出：部门（单位）年度预算安排的项目支出总额。</w:t>
            </w:r>
          </w:p>
        </w:tc>
        <w:tc>
          <w:tcPr>
            <w:tcW w:w="2552" w:type="dxa"/>
            <w:tcBorders>
              <w:top w:val="single" w:color="auto"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大于或等于95%的，得满分；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小于或等于85%的，得0分；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在85%-95%之间的，在0分和满分之间计算确定：</w:t>
            </w:r>
          </w:p>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kern w:val="0"/>
                <w:szCs w:val="21"/>
              </w:rPr>
            </w:pPr>
            <w:r>
              <w:rPr>
                <w:rFonts w:hint="default" w:ascii="仿宋_GB2312" w:hAnsi="新宋体" w:eastAsia="仿宋_GB2312" w:cs="仿宋_GB2312"/>
                <w:kern w:val="0"/>
                <w:szCs w:val="21"/>
              </w:rPr>
              <w:t>得分=[某部门</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）]/[max（</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hint="default" w:ascii="仿宋_GB2312" w:hAnsi="新宋体" w:eastAsia="仿宋_GB2312" w:cs="仿宋_GB2312"/>
                <w:kern w:val="0"/>
                <w:szCs w:val="21"/>
              </w:rPr>
              <w:t>）]×该指标分值。</w:t>
            </w: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过程(</w:t>
            </w:r>
            <w:r>
              <w:rPr>
                <w:rFonts w:hint="eastAsia" w:ascii="仿宋_GB2312" w:hAnsi="新宋体" w:eastAsia="仿宋_GB2312" w:cs="仿宋_GB2312"/>
                <w:kern w:val="0"/>
                <w:szCs w:val="21"/>
              </w:rPr>
              <w:t>45分</w:t>
            </w:r>
            <w:r>
              <w:rPr>
                <w:rFonts w:hint="default"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预算执行</w:t>
            </w:r>
            <w:r>
              <w:rPr>
                <w:rFonts w:hint="eastAsia" w:ascii="仿宋_GB2312" w:hAnsi="新宋体" w:eastAsia="仿宋_GB2312" w:cs="仿宋_GB2312"/>
                <w:kern w:val="0"/>
                <w:szCs w:val="21"/>
              </w:rPr>
              <w:t>情况</w:t>
            </w: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25分</w:t>
            </w:r>
            <w:r>
              <w:rPr>
                <w:rFonts w:hint="default" w:ascii="仿宋_GB2312" w:hAnsi="新宋体" w:eastAsia="仿宋_GB2312" w:cs="仿宋_GB2312"/>
                <w:kern w:val="0"/>
                <w:szCs w:val="21"/>
              </w:rPr>
              <w:t>)</w:t>
            </w: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预算完成率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通过对部门本年度预算完成数与预算数的比较，反映和评价部门预算的完成程度。</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预算完成率=（预算完成数/预算数）×100%。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1.预算完成率大于或等于95%的，得满分；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2.预算完成率小于或等于85%的，得0分；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3.预算完成率在85%-95%之间的，在0分和满分之间计算确定：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得分=[某部门预算完成率-min（预算完成率）]/[max（预算完成率）－min（预算完成率）]×该指标分值。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预算调整率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3分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部门本年度预算调整数与预算数的比率，用以反映和评价部门预算的调整程度。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预算调整率=（预算调整数/预算数）×100%。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 xml:space="preserve">1.预算调整率等于0的，得满分； </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2.预算调整率大于或等于10%的，得0分；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3.预算调整率在0-10%之间的，在0分和满分之间确定：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得分=［max（预算调整率）-某部门预算调整率］/［max（预算调整率）-min（预算调整率）］×该指标分值。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2"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default" w:ascii="仿宋_GB2312" w:hAnsi="新宋体" w:eastAsia="仿宋_GB2312" w:cs="仿宋_GB2312"/>
                <w:color w:val="000000"/>
                <w:kern w:val="0"/>
                <w:szCs w:val="21"/>
              </w:rPr>
              <w:t>支付进度率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度支付数与</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度任务数的比率，用以反映和评价部门预算执行的及时和均衡程度。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支付进度率=（</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度任务数）×100%。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按</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度的执行情况进行打分</w:t>
            </w:r>
            <w:r>
              <w:rPr>
                <w:rFonts w:hint="eastAsia" w:ascii="仿宋_GB2312" w:hAnsi="新宋体" w:eastAsia="仿宋_GB2312" w:cs="仿宋_GB2312"/>
                <w:kern w:val="0"/>
                <w:szCs w:val="21"/>
              </w:rPr>
              <w:t>。</w:t>
            </w:r>
            <w:r>
              <w:rPr>
                <w:rFonts w:hint="default" w:ascii="仿宋_GB2312" w:hAnsi="新宋体" w:eastAsia="仿宋_GB2312" w:cs="仿宋_GB2312"/>
                <w:kern w:val="0"/>
                <w:szCs w:val="21"/>
              </w:rPr>
              <w:t>得分=</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hint="default" w:ascii="仿宋_GB2312" w:hAnsi="新宋体" w:eastAsia="仿宋_GB2312" w:cs="仿宋_GB2312"/>
                <w:kern w:val="0"/>
                <w:szCs w:val="21"/>
              </w:rPr>
              <w:t>度任务数×该指标分值。</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结转</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结余率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通过对部门本年度结转结余总额与支出预算数的比较，反映和评价部门对本年度结转结余资金的实际控制程度。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结转结余率=（结转结余总额/支出预算数）×100%。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1.结转结余率等于0的，得满分；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2.结转结余率大于或等于50%的，得0分；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3.结转结余率在0-50%之间的，在0和满分之间计算确定：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得分=[max（结转结余率）－某部门结转结余率]/[max（结转结余率）－min（结转结余率）]×该指标分值。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0"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公用经费</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控制率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4分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通过对部门本年度实际支出的公用经费总额与预算安排的公用经费总额的比率，反映和评价部门对机构运转成本的实际控制程度。</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公用经费控制率=（实际支出公用经费总额/预算安排公用经费总额）×100%。</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1.公用经费控制率小于或等于100%的，得满分；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2.公用经费控制率大于或等于105%的，得0分；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3.公用经费控制率在100%-105%之间的，在0和满分之间计算确定：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得分=［max（公用经费控制率）-某部门公用经费控制率］/［max（公用经费控制率）-min（公用经费控制率）］×该指标分值。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政府采购</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执行率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4分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通过对部门本年度实际政府采购预算项目个数与政府采购预算项目个数的比较，反映和评价部门政府采购预算执行情况。</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政府采购执行率=（实际政府采购预算项目个数/政府采购预算项目个数）×100%。</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政府采购项目中非预算内安排的项目除外。</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1.政府采购执行率等于100%的，得满分；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2.政府采购执行率小于或等于90%的，0分；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3.政府采购执行率在90%-100%之间的，在0和满分之间计算确定：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得分=［某部门政府采购执行率-min（政府采购执行率）］/［max（政府采购执行率）-min（政府采购执行率）］×该指标分值。</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预算管理</w:t>
            </w:r>
            <w:r>
              <w:rPr>
                <w:rFonts w:hint="eastAsia" w:ascii="仿宋_GB2312" w:hAnsi="新宋体" w:eastAsia="仿宋_GB2312" w:cs="仿宋_GB2312"/>
                <w:kern w:val="0"/>
                <w:szCs w:val="21"/>
              </w:rPr>
              <w:t>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（15）</w:t>
            </w: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资金使用</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合规性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（8</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部门使用预算资金是否符合相关的预算财务管理制度的规定，反映和评价部门预算资金的规范运行情况。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1.符合国家财经法规和财务管理制度规定以及有关部门资金管理办法的规定；</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2.资金的拨付有完整的审批过程和手续；</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3.项目的重大开支经过评估论证；</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4.符合部门预算批复的用途；</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5.不存在截留情况；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6.不存在挤占情况；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7.不存在挪用情况；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8.不存在虚列支出情况。</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全部符合（8）；</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符合其中七项（6）；</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符合其中六项（4）；</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符合其中五项（2）；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符合其中四项及以下（0）。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预决算信息</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公开性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部门是否按照政府信息公开有关规定公开相关预决算信息，用以反映和评价部门预决算管理的公开透明情况。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预决算信息是指与部门预算、执行、决算、监督、绩效等管理相关的信息。</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1.公开预决算信息；</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2.按规定内容公开预决算信息；</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3.按规定时限公开预决算信息。</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全部符合（3）；</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符合其中两项（2）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符合其中一项及以下（0）。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default" w:ascii="仿宋_GB2312" w:hAnsi="新宋体" w:eastAsia="仿宋_GB2312" w:cs="仿宋_GB2312"/>
                <w:color w:val="000000"/>
                <w:kern w:val="0"/>
                <w:szCs w:val="21"/>
              </w:rPr>
              <w:t>基础信息</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default" w:ascii="仿宋_GB2312" w:hAnsi="新宋体" w:eastAsia="仿宋_GB2312" w:cs="仿宋_GB2312"/>
                <w:color w:val="000000"/>
                <w:kern w:val="0"/>
                <w:szCs w:val="21"/>
              </w:rPr>
              <w:t>完善性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部门基础信息是否完善，用以反映和评价基础信息对预算管理工作的支撑情况。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1.基本财务管理制度健全；</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2.基础数据信息和会计信息资料真实；</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3.基础数据信息和会计信息资料完整；</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4.基础数据信息和会计信息资料准确。</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符合全部四项（4）；</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符合其中三项（2）；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符合其中两项（1）；</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符合其中一项及以下（0）。</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资产管理</w:t>
            </w:r>
            <w:r>
              <w:rPr>
                <w:rFonts w:hint="eastAsia" w:ascii="仿宋_GB2312" w:hAnsi="新宋体" w:eastAsia="仿宋_GB2312" w:cs="仿宋_GB2312"/>
                <w:kern w:val="0"/>
                <w:szCs w:val="21"/>
              </w:rPr>
              <w:t>情况</w:t>
            </w:r>
            <w:r>
              <w:rPr>
                <w:rFonts w:hint="default" w:ascii="仿宋_GB2312" w:hAnsi="新宋体" w:eastAsia="仿宋_GB2312" w:cs="仿宋_GB2312"/>
                <w:kern w:val="0"/>
                <w:sz w:val="18"/>
                <w:szCs w:val="18"/>
              </w:rPr>
              <w:t>（</w:t>
            </w:r>
            <w:r>
              <w:rPr>
                <w:rFonts w:hint="eastAsia" w:ascii="仿宋_GB2312" w:hAnsi="新宋体" w:eastAsia="仿宋_GB2312" w:cs="仿宋_GB2312"/>
                <w:kern w:val="0"/>
                <w:sz w:val="18"/>
                <w:szCs w:val="18"/>
              </w:rPr>
              <w:t>5分</w:t>
            </w:r>
            <w:r>
              <w:rPr>
                <w:rFonts w:hint="default" w:ascii="仿宋_GB2312" w:hAnsi="新宋体" w:eastAsia="仿宋_GB2312" w:cs="仿宋_GB2312"/>
                <w:kern w:val="0"/>
                <w:sz w:val="18"/>
                <w:szCs w:val="18"/>
              </w:rPr>
              <w:t>）</w:t>
            </w:r>
          </w:p>
        </w:tc>
        <w:tc>
          <w:tcPr>
            <w:tcW w:w="1559" w:type="dxa"/>
            <w:tcBorders>
              <w:top w:val="single" w:color="auto"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资产管理</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完整性</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2分</w:t>
            </w:r>
            <w:r>
              <w:rPr>
                <w:rFonts w:hint="default" w:ascii="仿宋_GB2312" w:hAnsi="新宋体" w:eastAsia="仿宋_GB2312" w:cs="仿宋_GB2312"/>
                <w:kern w:val="0"/>
                <w:szCs w:val="21"/>
              </w:rPr>
              <w:t>）</w:t>
            </w:r>
          </w:p>
        </w:tc>
        <w:tc>
          <w:tcPr>
            <w:tcW w:w="3260"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部门的资产是否保存完整、使用合规、收入及时足额上缴，用以反映和评价部门资产运行情况。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评价要点：</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1.资产保存完整；</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2.资产账务管理是否合规，账实相符；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3.资产有偿使用及处置收入及时足额上缴。</w:t>
            </w:r>
          </w:p>
        </w:tc>
        <w:tc>
          <w:tcPr>
            <w:tcW w:w="2552"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符合全部三项（3）；</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符合其中两项（2）；</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符合其中一项（1）；</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符合零项（0）。</w:t>
            </w: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89"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auto"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固定资产</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利用率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3分</w:t>
            </w:r>
            <w:r>
              <w:rPr>
                <w:rFonts w:hint="default" w:ascii="仿宋_GB2312" w:hAnsi="新宋体" w:eastAsia="仿宋_GB2312" w:cs="仿宋_GB2312"/>
                <w:kern w:val="0"/>
                <w:szCs w:val="21"/>
              </w:rPr>
              <w:t>）</w:t>
            </w:r>
          </w:p>
        </w:tc>
        <w:tc>
          <w:tcPr>
            <w:tcW w:w="3260"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部门实际在用固定资产总额与所有固定资产总额的比率，用以反映和评价部门固定资产使用效率。</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固定资产利用率=（实际在用固定资产总额/所有固定资产总额）×100%。</w:t>
            </w:r>
          </w:p>
        </w:tc>
        <w:tc>
          <w:tcPr>
            <w:tcW w:w="2552"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1.固定资产利用率大于或等于95%的，得满分；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2.固定资产利用率小于或等于85%的，得0分；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3.固定资产利用率在85%-95%之间的，在0和满分之间计算确定：</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得分=［某部门固定资产利用率-min（固定资产利用率）］/［max（固定资产利用率）-min（固定资产利用率）］×该指标分值。</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p>
        </w:tc>
        <w:tc>
          <w:tcPr>
            <w:tcW w:w="56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产出(2</w:t>
            </w:r>
            <w:r>
              <w:rPr>
                <w:rFonts w:hint="eastAsia" w:ascii="仿宋_GB2312" w:hAnsi="新宋体" w:eastAsia="仿宋_GB2312" w:cs="仿宋_GB2312"/>
                <w:kern w:val="0"/>
                <w:szCs w:val="21"/>
              </w:rPr>
              <w:t>5分</w:t>
            </w:r>
            <w:r>
              <w:rPr>
                <w:rFonts w:hint="default" w:ascii="仿宋_GB2312" w:hAnsi="新宋体" w:eastAsia="仿宋_GB2312" w:cs="仿宋_GB2312"/>
                <w:kern w:val="0"/>
                <w:szCs w:val="21"/>
              </w:rPr>
              <w:t>)</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职责履行</w:t>
            </w:r>
            <w:r>
              <w:rPr>
                <w:rFonts w:hint="eastAsia" w:ascii="仿宋_GB2312" w:hAnsi="新宋体" w:eastAsia="仿宋_GB2312" w:cs="仿宋_GB2312"/>
                <w:kern w:val="0"/>
                <w:szCs w:val="21"/>
              </w:rPr>
              <w:t>情况</w:t>
            </w:r>
            <w:r>
              <w:rPr>
                <w:rFonts w:hint="default" w:ascii="仿宋_GB2312" w:hAnsi="新宋体" w:eastAsia="仿宋_GB2312" w:cs="仿宋_GB2312"/>
                <w:kern w:val="0"/>
                <w:sz w:val="18"/>
                <w:szCs w:val="18"/>
              </w:rPr>
              <w:t>（2</w:t>
            </w:r>
            <w:r>
              <w:rPr>
                <w:rFonts w:hint="eastAsia" w:ascii="仿宋_GB2312" w:hAnsi="新宋体" w:eastAsia="仿宋_GB2312" w:cs="仿宋_GB2312"/>
                <w:kern w:val="0"/>
                <w:sz w:val="18"/>
                <w:szCs w:val="18"/>
              </w:rPr>
              <w:t>5分</w:t>
            </w:r>
            <w:r>
              <w:rPr>
                <w:rFonts w:hint="default"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履职</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完成</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情况</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w:t>
            </w:r>
            <w:r>
              <w:rPr>
                <w:rFonts w:hint="eastAsia" w:ascii="仿宋_GB2312" w:hAnsi="新宋体" w:eastAsia="仿宋_GB2312" w:cs="仿宋_GB2312"/>
                <w:kern w:val="0"/>
                <w:szCs w:val="21"/>
              </w:rPr>
              <w:t>10分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szCs w:val="21"/>
              </w:rPr>
            </w:pPr>
            <w:r>
              <w:rPr>
                <w:rFonts w:hint="eastAsia" w:ascii="仿宋" w:hAnsi="仿宋" w:eastAsia="仿宋" w:cs="仿宋"/>
                <w:color w:val="000000"/>
                <w:kern w:val="0"/>
                <w:szCs w:val="21"/>
              </w:rPr>
              <w:t>根据年度主要任务分解表的具体任务，逐项评价任务量化指标完成情况、实施效果和责任制建立情况。用以反映和考核部门（单位）履职工作任务目标的完成情况。评价要点：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1.每项任务是否已制定了明确、具体、可量化、可衡量的绩效指标；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2.每项任务绩效指标的完成情况，是全部完成、基本完成、未完成，还是未实施；</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3.每项任务实施效果情况，是优秀、良好、一般，还是无效果；</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4.每项任务是否建立了目标责任制，是否落实到具体部门和人员负责。</w:t>
            </w:r>
          </w:p>
        </w:tc>
        <w:tc>
          <w:tcPr>
            <w:tcW w:w="2552"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szCs w:val="21"/>
              </w:rPr>
            </w:pPr>
            <w:r>
              <w:rPr>
                <w:rFonts w:hint="eastAsia" w:ascii="仿宋" w:hAnsi="仿宋" w:eastAsia="仿宋" w:cs="仿宋"/>
                <w:color w:val="000000"/>
                <w:kern w:val="0"/>
                <w:szCs w:val="21"/>
              </w:rPr>
              <w:t>根据不同部门履职的内容和特点，具体测算部门履职工作任务目标的完成情况。</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0"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1559" w:type="dxa"/>
            <w:tcBorders>
              <w:top w:val="single" w:color="000000" w:sz="4" w:space="0"/>
              <w:left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default" w:ascii="仿宋_GB2312" w:hAnsi="新宋体" w:eastAsia="仿宋_GB2312" w:cs="仿宋_GB2312"/>
                <w:kern w:val="0"/>
                <w:szCs w:val="21"/>
              </w:rPr>
              <w:t>项目</w:t>
            </w:r>
            <w:r>
              <w:rPr>
                <w:rFonts w:hint="eastAsia" w:ascii="仿宋_GB2312" w:hAnsi="新宋体" w:eastAsia="仿宋_GB2312" w:cs="仿宋_GB2312"/>
                <w:kern w:val="0"/>
                <w:szCs w:val="21"/>
              </w:rPr>
              <w:t>完成</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质量达标率（</w:t>
            </w:r>
            <w:r>
              <w:rPr>
                <w:rFonts w:hint="eastAsia" w:ascii="仿宋_GB2312" w:hAnsi="新宋体" w:eastAsia="仿宋_GB2312" w:cs="仿宋_GB2312"/>
                <w:kern w:val="0"/>
                <w:szCs w:val="21"/>
              </w:rPr>
              <w:t>15</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部门已完成项目中质量达标项目个数占已完成项目个数的比率,用以反映和评价部门履职质量目标的实现程度。</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项目质量达标率=（已完成项目中质量达标项目个数/已完成项目个数）×100%。</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项目质量达标是指项目决算验收合格。</w:t>
            </w:r>
          </w:p>
        </w:tc>
        <w:tc>
          <w:tcPr>
            <w:tcW w:w="2552" w:type="dxa"/>
            <w:tcBorders>
              <w:top w:val="single" w:color="000000" w:sz="4" w:space="0"/>
              <w:left w:val="single" w:color="auto"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1.项目质量达标率等于100%的，得满分；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2.项目质量达标率小于或等于99%的，得0分；</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 xml:space="preserve">3.项目质量达标率在99%-100%之间的，在0和满分之间计算确定： </w:t>
            </w:r>
          </w:p>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得分=［某部门项目质量达标率-min（项目质量达标率）］/［max（项目质量达标率）-min（项目质量达标率）］×该指标分值。</w:t>
            </w:r>
          </w:p>
        </w:tc>
        <w:tc>
          <w:tcPr>
            <w:tcW w:w="567"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eastAsiaTheme="minorEastAsia"/>
                <w:szCs w:val="21"/>
                <w:lang w:val="en-US" w:eastAsia="zh-CN"/>
              </w:rPr>
            </w:pPr>
            <w:r>
              <w:rPr>
                <w:rFonts w:hint="eastAsia"/>
                <w:szCs w:val="21"/>
                <w:lang w:val="en-US" w:eastAsia="zh-CN"/>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效果（</w:t>
            </w:r>
            <w:r>
              <w:rPr>
                <w:rFonts w:hint="eastAsia" w:ascii="仿宋_GB2312" w:hAnsi="新宋体" w:eastAsia="仿宋_GB2312" w:cs="仿宋_GB2312"/>
                <w:kern w:val="0"/>
                <w:szCs w:val="21"/>
              </w:rPr>
              <w:t>2</w:t>
            </w:r>
            <w:r>
              <w:rPr>
                <w:rFonts w:hint="default"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851" w:type="dxa"/>
            <w:vMerge w:val="restart"/>
            <w:tcBorders>
              <w:top w:val="single" w:color="auto"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r>
              <w:rPr>
                <w:rFonts w:hint="eastAsia" w:ascii="仿宋_GB2312" w:hAnsi="新宋体" w:eastAsia="仿宋_GB2312" w:cs="仿宋_GB2312"/>
                <w:kern w:val="0"/>
                <w:szCs w:val="21"/>
              </w:rPr>
              <w:t>履职效益情况</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 w:val="18"/>
                <w:szCs w:val="18"/>
              </w:rPr>
            </w:pPr>
            <w:r>
              <w:rPr>
                <w:rFonts w:hint="default" w:ascii="仿宋_GB2312" w:hAnsi="新宋体" w:eastAsia="仿宋_GB2312" w:cs="仿宋_GB2312"/>
                <w:kern w:val="0"/>
                <w:sz w:val="18"/>
                <w:szCs w:val="18"/>
              </w:rPr>
              <w:t>（</w:t>
            </w:r>
            <w:r>
              <w:rPr>
                <w:rFonts w:hint="eastAsia" w:ascii="仿宋_GB2312" w:hAnsi="新宋体" w:eastAsia="仿宋_GB2312" w:cs="仿宋_GB2312"/>
                <w:kern w:val="0"/>
                <w:sz w:val="18"/>
                <w:szCs w:val="18"/>
              </w:rPr>
              <w:t>20分</w:t>
            </w:r>
            <w:r>
              <w:rPr>
                <w:rFonts w:hint="default" w:ascii="仿宋_GB2312" w:hAnsi="新宋体" w:eastAsia="仿宋_GB2312" w:cs="仿宋_GB2312"/>
                <w:kern w:val="0"/>
                <w:sz w:val="18"/>
                <w:szCs w:val="18"/>
              </w:rPr>
              <w:t>）</w:t>
            </w: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经济效益</w:t>
            </w:r>
          </w:p>
          <w:p>
            <w:pPr>
              <w:keepNext w:val="0"/>
              <w:keepLines w:val="0"/>
              <w:widowControl/>
              <w:suppressLineNumbers w:val="0"/>
              <w:spacing w:before="0" w:beforeAutospacing="0" w:after="0" w:afterAutospacing="0" w:line="240" w:lineRule="exact"/>
              <w:ind w:left="0" w:right="0"/>
              <w:jc w:val="left"/>
              <w:rPr>
                <w:rFonts w:hint="default"/>
                <w:szCs w:val="21"/>
              </w:rPr>
            </w:pPr>
            <w:r>
              <w:rPr>
                <w:rFonts w:hint="default"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hint="default" w:ascii="仿宋_GB2312" w:hAnsi="新宋体" w:eastAsia="仿宋_GB2312" w:cs="仿宋_GB2312"/>
                <w:kern w:val="0"/>
                <w:szCs w:val="21"/>
              </w:rPr>
              <w:t>）</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部门及所属二级单位通过履行职责和预算安排支出项目的实施，对我市带来的经济影响。</w:t>
            </w:r>
          </w:p>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1.通过部门所属企事业单位改革，促进了企事业单位效益增长情况；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2.通过预算支出项目的实施，促进了行业生产能力增长，从而带动行业经济效益增长；</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3.通过预算支出项目的实施，有效提高劳动效率，节约成本费用；</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4.通过预算支出项目的实施，降低了损耗，从而提高了生产效益；</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5.通过预算支出项目的实施，完善了突发情况的监测预警，保障了生产安全，降低了生产损失。</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根据不同部门履职的内容和特点，具体测算部门履职产生的经济效益。</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851"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社会效益</w:t>
            </w:r>
          </w:p>
          <w:p>
            <w:pPr>
              <w:keepNext w:val="0"/>
              <w:keepLines w:val="0"/>
              <w:widowControl/>
              <w:suppressLineNumbers w:val="0"/>
              <w:spacing w:before="0" w:beforeAutospacing="0" w:after="0" w:afterAutospacing="0" w:line="240" w:lineRule="exact"/>
              <w:ind w:left="0" w:right="0"/>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（5分）</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部门及所属二级单位履行职责对社会发展所带来的直接或间接影响。</w:t>
            </w:r>
          </w:p>
          <w:p>
            <w:pPr>
              <w:keepNext w:val="0"/>
              <w:keepLines w:val="0"/>
              <w:widowControl/>
              <w:suppressLineNumbers w:val="0"/>
              <w:spacing w:before="0" w:beforeAutospacing="0" w:after="0" w:afterAutospacing="0" w:line="240" w:lineRule="exact"/>
              <w:ind w:left="0" w:right="0"/>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1.通过部门所属企事业单位的改革，促进了企事业单位可持续发展，带动就业增长情况；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2.通过预算支出项目的实施，是否明显促进了行业精神文明建设；</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3.通过部门履职是否明显提高城乡居民生活水平，满足了人</w:t>
            </w:r>
            <w:r>
              <w:rPr>
                <w:rFonts w:hint="eastAsia" w:ascii="仿宋" w:hAnsi="仿宋" w:eastAsia="仿宋" w:cs="仿宋"/>
                <w:color w:val="000000"/>
                <w:kern w:val="0"/>
                <w:szCs w:val="21"/>
                <w:lang w:eastAsia="zh-CN"/>
              </w:rPr>
              <w:t>民</w:t>
            </w:r>
            <w:r>
              <w:rPr>
                <w:rFonts w:hint="eastAsia" w:ascii="仿宋" w:hAnsi="仿宋" w:eastAsia="仿宋" w:cs="仿宋"/>
                <w:color w:val="000000"/>
                <w:kern w:val="0"/>
                <w:szCs w:val="21"/>
              </w:rPr>
              <w:t>日益增长的物质与文化生活需求；</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4.通过预算项目的实施，是否提高了劳动生产率，降低了劳动强度，促进了劳动人民的身心健康；</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5.通过部门履职行业形象是否得到了大大提升了，增强了部门影响力。</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textAlignment w:val="center"/>
              <w:rPr>
                <w:rFonts w:hint="default"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根据不同部门履职的内容和特点，具体测算部门履职产生的社会效益。</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851"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kern w:val="0"/>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生态效益</w:t>
            </w:r>
          </w:p>
          <w:p>
            <w:pPr>
              <w:keepNext w:val="0"/>
              <w:keepLines w:val="0"/>
              <w:widowControl/>
              <w:suppressLineNumbers w:val="0"/>
              <w:spacing w:before="0" w:beforeAutospacing="0" w:after="0" w:afterAutospacing="0" w:line="240" w:lineRule="exact"/>
              <w:ind w:left="0" w:right="0"/>
              <w:jc w:val="left"/>
              <w:rPr>
                <w:rFonts w:hint="default"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（5分）</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部门及所属二级单位履行职责对生态环境所带来的直接或间接影响。</w:t>
            </w:r>
          </w:p>
          <w:p>
            <w:pPr>
              <w:keepNext w:val="0"/>
              <w:keepLines w:val="0"/>
              <w:widowControl/>
              <w:suppressLineNumbers w:val="0"/>
              <w:spacing w:before="0" w:beforeAutospacing="0" w:after="0" w:afterAutospacing="0" w:line="240" w:lineRule="exact"/>
              <w:ind w:left="0" w:right="0"/>
              <w:jc w:val="left"/>
              <w:textAlignment w:val="center"/>
              <w:rPr>
                <w:rFonts w:hint="default" w:ascii="仿宋" w:hAnsi="仿宋" w:eastAsia="仿宋" w:cs="仿宋"/>
                <w:color w:val="000000"/>
                <w:kern w:val="0"/>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1.通过预算支出项目的实施，绿色、节能环保新技术的应用和推广，明显带动各环节的节能减排，也具有一定的环境效益；</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2.通过履职有效地控制虚假、伪劣、霉变等劣质产品进入市场，影响了人民生活质量，净化地市场环境；</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3.通过预算支出项目的实施，是否达到减少污染物排放；</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4.通过预算支出项目的实施，周围环境得到了整治，面貌得到了改善。</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textAlignment w:val="center"/>
              <w:rPr>
                <w:rFonts w:hint="default"/>
                <w:szCs w:val="21"/>
              </w:rPr>
            </w:pPr>
            <w:r>
              <w:rPr>
                <w:rFonts w:hint="eastAsia" w:ascii="仿宋" w:hAnsi="仿宋" w:eastAsia="仿宋" w:cs="仿宋"/>
                <w:color w:val="000000"/>
                <w:kern w:val="0"/>
                <w:szCs w:val="21"/>
              </w:rPr>
              <w:t>根据不同部门履职的内容和特点，具体测算部门履职产生的生态效益。</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81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宋体"/>
                <w:szCs w:val="21"/>
              </w:rPr>
            </w:pPr>
          </w:p>
        </w:tc>
        <w:tc>
          <w:tcPr>
            <w:tcW w:w="851"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p>
        </w:tc>
        <w:tc>
          <w:tcPr>
            <w:tcW w:w="1559"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left"/>
              <w:rPr>
                <w:rFonts w:hint="default"/>
                <w:szCs w:val="21"/>
              </w:rPr>
            </w:pPr>
            <w:r>
              <w:rPr>
                <w:rFonts w:hint="eastAsia" w:ascii="仿宋_GB2312" w:hAnsi="新宋体" w:eastAsia="仿宋_GB2312" w:cs="仿宋_GB2312"/>
                <w:kern w:val="0"/>
                <w:szCs w:val="21"/>
              </w:rPr>
              <w:t>服务对象</w:t>
            </w:r>
            <w:r>
              <w:rPr>
                <w:rFonts w:hint="default" w:ascii="仿宋_GB2312" w:hAnsi="新宋体" w:eastAsia="仿宋_GB2312" w:cs="仿宋_GB2312"/>
                <w:kern w:val="0"/>
                <w:szCs w:val="21"/>
              </w:rPr>
              <w:t>满意度（5）</w:t>
            </w:r>
          </w:p>
        </w:tc>
        <w:tc>
          <w:tcPr>
            <w:tcW w:w="3260"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line="240" w:lineRule="exact"/>
              <w:ind w:left="0" w:right="0"/>
              <w:jc w:val="left"/>
              <w:rPr>
                <w:rFonts w:hint="default"/>
                <w:szCs w:val="21"/>
              </w:rPr>
            </w:pPr>
            <w:r>
              <w:rPr>
                <w:rFonts w:hint="eastAsia" w:ascii="仿宋_GB2312" w:hAnsi="新宋体" w:eastAsia="仿宋_GB2312" w:cs="仿宋_GB2312"/>
                <w:kern w:val="0"/>
                <w:szCs w:val="21"/>
              </w:rPr>
              <w:t>通过对部门（单位）的服务对象对部门履职效果的满意程度调查，反映和考核社会公众或服务对象对部门履职的满意度。</w:t>
            </w:r>
          </w:p>
        </w:tc>
        <w:tc>
          <w:tcPr>
            <w:tcW w:w="2552"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rPr>
                <w:rFonts w:hint="default" w:ascii="仿宋" w:hAnsi="仿宋" w:eastAsia="仿宋" w:cs="宋体"/>
                <w:kern w:val="0"/>
                <w:szCs w:val="21"/>
              </w:rPr>
            </w:pPr>
            <w:r>
              <w:rPr>
                <w:rFonts w:hint="default" w:ascii="仿宋" w:hAnsi="仿宋" w:eastAsia="仿宋" w:cs="Arial"/>
                <w:kern w:val="0"/>
                <w:szCs w:val="21"/>
              </w:rPr>
              <w:t>按照满意度调查的优秀、良好、合格、不合格给予该项指标打分：</w:t>
            </w:r>
          </w:p>
          <w:p>
            <w:pPr>
              <w:keepNext w:val="0"/>
              <w:keepLines w:val="0"/>
              <w:widowControl/>
              <w:suppressLineNumbers w:val="0"/>
              <w:spacing w:before="0" w:beforeAutospacing="0" w:after="0" w:afterAutospacing="0" w:line="240" w:lineRule="exact"/>
              <w:ind w:left="0" w:right="0"/>
              <w:rPr>
                <w:rFonts w:hint="default"/>
                <w:szCs w:val="21"/>
              </w:rPr>
            </w:pPr>
            <w:r>
              <w:rPr>
                <w:rFonts w:hint="default" w:ascii="仿宋" w:hAnsi="仿宋" w:eastAsia="仿宋" w:cs="Arial"/>
                <w:kern w:val="0"/>
                <w:szCs w:val="21"/>
              </w:rPr>
              <w:t>优秀（</w:t>
            </w:r>
            <w:r>
              <w:rPr>
                <w:rFonts w:hint="eastAsia" w:ascii="仿宋" w:hAnsi="仿宋" w:eastAsia="仿宋" w:cs="Arial"/>
                <w:kern w:val="0"/>
                <w:szCs w:val="21"/>
              </w:rPr>
              <w:t>5</w:t>
            </w:r>
            <w:r>
              <w:rPr>
                <w:rFonts w:hint="default" w:ascii="仿宋" w:hAnsi="仿宋" w:eastAsia="仿宋" w:cs="Arial"/>
                <w:kern w:val="0"/>
                <w:szCs w:val="21"/>
              </w:rPr>
              <w:t>）；良好（</w:t>
            </w:r>
            <w:r>
              <w:rPr>
                <w:rFonts w:hint="eastAsia" w:ascii="仿宋" w:hAnsi="仿宋" w:eastAsia="仿宋" w:cs="Arial"/>
                <w:kern w:val="0"/>
                <w:szCs w:val="21"/>
              </w:rPr>
              <w:t>3</w:t>
            </w:r>
            <w:r>
              <w:rPr>
                <w:rFonts w:hint="default" w:ascii="仿宋" w:hAnsi="仿宋" w:eastAsia="仿宋" w:cs="Arial"/>
                <w:kern w:val="0"/>
                <w:szCs w:val="21"/>
              </w:rPr>
              <w:t>）；合格（</w:t>
            </w:r>
            <w:r>
              <w:rPr>
                <w:rFonts w:hint="eastAsia" w:ascii="仿宋" w:hAnsi="仿宋" w:eastAsia="仿宋" w:cs="Arial"/>
                <w:kern w:val="0"/>
                <w:szCs w:val="21"/>
              </w:rPr>
              <w:t>1</w:t>
            </w:r>
            <w:r>
              <w:rPr>
                <w:rFonts w:hint="default" w:ascii="仿宋" w:hAnsi="仿宋" w:eastAsia="仿宋" w:cs="Arial"/>
                <w:kern w:val="0"/>
                <w:szCs w:val="21"/>
              </w:rPr>
              <w:t>）；不合格（</w:t>
            </w:r>
            <w:r>
              <w:rPr>
                <w:rFonts w:hint="eastAsia" w:ascii="仿宋" w:hAnsi="仿宋" w:eastAsia="仿宋" w:cs="Arial"/>
                <w:kern w:val="0"/>
                <w:szCs w:val="21"/>
              </w:rPr>
              <w:t>0</w:t>
            </w:r>
            <w:r>
              <w:rPr>
                <w:rFonts w:hint="default" w:ascii="仿宋" w:hAnsi="仿宋" w:eastAsia="仿宋" w:cs="Arial"/>
                <w:kern w:val="0"/>
                <w:szCs w:val="21"/>
              </w:rPr>
              <w:t>）。</w:t>
            </w:r>
          </w:p>
        </w:tc>
        <w:tc>
          <w:tcPr>
            <w:tcW w:w="5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left"/>
              <w:rPr>
                <w:rFonts w:hint="eastAsia" w:eastAsiaTheme="minorEastAsia"/>
                <w:szCs w:val="21"/>
                <w:lang w:val="en-US" w:eastAsia="zh-CN"/>
              </w:rPr>
            </w:pPr>
            <w:r>
              <w:rPr>
                <w:rFonts w:hint="eastAsia"/>
                <w:szCs w:val="21"/>
                <w:lang w:val="en-US" w:eastAsia="zh-CN"/>
              </w:rPr>
              <w:t>5</w:t>
            </w:r>
          </w:p>
        </w:tc>
      </w:tr>
    </w:tbl>
    <w:p>
      <w:pPr>
        <w:rPr>
          <w:rFonts w:ascii="黑体" w:hAnsi="黑体" w:eastAsia="黑体" w:cs="黑体"/>
          <w:b/>
          <w:bCs/>
          <w:sz w:val="30"/>
          <w:szCs w:val="30"/>
        </w:rPr>
      </w:pPr>
    </w:p>
    <w:p>
      <w:pPr>
        <w:ind w:firstLine="780"/>
        <w:jc w:val="center"/>
        <w:rPr>
          <w:rFonts w:hint="eastAsia" w:cs="黑体" w:asciiTheme="minorEastAsia" w:hAnsiTheme="minorEastAsia"/>
          <w:b/>
          <w:bCs/>
          <w:sz w:val="44"/>
          <w:szCs w:val="44"/>
          <w:lang w:eastAsia="zh-CN"/>
        </w:rPr>
      </w:pPr>
      <w:r>
        <w:rPr>
          <w:rFonts w:hint="eastAsia" w:cs="黑体" w:asciiTheme="minorEastAsia" w:hAnsiTheme="minorEastAsia"/>
          <w:b/>
          <w:bCs/>
          <w:sz w:val="44"/>
          <w:szCs w:val="44"/>
          <w:lang w:eastAsia="zh-CN"/>
        </w:rPr>
        <w:t>巨鹿</w:t>
      </w:r>
      <w:r>
        <w:rPr>
          <w:rFonts w:hint="eastAsia" w:cs="黑体" w:asciiTheme="minorEastAsia" w:hAnsiTheme="minorEastAsia"/>
          <w:b/>
          <w:bCs/>
          <w:sz w:val="44"/>
          <w:szCs w:val="44"/>
        </w:rPr>
        <w:t>县</w:t>
      </w:r>
      <w:r>
        <w:rPr>
          <w:rFonts w:hint="eastAsia" w:cs="黑体" w:asciiTheme="minorEastAsia" w:hAnsiTheme="minorEastAsia"/>
          <w:b/>
          <w:bCs/>
          <w:sz w:val="44"/>
          <w:szCs w:val="44"/>
          <w:lang w:eastAsia="zh-CN"/>
        </w:rPr>
        <w:t>巨鹿县民政局</w:t>
      </w:r>
    </w:p>
    <w:p>
      <w:pPr>
        <w:ind w:firstLine="780"/>
        <w:jc w:val="center"/>
        <w:rPr>
          <w:rFonts w:cs="黑体" w:asciiTheme="minorEastAsia" w:hAnsiTheme="minorEastAsia"/>
          <w:b/>
          <w:bCs/>
          <w:sz w:val="44"/>
          <w:szCs w:val="44"/>
        </w:rPr>
      </w:pPr>
      <w:r>
        <w:rPr>
          <w:rFonts w:hint="eastAsia" w:cs="黑体" w:asciiTheme="minorEastAsia" w:hAnsiTheme="minorEastAsia"/>
          <w:b/>
          <w:bCs/>
          <w:sz w:val="44"/>
          <w:szCs w:val="44"/>
        </w:rPr>
        <w:t>2021年部门整体支出绩效评价报告</w:t>
      </w:r>
    </w:p>
    <w:p>
      <w:pPr>
        <w:ind w:firstLine="640" w:firstLineChars="200"/>
        <w:rPr>
          <w:rFonts w:ascii="黑体" w:hAnsi="黑体" w:eastAsia="黑体" w:cs="仿宋"/>
          <w:sz w:val="32"/>
          <w:szCs w:val="32"/>
        </w:rPr>
      </w:pPr>
      <w:r>
        <w:rPr>
          <w:rFonts w:hint="eastAsia" w:ascii="黑体" w:hAnsi="黑体" w:eastAsia="黑体" w:cs="仿宋"/>
          <w:sz w:val="32"/>
          <w:szCs w:val="32"/>
        </w:rPr>
        <w:t>一、基本概况。</w:t>
      </w:r>
    </w:p>
    <w:p>
      <w:pPr>
        <w:adjustRightInd w:val="0"/>
        <w:ind w:firstLine="640" w:firstLineChars="200"/>
        <w:rPr>
          <w:rFonts w:hint="eastAsia" w:ascii="仿宋" w:hAnsi="仿宋" w:eastAsia="仿宋" w:cs="仿宋"/>
          <w:sz w:val="32"/>
          <w:szCs w:val="32"/>
        </w:rPr>
      </w:pPr>
      <w:r>
        <w:rPr>
          <w:rFonts w:hint="eastAsia" w:ascii="仿宋" w:hAnsi="仿宋" w:eastAsia="仿宋" w:cs="仿宋"/>
          <w:sz w:val="32"/>
          <w:szCs w:val="32"/>
        </w:rPr>
        <w:t>(一)部门主要职责职能和部门组织架构</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巨鹿县民政局深入贯彻落实党中央、省委、市委和县委关于民政工作的方针政策和决策部署,坚持和加强党对民政工作的集中统一领导。主要职责是:</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w:t>
      </w:r>
      <w:r>
        <w:rPr>
          <w:rFonts w:hint="default" w:ascii="仿宋_GB2312" w:hAnsi="仿宋" w:eastAsia="仿宋_GB2312" w:cs="仿宋_GB2312"/>
          <w:kern w:val="2"/>
          <w:sz w:val="32"/>
          <w:szCs w:val="32"/>
          <w:lang w:val="en-US" w:eastAsia="zh-CN" w:bidi="ar"/>
        </w:rPr>
        <w:t>)贯彻执行国家、省、市民政事业发展法律法规、政策、规划,拟订政府规范性文件和政策、规划并组织实施。</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2</w:t>
      </w:r>
      <w:r>
        <w:rPr>
          <w:rFonts w:hint="default" w:ascii="仿宋_GB2312" w:hAnsi="仿宋" w:eastAsia="仿宋_GB2312" w:cs="仿宋_GB2312"/>
          <w:kern w:val="2"/>
          <w:sz w:val="32"/>
          <w:szCs w:val="32"/>
          <w:lang w:val="en-US" w:eastAsia="zh-CN" w:bidi="ar"/>
        </w:rPr>
        <w:t>)拟订全县社会团体、社会服务机构等社会组织监督管理办法并组织实施,依法对全县社会组织进行监督管理;承担县社会组织党委日常工作。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3</w:t>
      </w:r>
      <w:r>
        <w:rPr>
          <w:rFonts w:hint="default" w:ascii="仿宋_GB2312" w:hAnsi="仿宋" w:eastAsia="仿宋_GB2312" w:cs="仿宋_GB2312"/>
          <w:kern w:val="2"/>
          <w:sz w:val="32"/>
          <w:szCs w:val="32"/>
          <w:lang w:val="en-US" w:eastAsia="zh-CN" w:bidi="ar"/>
        </w:rPr>
        <w:t>)拟订全县社会救助政策、标准，统筹社会救助体系建设。负责城乡居民最低生活保障、特困人员救助供养、临时救助、生活无着流浪乞讨人员救助工作。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4</w:t>
      </w:r>
      <w:r>
        <w:rPr>
          <w:rFonts w:hint="default" w:ascii="仿宋_GB2312" w:hAnsi="仿宋" w:eastAsia="仿宋_GB2312" w:cs="仿宋_GB2312"/>
          <w:kern w:val="2"/>
          <w:sz w:val="32"/>
          <w:szCs w:val="32"/>
          <w:lang w:val="en-US" w:eastAsia="zh-CN" w:bidi="ar"/>
        </w:rPr>
        <w:t>)拟订全县基层群众自治和城乡社区治理政策。指导城乡社区治理体系和能力建设,提出加强和改进基层政权建设的建议, 推动基层民主政治建设。</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5</w:t>
      </w:r>
      <w:r>
        <w:rPr>
          <w:rFonts w:hint="default" w:ascii="仿宋_GB2312" w:hAnsi="仿宋" w:eastAsia="仿宋_GB2312" w:cs="仿宋_GB2312"/>
          <w:kern w:val="2"/>
          <w:sz w:val="32"/>
          <w:szCs w:val="32"/>
          <w:lang w:val="en-US" w:eastAsia="zh-CN" w:bidi="ar"/>
        </w:rPr>
        <w:t>)拟订全县行政区划、行政区域界线管理和地名管理政策、标准。配合上级部门做好县行政区域及乡镇、社区的设立、命名、变更和政府驻地迁移的调查论证、管理工作。负责全县地名管理和县级行政区域界线管理工作。组织、指导乡镇行政区域界线的勘定和管理工作，负责地名命名、更名的管理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6</w:t>
      </w:r>
      <w:r>
        <w:rPr>
          <w:rFonts w:hint="default" w:ascii="仿宋_GB2312" w:hAnsi="仿宋" w:eastAsia="仿宋_GB2312" w:cs="仿宋_GB2312"/>
          <w:kern w:val="2"/>
          <w:sz w:val="32"/>
          <w:szCs w:val="32"/>
          <w:lang w:val="en-US" w:eastAsia="zh-CN" w:bidi="ar"/>
        </w:rPr>
        <w:t>)拟订全县婚姻管理政策并组织实施，推进婚俗改革，指导婚姻服务机构管理工作。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7</w:t>
      </w:r>
      <w:r>
        <w:rPr>
          <w:rFonts w:hint="default" w:ascii="仿宋_GB2312" w:hAnsi="仿宋" w:eastAsia="仿宋_GB2312" w:cs="仿宋_GB2312"/>
          <w:kern w:val="2"/>
          <w:sz w:val="32"/>
          <w:szCs w:val="32"/>
          <w:lang w:val="en-US" w:eastAsia="zh-CN" w:bidi="ar"/>
        </w:rPr>
        <w:t>)拟订全县殡葬管理政策、服务规范并组织实施，推进殡葬改革，指导殡葬服务机构管理工作。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8</w:t>
      </w:r>
      <w:r>
        <w:rPr>
          <w:rFonts w:hint="default" w:ascii="仿宋_GB2312" w:hAnsi="仿宋" w:eastAsia="仿宋_GB2312" w:cs="仿宋_GB2312"/>
          <w:kern w:val="2"/>
          <w:sz w:val="32"/>
          <w:szCs w:val="32"/>
          <w:lang w:val="en-US" w:eastAsia="zh-CN" w:bidi="ar"/>
        </w:rPr>
        <w:t>)统筹推进、督促指导、监督管理全县养老服务工作。拟订全县养老服务体系建设规划、政策、标准并组织实施，承担老年人福利和特殊困难老年人救助工作。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9</w:t>
      </w:r>
      <w:r>
        <w:rPr>
          <w:rFonts w:hint="default" w:ascii="仿宋_GB2312" w:hAnsi="仿宋" w:eastAsia="仿宋_GB2312" w:cs="仿宋_GB2312"/>
          <w:kern w:val="2"/>
          <w:sz w:val="32"/>
          <w:szCs w:val="32"/>
          <w:lang w:val="en-US" w:eastAsia="zh-CN" w:bidi="ar"/>
        </w:rPr>
        <w:t>)拟订全县残疾人权益保护政策并组织实施。统筹推进残疾人福利制度建设和康复辅助器具产业发展。</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10</w:t>
      </w:r>
      <w:r>
        <w:rPr>
          <w:rFonts w:hint="default" w:ascii="仿宋_GB2312" w:hAnsi="仿宋" w:eastAsia="仿宋_GB2312" w:cs="仿宋_GB2312"/>
          <w:kern w:val="2"/>
          <w:sz w:val="32"/>
          <w:szCs w:val="32"/>
          <w:lang w:val="en-US" w:eastAsia="zh-CN" w:bidi="ar"/>
        </w:rPr>
        <w:t>)拟订全县儿童福利、孤弃儿童保障、儿童收养、儿童救助保护政策、标准。健全农村留守儿童关爱服务体系和困境儿童保障制度。</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11</w:t>
      </w:r>
      <w:r>
        <w:rPr>
          <w:rFonts w:hint="default" w:ascii="仿宋_GB2312" w:hAnsi="仿宋" w:eastAsia="仿宋_GB2312" w:cs="仿宋_GB2312"/>
          <w:kern w:val="2"/>
          <w:sz w:val="32"/>
          <w:szCs w:val="32"/>
          <w:lang w:val="en-US" w:eastAsia="zh-CN" w:bidi="ar"/>
        </w:rPr>
        <w:t>)组织拟订促进全县慈善事业发展政策，指导社会捐助工作。</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12</w:t>
      </w:r>
      <w:r>
        <w:rPr>
          <w:rFonts w:hint="default" w:ascii="仿宋_GB2312" w:hAnsi="仿宋" w:eastAsia="仿宋_GB2312" w:cs="仿宋_GB2312"/>
          <w:kern w:val="2"/>
          <w:sz w:val="32"/>
          <w:szCs w:val="32"/>
          <w:lang w:val="en-US" w:eastAsia="zh-CN" w:bidi="ar"/>
        </w:rPr>
        <w:t>)拟订全县社会工作、志愿服务政策和标准，会同有关部门推进社会工作人才队伍建设和志愿者队伍建设。</w:t>
      </w:r>
    </w:p>
    <w:p>
      <w:pPr>
        <w:keepNext w:val="0"/>
        <w:keepLines w:val="0"/>
        <w:widowControl w:val="0"/>
        <w:suppressLineNumbers w:val="0"/>
        <w:snapToGrid w:val="0"/>
        <w:spacing w:before="0" w:beforeAutospacing="0" w:after="0" w:afterAutospacing="0" w:line="520" w:lineRule="exact"/>
        <w:ind w:left="0" w:right="0" w:firstLine="640" w:firstLineChars="200"/>
        <w:jc w:val="both"/>
        <w:rPr>
          <w:rFonts w:hint="default" w:ascii="仿宋_GB2312" w:hAnsi="仿宋" w:eastAsia="仿宋_GB2312" w:cs="仿宋_GB2312"/>
          <w:sz w:val="32"/>
          <w:szCs w:val="32"/>
          <w:lang w:val="en-US"/>
        </w:rPr>
      </w:pPr>
      <w:r>
        <w:rPr>
          <w:rFonts w:hint="default" w:ascii="仿宋_GB2312" w:hAnsi="仿宋" w:eastAsia="仿宋_GB2312" w:cs="仿宋_GB2312"/>
          <w:kern w:val="2"/>
          <w:sz w:val="32"/>
          <w:szCs w:val="32"/>
          <w:lang w:val="en-US" w:eastAsia="zh-CN" w:bidi="ar"/>
        </w:rPr>
        <w:t>(</w:t>
      </w:r>
      <w:r>
        <w:rPr>
          <w:rFonts w:hint="eastAsia" w:ascii="仿宋_GB2312" w:hAnsi="仿宋" w:eastAsia="仿宋_GB2312" w:cs="仿宋_GB2312"/>
          <w:kern w:val="2"/>
          <w:sz w:val="32"/>
          <w:szCs w:val="32"/>
          <w:lang w:val="en-US" w:eastAsia="zh-CN" w:bidi="ar"/>
        </w:rPr>
        <w:t>13</w:t>
      </w:r>
      <w:r>
        <w:rPr>
          <w:rFonts w:hint="default" w:ascii="仿宋_GB2312" w:hAnsi="仿宋" w:eastAsia="仿宋_GB2312" w:cs="仿宋_GB2312"/>
          <w:kern w:val="2"/>
          <w:sz w:val="32"/>
          <w:szCs w:val="32"/>
          <w:lang w:val="en-US" w:eastAsia="zh-CN" w:bidi="ar"/>
        </w:rPr>
        <w:t>)完成县委、县政府交办的其他任务。</w:t>
      </w:r>
    </w:p>
    <w:p>
      <w:pPr>
        <w:adjustRightInd w:val="0"/>
        <w:rPr>
          <w:rFonts w:hint="eastAsia" w:ascii="仿宋" w:hAnsi="仿宋" w:eastAsia="仿宋" w:cs="仿宋"/>
          <w:sz w:val="32"/>
          <w:szCs w:val="32"/>
        </w:rPr>
      </w:pPr>
      <w:r>
        <w:rPr>
          <w:rFonts w:hint="eastAsia" w:ascii="仿宋" w:hAnsi="仿宋" w:eastAsia="仿宋" w:cs="仿宋"/>
          <w:sz w:val="32"/>
          <w:szCs w:val="32"/>
        </w:rPr>
        <w:t xml:space="preserve">   （二）人员及资产情况。</w:t>
      </w:r>
    </w:p>
    <w:p>
      <w:pPr>
        <w:adjustRightInd w:val="0"/>
        <w:ind w:firstLine="640" w:firstLineChars="200"/>
        <w:rPr>
          <w:rFonts w:hint="eastAsia" w:ascii="仿宋" w:hAnsi="仿宋" w:eastAsia="仿宋" w:cs="仿宋"/>
          <w:sz w:val="32"/>
          <w:szCs w:val="32"/>
        </w:rPr>
      </w:pPr>
      <w:r>
        <w:rPr>
          <w:rFonts w:hint="eastAsia" w:ascii="仿宋" w:hAnsi="仿宋" w:eastAsia="仿宋"/>
          <w:sz w:val="32"/>
          <w:szCs w:val="32"/>
          <w:lang w:val="en-US" w:eastAsia="zh-CN"/>
        </w:rPr>
        <w:t>2021</w:t>
      </w:r>
      <w:r>
        <w:rPr>
          <w:rFonts w:hint="eastAsia" w:ascii="仿宋" w:hAnsi="仿宋" w:eastAsia="仿宋"/>
          <w:sz w:val="32"/>
          <w:szCs w:val="32"/>
        </w:rPr>
        <w:t>年</w:t>
      </w:r>
      <w:r>
        <w:rPr>
          <w:rFonts w:hint="eastAsia" w:ascii="仿宋_GB2312" w:eastAsia="仿宋_GB2312"/>
          <w:kern w:val="2"/>
          <w:sz w:val="32"/>
          <w:szCs w:val="32"/>
        </w:rPr>
        <w:t>县民政局机关行政编制9名。股级职数5名（含机关党支部专职副书记1名）。</w:t>
      </w:r>
      <w:r>
        <w:rPr>
          <w:rFonts w:hint="eastAsia" w:ascii="仿宋" w:hAnsi="仿宋" w:eastAsia="仿宋" w:cs="仿宋"/>
          <w:sz w:val="32"/>
          <w:szCs w:val="32"/>
        </w:rPr>
        <w:t>局内设3个行政股室,办公室、</w:t>
      </w:r>
      <w:r>
        <w:rPr>
          <w:rFonts w:hint="eastAsia" w:ascii="仿宋_GB2312" w:eastAsia="仿宋_GB2312"/>
          <w:sz w:val="32"/>
          <w:szCs w:val="32"/>
        </w:rPr>
        <w:t>区划地名和社会组织管理股、社会救助股</w:t>
      </w: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个下属事业单位, 殡葬管理所、 低保核查</w:t>
      </w:r>
      <w:bookmarkStart w:id="0" w:name="_GoBack"/>
      <w:bookmarkEnd w:id="0"/>
      <w:r>
        <w:rPr>
          <w:rFonts w:hint="eastAsia" w:ascii="仿宋" w:hAnsi="仿宋" w:eastAsia="仿宋" w:cs="仿宋"/>
          <w:sz w:val="32"/>
          <w:szCs w:val="32"/>
        </w:rPr>
        <w:t>中心, 地名办办公室</w:t>
      </w:r>
      <w:r>
        <w:rPr>
          <w:rFonts w:hint="eastAsia" w:ascii="仿宋" w:hAnsi="仿宋" w:eastAsia="仿宋" w:cs="仿宋"/>
          <w:sz w:val="32"/>
          <w:szCs w:val="32"/>
          <w:lang w:eastAsia="zh-CN"/>
        </w:rPr>
        <w:t>、养老服务中心</w:t>
      </w:r>
      <w:r>
        <w:rPr>
          <w:rFonts w:hint="eastAsia" w:ascii="仿宋" w:hAnsi="仿宋" w:eastAsia="仿宋" w:cs="仿宋"/>
          <w:sz w:val="32"/>
          <w:szCs w:val="32"/>
        </w:rPr>
        <w:t>。行政编制9个,现有行政人员</w:t>
      </w:r>
      <w:r>
        <w:rPr>
          <w:rFonts w:hint="eastAsia" w:ascii="仿宋" w:hAnsi="仿宋" w:eastAsia="仿宋" w:cs="仿宋"/>
          <w:sz w:val="32"/>
          <w:szCs w:val="32"/>
          <w:lang w:val="en-US" w:eastAsia="zh-CN"/>
        </w:rPr>
        <w:t>9</w:t>
      </w:r>
      <w:r>
        <w:rPr>
          <w:rFonts w:hint="eastAsia" w:ascii="仿宋" w:hAnsi="仿宋" w:eastAsia="仿宋" w:cs="仿宋"/>
          <w:sz w:val="32"/>
          <w:szCs w:val="32"/>
        </w:rPr>
        <w:t>名，其中局长1名,副局长</w:t>
      </w:r>
      <w:r>
        <w:rPr>
          <w:rFonts w:hint="eastAsia" w:ascii="仿宋" w:hAnsi="仿宋" w:eastAsia="仿宋" w:cs="仿宋"/>
          <w:sz w:val="32"/>
          <w:szCs w:val="32"/>
          <w:lang w:val="en-US" w:eastAsia="zh-CN"/>
        </w:rPr>
        <w:t>2</w:t>
      </w:r>
      <w:r>
        <w:rPr>
          <w:rFonts w:hint="eastAsia" w:ascii="仿宋" w:hAnsi="仿宋" w:eastAsia="仿宋" w:cs="仿宋"/>
          <w:sz w:val="32"/>
          <w:szCs w:val="32"/>
        </w:rPr>
        <w:t>名,</w:t>
      </w:r>
      <w:r>
        <w:rPr>
          <w:rFonts w:hint="eastAsia" w:ascii="仿宋" w:hAnsi="仿宋" w:eastAsia="仿宋" w:cs="仿宋"/>
          <w:sz w:val="32"/>
          <w:szCs w:val="32"/>
          <w:lang w:eastAsia="zh-CN"/>
        </w:rPr>
        <w:t>主任</w:t>
      </w:r>
      <w:r>
        <w:rPr>
          <w:rFonts w:hint="eastAsia" w:ascii="仿宋" w:hAnsi="仿宋" w:eastAsia="仿宋" w:cs="仿宋"/>
          <w:sz w:val="32"/>
          <w:szCs w:val="32"/>
        </w:rPr>
        <w:t>科员</w:t>
      </w:r>
      <w:r>
        <w:rPr>
          <w:rFonts w:hint="eastAsia" w:ascii="仿宋" w:hAnsi="仿宋" w:eastAsia="仿宋" w:cs="仿宋"/>
          <w:sz w:val="32"/>
          <w:szCs w:val="32"/>
          <w:lang w:val="en-US" w:eastAsia="zh-CN"/>
        </w:rPr>
        <w:t>4</w:t>
      </w:r>
      <w:r>
        <w:rPr>
          <w:rFonts w:hint="eastAsia" w:ascii="仿宋" w:hAnsi="仿宋" w:eastAsia="仿宋" w:cs="仿宋"/>
          <w:sz w:val="32"/>
          <w:szCs w:val="32"/>
        </w:rPr>
        <w:t>名，</w:t>
      </w:r>
      <w:r>
        <w:rPr>
          <w:rFonts w:hint="eastAsia" w:ascii="仿宋" w:hAnsi="仿宋" w:eastAsia="仿宋" w:cs="仿宋"/>
          <w:sz w:val="32"/>
          <w:szCs w:val="32"/>
          <w:lang w:eastAsia="zh-CN"/>
        </w:rPr>
        <w:t>科员</w:t>
      </w:r>
      <w:r>
        <w:rPr>
          <w:rFonts w:hint="eastAsia" w:ascii="仿宋" w:hAnsi="仿宋" w:eastAsia="仿宋" w:cs="仿宋"/>
          <w:sz w:val="32"/>
          <w:szCs w:val="32"/>
          <w:lang w:val="en-US" w:eastAsia="zh-CN"/>
        </w:rPr>
        <w:t>2名，</w:t>
      </w:r>
      <w:r>
        <w:rPr>
          <w:rFonts w:hint="eastAsia" w:ascii="仿宋" w:hAnsi="仿宋" w:eastAsia="仿宋" w:cs="仿宋"/>
          <w:sz w:val="32"/>
          <w:szCs w:val="32"/>
        </w:rPr>
        <w:t>现有事业人员</w:t>
      </w:r>
      <w:r>
        <w:rPr>
          <w:rFonts w:hint="eastAsia" w:ascii="仿宋" w:hAnsi="仿宋" w:eastAsia="仿宋" w:cs="仿宋"/>
          <w:sz w:val="32"/>
          <w:szCs w:val="32"/>
          <w:lang w:val="en-US" w:eastAsia="zh-CN"/>
        </w:rPr>
        <w:t>10名，事业经费自理（自收自支）5名</w:t>
      </w:r>
      <w:r>
        <w:rPr>
          <w:rFonts w:hint="eastAsia" w:ascii="仿宋" w:hAnsi="仿宋" w:eastAsia="仿宋" w:cs="仿宋"/>
          <w:sz w:val="32"/>
          <w:szCs w:val="32"/>
          <w:lang w:eastAsia="zh-CN"/>
        </w:rPr>
        <w:t>，退休人员</w:t>
      </w:r>
      <w:r>
        <w:rPr>
          <w:rFonts w:hint="eastAsia" w:ascii="仿宋" w:hAnsi="仿宋" w:eastAsia="仿宋" w:cs="仿宋"/>
          <w:sz w:val="32"/>
          <w:szCs w:val="32"/>
          <w:lang w:val="en-US" w:eastAsia="zh-CN"/>
        </w:rPr>
        <w:t>36人，离休0人。</w:t>
      </w:r>
    </w:p>
    <w:p>
      <w:pPr>
        <w:numPr>
          <w:ilvl w:val="0"/>
          <w:numId w:val="1"/>
        </w:numPr>
        <w:adjustRightInd w:val="0"/>
        <w:ind w:left="480" w:leftChars="0" w:firstLine="0" w:firstLineChars="0"/>
        <w:rPr>
          <w:rFonts w:hint="eastAsia" w:ascii="仿宋" w:hAnsi="仿宋" w:eastAsia="仿宋" w:cs="仿宋"/>
          <w:sz w:val="32"/>
          <w:szCs w:val="32"/>
        </w:rPr>
      </w:pPr>
      <w:r>
        <w:rPr>
          <w:rFonts w:hint="eastAsia" w:ascii="仿宋" w:hAnsi="仿宋" w:eastAsia="仿宋" w:cs="仿宋"/>
          <w:sz w:val="32"/>
          <w:szCs w:val="32"/>
        </w:rPr>
        <w:t>部门履职总体目标。</w:t>
      </w:r>
    </w:p>
    <w:p>
      <w:pPr>
        <w:pStyle w:val="7"/>
        <w:shd w:val="clear" w:color="auto" w:fill="FFFFFF"/>
        <w:spacing w:before="0" w:beforeAutospacing="0" w:after="0" w:afterAutospacing="0" w:line="56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2021</w:t>
      </w:r>
      <w:r>
        <w:rPr>
          <w:rFonts w:hint="eastAsia" w:ascii="仿宋" w:hAnsi="仿宋" w:eastAsia="仿宋" w:cs="仿宋"/>
          <w:sz w:val="32"/>
          <w:szCs w:val="32"/>
        </w:rPr>
        <w:t>年县民政局在县委、县政府</w:t>
      </w:r>
      <w:r>
        <w:rPr>
          <w:rFonts w:hint="eastAsia" w:eastAsia="仿宋_GB2312"/>
          <w:sz w:val="32"/>
          <w:szCs w:val="32"/>
        </w:rPr>
        <w:t>和县纪委</w:t>
      </w:r>
      <w:r>
        <w:rPr>
          <w:rFonts w:eastAsia="仿宋_GB2312"/>
          <w:sz w:val="32"/>
          <w:szCs w:val="32"/>
        </w:rPr>
        <w:t>的正确领导下</w:t>
      </w:r>
      <w:r>
        <w:rPr>
          <w:rFonts w:hint="eastAsia" w:ascii="仿宋" w:hAnsi="仿宋" w:eastAsia="仿宋" w:cs="仿宋"/>
          <w:sz w:val="32"/>
          <w:szCs w:val="32"/>
        </w:rPr>
        <w:t>，紧紧围绕发展大局，认真学习贯彻党的十九大精神和习近平总书记关于民政工作的重要论述,不断加强党的建设，增强“四个意识”、坚定“四个自信”，坚决做到“两个维护”，坚持改革创新，聚焦脱贫攻坚，聚焦特殊群体，聚焦群众关切。按照脱贫攻坚的要求,充分发挥民政的兜底保障作用,助力全县脱贫攻坚工作；圆满完成了年初县委、县政府确定的重点工作中民政工作事项。</w:t>
      </w:r>
    </w:p>
    <w:p>
      <w:pPr>
        <w:numPr>
          <w:ilvl w:val="0"/>
          <w:numId w:val="1"/>
        </w:numPr>
        <w:adjustRightInd w:val="0"/>
        <w:ind w:left="480" w:leftChars="0" w:firstLine="0" w:firstLineChars="0"/>
        <w:rPr>
          <w:rFonts w:hint="eastAsia" w:ascii="仿宋" w:hAnsi="仿宋" w:eastAsia="仿宋" w:cs="仿宋"/>
          <w:sz w:val="32"/>
          <w:szCs w:val="32"/>
        </w:rPr>
      </w:pPr>
      <w:r>
        <w:rPr>
          <w:rFonts w:hint="eastAsia" w:ascii="仿宋" w:hAnsi="仿宋" w:eastAsia="仿宋" w:cs="仿宋"/>
          <w:sz w:val="32"/>
          <w:szCs w:val="32"/>
        </w:rPr>
        <w:t>年度整体绩效目标和工作任务。</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目标1：为财政开支人员发放工资和各项保险，激发工作的积极性，确保民政工作的顺利开展。</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目标2：用于办公用品及办公设备的购置等，保障工作的顺利开展。</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目标3：完善城乡社会救助制度，实施分类救助，应保尽保,动态管理。</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4：建立孤儿最低养育标准自然增长机制；提高孤残儿童护理员专业化水平；建立起县乡村三级儿童服务网络。流浪乞讨人员、流浪未成年人救助设施齐全、功能完善，对未成年人救助保护提供必要的保护场所。殡葬设施和设备现代、节能、节地、环保，群众办理丧事文明节俭。维护老年人合法权益。</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目标5：指导各婚姻登记管理工作；负责国内及涉外儿童收养登记和管理工作。</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目标6：推进全县社会组织健康发展，优化行政区划空间布局，建立健全城乡基层群众自治组织，逐步实现社会工作者专业化、职业化。</w:t>
      </w:r>
    </w:p>
    <w:p>
      <w:pPr>
        <w:numPr>
          <w:ilvl w:val="0"/>
          <w:numId w:val="0"/>
        </w:numPr>
        <w:adjustRightInd w:val="0"/>
        <w:ind w:left="480" w:leftChars="0"/>
        <w:rPr>
          <w:rFonts w:hint="eastAsia" w:ascii="仿宋" w:hAnsi="仿宋" w:eastAsia="仿宋" w:cs="仿宋"/>
          <w:sz w:val="32"/>
          <w:szCs w:val="32"/>
        </w:rPr>
      </w:pPr>
      <w:r>
        <w:rPr>
          <w:rFonts w:hint="eastAsia" w:ascii="仿宋" w:hAnsi="仿宋" w:eastAsia="仿宋" w:cs="仿宋"/>
          <w:sz w:val="32"/>
          <w:szCs w:val="32"/>
        </w:rPr>
        <w:t>目标7：完成民政规划项目；依法按时办理行政复议案件；向社会发布民政研究课题，组织评审指导，课题成果为政策提供咨询服务，通过评估保证重大决策科学、准确；建立和维护全县民政系统政务公开平台，推进民政政府信息公开、政务公开，完成在县委、县政府民政部系统信息考核任务；搞好群众来信来访工作，妥善解决群体上访事件；民主行风评议保持全县领先地位。做好对口支援工作。做好组织慰问困难群众工作。</w:t>
      </w:r>
    </w:p>
    <w:p>
      <w:pPr>
        <w:numPr>
          <w:ilvl w:val="0"/>
          <w:numId w:val="1"/>
        </w:numPr>
        <w:adjustRightInd w:val="0"/>
        <w:ind w:left="480" w:leftChars="0" w:firstLine="0" w:firstLineChars="0"/>
        <w:rPr>
          <w:rFonts w:hint="eastAsia" w:ascii="楷体" w:hAnsi="楷体" w:eastAsia="楷体" w:cs="仿宋"/>
          <w:sz w:val="32"/>
          <w:szCs w:val="32"/>
        </w:rPr>
      </w:pPr>
      <w:r>
        <w:rPr>
          <w:rFonts w:hint="eastAsia" w:ascii="仿宋" w:hAnsi="仿宋" w:eastAsia="仿宋" w:cs="仿宋"/>
          <w:sz w:val="32"/>
          <w:szCs w:val="32"/>
        </w:rPr>
        <w:t>预算资金安排及资金支出</w:t>
      </w:r>
      <w:r>
        <w:rPr>
          <w:rFonts w:hint="eastAsia" w:ascii="楷体" w:hAnsi="楷体" w:eastAsia="楷体" w:cs="仿宋"/>
          <w:sz w:val="32"/>
          <w:szCs w:val="32"/>
        </w:rPr>
        <w:t>情况。</w:t>
      </w:r>
    </w:p>
    <w:tbl>
      <w:tblPr>
        <w:tblStyle w:val="8"/>
        <w:tblW w:w="9286" w:type="dxa"/>
        <w:tblInd w:w="0" w:type="dxa"/>
        <w:shd w:val="clear" w:color="auto" w:fill="auto"/>
        <w:tblLayout w:type="fixed"/>
        <w:tblCellMar>
          <w:top w:w="0" w:type="dxa"/>
          <w:left w:w="108" w:type="dxa"/>
          <w:bottom w:w="0" w:type="dxa"/>
          <w:right w:w="108" w:type="dxa"/>
        </w:tblCellMar>
      </w:tblPr>
      <w:tblGrid>
        <w:gridCol w:w="865"/>
        <w:gridCol w:w="2597"/>
        <w:gridCol w:w="1623"/>
        <w:gridCol w:w="1298"/>
        <w:gridCol w:w="1623"/>
        <w:gridCol w:w="1280"/>
      </w:tblGrid>
      <w:tr>
        <w:tblPrEx>
          <w:shd w:val="clear" w:color="auto" w:fill="auto"/>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类款项</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科目名称</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收入</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收入百分比</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支出</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支出百分比</w:t>
            </w:r>
          </w:p>
        </w:tc>
      </w:tr>
      <w:tr>
        <w:tblPrEx>
          <w:shd w:val="clear" w:color="auto" w:fill="auto"/>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201</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一般公共服务支出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158,000.00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0.18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158,000.00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0.18 </w:t>
            </w:r>
          </w:p>
        </w:tc>
      </w:tr>
      <w:tr>
        <w:tblPrEx>
          <w:shd w:val="clear" w:color="auto" w:fill="auto"/>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208</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社会保障和就业支出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79,910,868.34</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91.94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80,469,863.63</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91.92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210</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卫生健康支出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89,151.07</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0.10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89,151.07</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0.10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212</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城乡社区支出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500,000.00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0.58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500,000.00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0.57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221</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住房保障支出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144,932.00</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0.17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144,932.00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0.17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224</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灾害防治及应急管理支出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100,000.00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0.12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100,000.00</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0.11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229</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其他支出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6,012,850.09</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6.92 </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6,084,685.72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 xml:space="preserve">6.95 </w:t>
            </w:r>
          </w:p>
        </w:tc>
      </w:tr>
      <w:tr>
        <w:tblPrEx>
          <w:tblCellMar>
            <w:top w:w="0" w:type="dxa"/>
            <w:left w:w="108" w:type="dxa"/>
            <w:bottom w:w="0" w:type="dxa"/>
            <w:right w:w="108" w:type="dxa"/>
          </w:tblCellMar>
        </w:tblPrEx>
        <w:trPr>
          <w:trHeight w:val="285"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合计</w:t>
            </w:r>
          </w:p>
        </w:tc>
        <w:tc>
          <w:tcPr>
            <w:tcW w:w="25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86915801.5</w:t>
            </w:r>
          </w:p>
        </w:tc>
        <w:tc>
          <w:tcPr>
            <w:tcW w:w="12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87546632.42</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eastAsia" w:ascii="等线" w:hAnsi="等线" w:eastAsia="等线" w:cs="宋体"/>
                <w:color w:val="000000"/>
                <w:kern w:val="0"/>
                <w:sz w:val="22"/>
                <w:szCs w:val="22"/>
                <w:lang w:val="en-US"/>
              </w:rPr>
            </w:pPr>
            <w:r>
              <w:rPr>
                <w:rFonts w:hint="eastAsia" w:ascii="等线" w:hAnsi="等线" w:eastAsia="等线" w:cs="宋体"/>
                <w:color w:val="000000"/>
                <w:kern w:val="0"/>
                <w:sz w:val="22"/>
                <w:szCs w:val="22"/>
                <w:lang w:val="en-US" w:eastAsia="zh-CN" w:bidi="ar"/>
              </w:rPr>
              <w:t>100</w:t>
            </w:r>
          </w:p>
        </w:tc>
      </w:tr>
    </w:tbl>
    <w:p>
      <w:pPr>
        <w:widowControl/>
        <w:spacing w:line="480" w:lineRule="auto"/>
        <w:ind w:firstLine="640" w:firstLineChars="200"/>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2021年度全年预算安排8691.58万元，支出8754.66万元。</w:t>
      </w:r>
    </w:p>
    <w:p>
      <w:pPr>
        <w:widowControl/>
        <w:spacing w:line="480" w:lineRule="auto"/>
        <w:ind w:firstLine="480"/>
        <w:rPr>
          <w:rFonts w:ascii="仿宋" w:hAnsi="仿宋" w:eastAsia="仿宋" w:cs="宋体"/>
          <w:kern w:val="0"/>
          <w:sz w:val="32"/>
          <w:szCs w:val="32"/>
        </w:rPr>
      </w:pPr>
      <w:r>
        <w:rPr>
          <w:rFonts w:hint="eastAsia" w:ascii="仿宋" w:hAnsi="仿宋" w:eastAsia="仿宋" w:cs="宋体"/>
          <w:kern w:val="0"/>
          <w:sz w:val="32"/>
          <w:szCs w:val="32"/>
        </w:rPr>
        <w:t>（一）基本支出</w:t>
      </w:r>
    </w:p>
    <w:p>
      <w:pPr>
        <w:keepNext w:val="0"/>
        <w:keepLines w:val="0"/>
        <w:widowControl/>
        <w:suppressLineNumbers w:val="0"/>
        <w:spacing w:before="0" w:beforeAutospacing="0" w:after="0" w:afterAutospacing="0"/>
        <w:ind w:left="0" w:right="0" w:firstLine="640" w:firstLineChars="200"/>
        <w:jc w:val="both"/>
        <w:rPr>
          <w:rFonts w:hint="default" w:ascii="仿宋" w:hAnsi="仿宋" w:eastAsia="仿宋" w:cs="宋体"/>
          <w:kern w:val="0"/>
          <w:sz w:val="32"/>
          <w:szCs w:val="32"/>
          <w:lang w:val="en-US" w:eastAsia="zh-CN"/>
        </w:rPr>
      </w:pPr>
      <w:r>
        <w:rPr>
          <w:rFonts w:hint="default" w:ascii="仿宋" w:hAnsi="仿宋" w:eastAsia="仿宋" w:cs="宋体"/>
          <w:kern w:val="0"/>
          <w:sz w:val="32"/>
          <w:szCs w:val="32"/>
          <w:lang w:val="en-US" w:eastAsia="zh-CN"/>
        </w:rPr>
        <w:t>2021年基本支出</w:t>
      </w:r>
      <w:r>
        <w:rPr>
          <w:rFonts w:hint="eastAsia" w:ascii="仿宋" w:hAnsi="仿宋" w:eastAsia="仿宋" w:cs="宋体"/>
          <w:kern w:val="0"/>
          <w:sz w:val="32"/>
          <w:szCs w:val="32"/>
          <w:lang w:val="en-US" w:eastAsia="zh-CN"/>
        </w:rPr>
        <w:t>共计172.36万元，</w:t>
      </w:r>
      <w:r>
        <w:rPr>
          <w:rFonts w:hint="default" w:ascii="仿宋" w:hAnsi="仿宋" w:eastAsia="仿宋" w:cs="宋体"/>
          <w:kern w:val="0"/>
          <w:sz w:val="32"/>
          <w:szCs w:val="32"/>
          <w:lang w:val="en-US" w:eastAsia="zh-CN"/>
        </w:rPr>
        <w:t>主要是工资和福利支出为</w:t>
      </w:r>
      <w:r>
        <w:rPr>
          <w:rFonts w:hint="eastAsia" w:ascii="仿宋" w:hAnsi="仿宋" w:eastAsia="仿宋" w:cs="宋体"/>
          <w:kern w:val="0"/>
          <w:sz w:val="32"/>
          <w:szCs w:val="32"/>
          <w:lang w:val="en-US" w:eastAsia="zh-CN"/>
        </w:rPr>
        <w:t>144.40万</w:t>
      </w:r>
      <w:r>
        <w:rPr>
          <w:rFonts w:hint="default" w:ascii="仿宋" w:hAnsi="仿宋" w:eastAsia="仿宋" w:cs="宋体"/>
          <w:kern w:val="0"/>
          <w:sz w:val="32"/>
          <w:szCs w:val="32"/>
          <w:lang w:val="en-US" w:eastAsia="zh-CN"/>
        </w:rPr>
        <w:t>元，商品和服务支出</w:t>
      </w:r>
      <w:r>
        <w:rPr>
          <w:rFonts w:hint="eastAsia" w:ascii="仿宋" w:hAnsi="仿宋" w:eastAsia="仿宋" w:cs="宋体"/>
          <w:kern w:val="0"/>
          <w:sz w:val="32"/>
          <w:szCs w:val="32"/>
          <w:lang w:val="en-US" w:eastAsia="zh-CN"/>
        </w:rPr>
        <w:t>16.4万</w:t>
      </w:r>
      <w:r>
        <w:rPr>
          <w:rFonts w:hint="default" w:ascii="仿宋" w:hAnsi="仿宋" w:eastAsia="仿宋" w:cs="宋体"/>
          <w:kern w:val="0"/>
          <w:sz w:val="32"/>
          <w:szCs w:val="32"/>
          <w:lang w:val="en-US" w:eastAsia="zh-CN"/>
        </w:rPr>
        <w:t>元，对个人和家庭的补助</w:t>
      </w:r>
      <w:r>
        <w:rPr>
          <w:rFonts w:hint="eastAsia" w:ascii="仿宋" w:hAnsi="仿宋" w:eastAsia="仿宋" w:cs="宋体"/>
          <w:kern w:val="0"/>
          <w:sz w:val="32"/>
          <w:szCs w:val="32"/>
          <w:lang w:val="en-US" w:eastAsia="zh-CN"/>
        </w:rPr>
        <w:t>11.56万</w:t>
      </w:r>
      <w:r>
        <w:rPr>
          <w:rFonts w:hint="default" w:ascii="仿宋" w:hAnsi="仿宋" w:eastAsia="仿宋" w:cs="宋体"/>
          <w:kern w:val="0"/>
          <w:sz w:val="32"/>
          <w:szCs w:val="32"/>
          <w:lang w:val="en-US" w:eastAsia="zh-CN"/>
        </w:rPr>
        <w:t>元。</w:t>
      </w:r>
    </w:p>
    <w:p>
      <w:pPr>
        <w:keepNext w:val="0"/>
        <w:keepLines w:val="0"/>
        <w:widowControl/>
        <w:suppressLineNumbers w:val="0"/>
        <w:spacing w:before="0" w:beforeAutospacing="0" w:after="0" w:afterAutospacing="0"/>
        <w:ind w:left="0" w:right="0" w:firstLine="640" w:firstLineChars="200"/>
        <w:jc w:val="both"/>
        <w:rPr>
          <w:rFonts w:hint="default"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2021年一般公共服务支出15.8万元，社会保障和就业支出133.15万元，卫生健康支出8.92万元，住房保障支出14.49万元。</w:t>
      </w:r>
    </w:p>
    <w:p>
      <w:pPr>
        <w:widowControl/>
        <w:spacing w:line="480" w:lineRule="auto"/>
        <w:ind w:firstLine="480"/>
        <w:rPr>
          <w:rFonts w:ascii="仿宋" w:hAnsi="仿宋" w:eastAsia="仿宋" w:cs="宋体"/>
          <w:kern w:val="0"/>
          <w:sz w:val="32"/>
          <w:szCs w:val="32"/>
        </w:rPr>
      </w:pPr>
      <w:r>
        <w:rPr>
          <w:rFonts w:hint="eastAsia" w:ascii="仿宋" w:hAnsi="仿宋" w:eastAsia="仿宋" w:cs="宋体"/>
          <w:kern w:val="0"/>
          <w:sz w:val="32"/>
          <w:szCs w:val="32"/>
        </w:rPr>
        <w:t>（二）专项支出</w:t>
      </w:r>
    </w:p>
    <w:p>
      <w:pPr>
        <w:keepNext w:val="0"/>
        <w:keepLines w:val="0"/>
        <w:widowControl/>
        <w:suppressLineNumbers w:val="0"/>
        <w:spacing w:before="0" w:beforeAutospacing="0" w:after="0" w:afterAutospacing="0"/>
        <w:ind w:left="0" w:right="0" w:firstLine="640" w:firstLineChars="200"/>
        <w:jc w:val="left"/>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val="en-US" w:eastAsia="zh-CN"/>
        </w:rPr>
        <w:t>全年项目支出8582.30万元。主要是社会保障和就业支出7913.83万元</w:t>
      </w:r>
      <w:r>
        <w:rPr>
          <w:rFonts w:hint="default" w:ascii="仿宋" w:hAnsi="仿宋" w:eastAsia="仿宋" w:cs="宋体"/>
          <w:kern w:val="0"/>
          <w:sz w:val="32"/>
          <w:szCs w:val="32"/>
          <w:lang w:val="en-US" w:eastAsia="zh-CN"/>
        </w:rPr>
        <w:t>，</w:t>
      </w:r>
      <w:r>
        <w:rPr>
          <w:rFonts w:hint="eastAsia" w:ascii="仿宋" w:hAnsi="仿宋" w:eastAsia="仿宋" w:cs="宋体"/>
          <w:kern w:val="0"/>
          <w:sz w:val="32"/>
          <w:szCs w:val="32"/>
          <w:lang w:val="en-US" w:eastAsia="zh-CN"/>
        </w:rPr>
        <w:t>城乡社区支出50万元，灾害防治及应急管理支出10万元，其他支出608.47万元。</w:t>
      </w:r>
    </w:p>
    <w:p>
      <w:pPr>
        <w:keepNext w:val="0"/>
        <w:keepLines w:val="0"/>
        <w:widowControl/>
        <w:suppressLineNumbers w:val="0"/>
        <w:spacing w:before="0" w:beforeAutospacing="0" w:after="0" w:afterAutospacing="0"/>
        <w:ind w:left="0" w:right="0" w:firstLine="640" w:firstLineChars="200"/>
        <w:jc w:val="left"/>
        <w:rPr>
          <w:rFonts w:hint="eastAsia" w:ascii="楷体" w:hAnsi="楷体" w:eastAsia="楷体" w:cs="仿宋"/>
          <w:sz w:val="32"/>
          <w:szCs w:val="32"/>
        </w:rPr>
      </w:pPr>
      <w:r>
        <w:rPr>
          <w:rFonts w:hint="default" w:ascii="仿宋" w:hAnsi="仿宋" w:eastAsia="仿宋" w:cs="宋体"/>
          <w:kern w:val="0"/>
          <w:sz w:val="32"/>
          <w:szCs w:val="32"/>
          <w:lang w:val="en-US" w:eastAsia="zh-CN"/>
        </w:rPr>
        <w:t>2021年项目支出主要是工资和福利支出</w:t>
      </w:r>
      <w:r>
        <w:rPr>
          <w:rFonts w:hint="eastAsia" w:ascii="仿宋" w:hAnsi="仿宋" w:eastAsia="仿宋" w:cs="宋体"/>
          <w:kern w:val="0"/>
          <w:sz w:val="32"/>
          <w:szCs w:val="32"/>
          <w:lang w:val="en-US" w:eastAsia="zh-CN"/>
        </w:rPr>
        <w:t>56.73万</w:t>
      </w:r>
      <w:r>
        <w:rPr>
          <w:rFonts w:hint="default" w:ascii="仿宋" w:hAnsi="仿宋" w:eastAsia="仿宋" w:cs="宋体"/>
          <w:kern w:val="0"/>
          <w:sz w:val="32"/>
          <w:szCs w:val="32"/>
          <w:lang w:val="en-US" w:eastAsia="zh-CN"/>
        </w:rPr>
        <w:t>元，商品和服务支出</w:t>
      </w:r>
      <w:r>
        <w:rPr>
          <w:rFonts w:hint="eastAsia" w:ascii="仿宋" w:hAnsi="仿宋" w:eastAsia="仿宋" w:cs="宋体"/>
          <w:kern w:val="0"/>
          <w:sz w:val="32"/>
          <w:szCs w:val="32"/>
          <w:lang w:val="en-US" w:eastAsia="zh-CN"/>
        </w:rPr>
        <w:t>332.03万</w:t>
      </w:r>
      <w:r>
        <w:rPr>
          <w:rFonts w:hint="default" w:ascii="仿宋" w:hAnsi="仿宋" w:eastAsia="仿宋" w:cs="宋体"/>
          <w:kern w:val="0"/>
          <w:sz w:val="32"/>
          <w:szCs w:val="32"/>
          <w:lang w:val="en-US" w:eastAsia="zh-CN"/>
        </w:rPr>
        <w:t>元，对个人和家庭的补助</w:t>
      </w:r>
      <w:r>
        <w:rPr>
          <w:rFonts w:hint="eastAsia" w:ascii="仿宋" w:hAnsi="仿宋" w:eastAsia="仿宋" w:cs="宋体"/>
          <w:kern w:val="0"/>
          <w:sz w:val="32"/>
          <w:szCs w:val="32"/>
          <w:lang w:val="en-US" w:eastAsia="zh-CN"/>
        </w:rPr>
        <w:t>7498.72万</w:t>
      </w:r>
      <w:r>
        <w:rPr>
          <w:rFonts w:hint="default" w:ascii="仿宋" w:hAnsi="仿宋" w:eastAsia="仿宋" w:cs="宋体"/>
          <w:kern w:val="0"/>
          <w:sz w:val="32"/>
          <w:szCs w:val="32"/>
          <w:lang w:val="en-US" w:eastAsia="zh-CN"/>
        </w:rPr>
        <w:t xml:space="preserve">元，资本性支出 </w:t>
      </w:r>
      <w:r>
        <w:rPr>
          <w:rFonts w:hint="eastAsia" w:ascii="仿宋" w:hAnsi="仿宋" w:eastAsia="仿宋" w:cs="宋体"/>
          <w:kern w:val="0"/>
          <w:sz w:val="32"/>
          <w:szCs w:val="32"/>
          <w:lang w:val="en-US" w:eastAsia="zh-CN"/>
        </w:rPr>
        <w:t>497.11万</w:t>
      </w:r>
      <w:r>
        <w:rPr>
          <w:rFonts w:hint="default" w:ascii="仿宋" w:hAnsi="仿宋" w:eastAsia="仿宋" w:cs="宋体"/>
          <w:kern w:val="0"/>
          <w:sz w:val="32"/>
          <w:szCs w:val="32"/>
          <w:lang w:val="en-US" w:eastAsia="zh-CN"/>
        </w:rPr>
        <w:t>元，其他支出</w:t>
      </w:r>
      <w:r>
        <w:rPr>
          <w:rFonts w:hint="eastAsia" w:ascii="仿宋" w:hAnsi="仿宋" w:eastAsia="仿宋" w:cs="宋体"/>
          <w:kern w:val="0"/>
          <w:sz w:val="32"/>
          <w:szCs w:val="32"/>
          <w:lang w:val="en-US" w:eastAsia="zh-CN"/>
        </w:rPr>
        <w:t>197.71万元。</w:t>
      </w: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预算绩效管理开展及整体绩效实现情况。</w:t>
      </w:r>
    </w:p>
    <w:p>
      <w:pPr>
        <w:numPr>
          <w:ilvl w:val="0"/>
          <w:numId w:val="3"/>
        </w:numPr>
        <w:adjustRightInd w:val="0"/>
        <w:ind w:firstLine="480" w:firstLineChars="150"/>
        <w:rPr>
          <w:rFonts w:hint="eastAsia" w:ascii="仿宋" w:hAnsi="仿宋" w:eastAsia="仿宋" w:cs="仿宋"/>
          <w:sz w:val="32"/>
          <w:szCs w:val="32"/>
        </w:rPr>
      </w:pPr>
      <w:r>
        <w:rPr>
          <w:rFonts w:hint="eastAsia" w:ascii="仿宋" w:hAnsi="仿宋" w:eastAsia="仿宋" w:cs="仿宋"/>
          <w:sz w:val="32"/>
          <w:szCs w:val="32"/>
        </w:rPr>
        <w:t>部门开展预算绩效管理情况。</w:t>
      </w:r>
    </w:p>
    <w:p>
      <w:pPr>
        <w:widowControl/>
        <w:spacing w:line="480" w:lineRule="auto"/>
        <w:ind w:firstLine="640" w:firstLineChars="200"/>
        <w:rPr>
          <w:rFonts w:hint="eastAsia" w:ascii="仿宋" w:hAnsi="仿宋" w:eastAsia="仿宋" w:cs="仿宋"/>
          <w:sz w:val="32"/>
          <w:szCs w:val="32"/>
        </w:rPr>
      </w:pPr>
      <w:r>
        <w:rPr>
          <w:rFonts w:hint="eastAsia" w:ascii="仿宋" w:hAnsi="仿宋" w:eastAsia="仿宋" w:cs="宋体"/>
          <w:kern w:val="0"/>
          <w:sz w:val="32"/>
          <w:szCs w:val="32"/>
        </w:rPr>
        <w:t>本次绩效评价的目的是为了全面分析和综合评价我局本级财政预算资金的使用管理情况，为切实提高财政资金使用效益，强化预算支出的责任和效率提供参考依据。</w:t>
      </w:r>
    </w:p>
    <w:p>
      <w:pPr>
        <w:numPr>
          <w:ilvl w:val="0"/>
          <w:numId w:val="3"/>
        </w:numPr>
        <w:adjustRightInd w:val="0"/>
        <w:ind w:left="0" w:leftChars="0" w:firstLine="480" w:firstLineChars="150"/>
        <w:rPr>
          <w:rFonts w:hint="eastAsia" w:ascii="仿宋" w:hAnsi="仿宋" w:eastAsia="仿宋" w:cs="仿宋"/>
          <w:sz w:val="32"/>
          <w:szCs w:val="32"/>
        </w:rPr>
      </w:pPr>
      <w:r>
        <w:rPr>
          <w:rFonts w:hint="eastAsia" w:ascii="仿宋" w:hAnsi="仿宋" w:eastAsia="仿宋" w:cs="仿宋"/>
          <w:sz w:val="32"/>
          <w:szCs w:val="32"/>
        </w:rPr>
        <w:t>工作履行活动完成情况。</w:t>
      </w:r>
    </w:p>
    <w:p>
      <w:pPr>
        <w:widowControl/>
        <w:spacing w:line="48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宋体"/>
          <w:kern w:val="0"/>
          <w:sz w:val="32"/>
          <w:szCs w:val="32"/>
        </w:rPr>
        <w:t> 我们按照绩效评价规程要求，第一阶段为前期准备：由我局资金财务处牵头，组织有关业务处室制定了详细的工作方案，明确处室责任，确定评价指标细则；第二阶段为处室自评：根据上一阶段任务布置，各处室按照要求展开自评工作，并将评价结果报资金财务股；第三阶段为定性终评，并出具评价报告：资金财务处在处室自评的基础上，查阅相关文件资料和财务凭证，对收集资料进行定量定性分析，综合评议后形成评价结论，出具绩效评价。</w:t>
      </w:r>
    </w:p>
    <w:p>
      <w:pPr>
        <w:adjustRightInd w:val="0"/>
        <w:ind w:firstLine="480" w:firstLineChars="150"/>
        <w:rPr>
          <w:rFonts w:ascii="仿宋" w:hAnsi="仿宋" w:eastAsia="仿宋" w:cs="仿宋"/>
          <w:sz w:val="32"/>
          <w:szCs w:val="32"/>
        </w:rPr>
      </w:pPr>
      <w:r>
        <w:rPr>
          <w:rFonts w:hint="eastAsia" w:ascii="仿宋" w:hAnsi="仿宋" w:eastAsia="仿宋" w:cs="仿宋"/>
          <w:sz w:val="32"/>
          <w:szCs w:val="32"/>
        </w:rPr>
        <w:t>（三）实施履职活动产生的效果或服务对象满意程度。</w:t>
      </w: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绩效评价的组织实施情况</w:t>
      </w:r>
    </w:p>
    <w:p>
      <w:pPr>
        <w:widowControl/>
        <w:spacing w:line="480" w:lineRule="auto"/>
        <w:ind w:firstLine="640" w:firstLineChars="200"/>
        <w:rPr>
          <w:rFonts w:hint="eastAsia" w:ascii="仿宋" w:hAnsi="仿宋" w:eastAsia="仿宋" w:cs="仿宋"/>
          <w:sz w:val="32"/>
          <w:szCs w:val="32"/>
        </w:rPr>
      </w:pPr>
      <w:r>
        <w:rPr>
          <w:rFonts w:hint="eastAsia" w:ascii="仿宋" w:hAnsi="仿宋" w:eastAsia="仿宋" w:cs="宋体"/>
          <w:kern w:val="0"/>
          <w:sz w:val="32"/>
          <w:szCs w:val="32"/>
        </w:rPr>
        <w:t>通过绩效评价综合分析</w:t>
      </w:r>
      <w:r>
        <w:rPr>
          <w:rFonts w:hint="eastAsia" w:ascii="仿宋" w:hAnsi="仿宋" w:eastAsia="仿宋" w:cs="宋体"/>
          <w:kern w:val="0"/>
          <w:sz w:val="32"/>
          <w:szCs w:val="32"/>
          <w:lang w:val="en-US" w:eastAsia="zh-CN"/>
        </w:rPr>
        <w:t>2021</w:t>
      </w:r>
      <w:r>
        <w:rPr>
          <w:rFonts w:hint="eastAsia" w:ascii="仿宋" w:hAnsi="仿宋" w:eastAsia="仿宋" w:cs="宋体"/>
          <w:kern w:val="0"/>
          <w:sz w:val="32"/>
          <w:szCs w:val="32"/>
        </w:rPr>
        <w:t>年我局组织实施的民政公共服务资金项目，项目立项依据充分，目标明确，资金及时到位，业务管理和财务管理制度健全、工作合规，建设项目基本按预定进度及时完成。效果方面，完善了养老服务体系，推动了我省殡葬事业改革工作，困难群众得到救助。本专项绩效自评打分为9</w:t>
      </w:r>
      <w:r>
        <w:rPr>
          <w:rFonts w:hint="eastAsia" w:ascii="仿宋" w:hAnsi="仿宋" w:eastAsia="仿宋" w:cs="宋体"/>
          <w:kern w:val="0"/>
          <w:sz w:val="32"/>
          <w:szCs w:val="32"/>
          <w:lang w:val="en-US" w:eastAsia="zh-CN"/>
        </w:rPr>
        <w:t>8</w:t>
      </w:r>
      <w:r>
        <w:rPr>
          <w:rFonts w:hint="eastAsia" w:ascii="仿宋" w:hAnsi="仿宋" w:eastAsia="仿宋" w:cs="宋体"/>
          <w:kern w:val="0"/>
          <w:sz w:val="32"/>
          <w:szCs w:val="32"/>
        </w:rPr>
        <w:t>分，工作活动情况为“优”。</w:t>
      </w: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各项绩效目标的实现程度及差异性原因分析。</w:t>
      </w:r>
    </w:p>
    <w:tbl>
      <w:tblPr>
        <w:tblStyle w:val="8"/>
        <w:tblW w:w="8501" w:type="dxa"/>
        <w:tblInd w:w="113" w:type="dxa"/>
        <w:shd w:val="clear" w:color="auto" w:fill="auto"/>
        <w:tblLayout w:type="fixed"/>
        <w:tblCellMar>
          <w:top w:w="0" w:type="dxa"/>
          <w:left w:w="108" w:type="dxa"/>
          <w:bottom w:w="0" w:type="dxa"/>
          <w:right w:w="108" w:type="dxa"/>
        </w:tblCellMar>
      </w:tblPr>
      <w:tblGrid>
        <w:gridCol w:w="3580"/>
        <w:gridCol w:w="1481"/>
        <w:gridCol w:w="1720"/>
        <w:gridCol w:w="1720"/>
      </w:tblGrid>
      <w:tr>
        <w:tblPrEx>
          <w:shd w:val="clear" w:color="auto" w:fill="auto"/>
          <w:tblCellMar>
            <w:top w:w="0" w:type="dxa"/>
            <w:left w:w="108" w:type="dxa"/>
            <w:bottom w:w="0" w:type="dxa"/>
            <w:right w:w="108" w:type="dxa"/>
          </w:tblCellMar>
        </w:tblPrEx>
        <w:trPr>
          <w:trHeight w:val="360" w:hRule="atLeast"/>
        </w:trPr>
        <w:tc>
          <w:tcPr>
            <w:tcW w:w="358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default" w:ascii="Arial" w:hAnsi="Arial" w:cs="Arial"/>
                <w:b/>
                <w:color w:val="000000"/>
                <w:kern w:val="0"/>
                <w:sz w:val="28"/>
                <w:szCs w:val="28"/>
                <w:lang w:val="en-US"/>
              </w:rPr>
            </w:pPr>
            <w:r>
              <w:rPr>
                <w:rFonts w:hint="default" w:ascii="Arial" w:hAnsi="Arial" w:eastAsia="宋体" w:cs="Arial"/>
                <w:b/>
                <w:color w:val="000000"/>
                <w:kern w:val="0"/>
                <w:sz w:val="28"/>
                <w:szCs w:val="28"/>
                <w:lang w:val="en-US" w:eastAsia="zh-CN" w:bidi="ar"/>
              </w:rPr>
              <w:t>2021</w:t>
            </w:r>
            <w:r>
              <w:rPr>
                <w:rFonts w:hint="eastAsia" w:ascii="宋体" w:hAnsi="宋体" w:eastAsia="宋体" w:cs="Arial"/>
                <w:b/>
                <w:color w:val="000000"/>
                <w:kern w:val="0"/>
                <w:sz w:val="28"/>
                <w:szCs w:val="28"/>
                <w:lang w:val="en-US" w:eastAsia="zh-CN" w:bidi="ar"/>
              </w:rPr>
              <w:t>年</w:t>
            </w:r>
          </w:p>
        </w:tc>
        <w:tc>
          <w:tcPr>
            <w:tcW w:w="1481"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Arial"/>
                <w:b/>
                <w:color w:val="000000"/>
                <w:kern w:val="0"/>
                <w:sz w:val="28"/>
                <w:szCs w:val="28"/>
                <w:lang w:val="en-US"/>
              </w:rPr>
            </w:pPr>
            <w:r>
              <w:rPr>
                <w:rFonts w:hint="eastAsia" w:ascii="宋体" w:hAnsi="宋体" w:eastAsia="宋体" w:cs="Arial"/>
                <w:b/>
                <w:color w:val="000000"/>
                <w:kern w:val="0"/>
                <w:sz w:val="28"/>
                <w:szCs w:val="28"/>
                <w:lang w:val="en-US" w:eastAsia="zh-CN" w:bidi="ar"/>
              </w:rPr>
              <w:t>预算</w:t>
            </w:r>
          </w:p>
        </w:tc>
        <w:tc>
          <w:tcPr>
            <w:tcW w:w="1720"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Arial"/>
                <w:b/>
                <w:color w:val="000000"/>
                <w:kern w:val="0"/>
                <w:sz w:val="28"/>
                <w:szCs w:val="28"/>
                <w:lang w:val="en-US"/>
              </w:rPr>
            </w:pPr>
            <w:r>
              <w:rPr>
                <w:rFonts w:hint="eastAsia" w:ascii="宋体" w:hAnsi="宋体" w:eastAsia="宋体" w:cs="Arial"/>
                <w:b/>
                <w:color w:val="000000"/>
                <w:kern w:val="0"/>
                <w:sz w:val="28"/>
                <w:szCs w:val="28"/>
                <w:lang w:val="en-US" w:eastAsia="zh-CN" w:bidi="ar"/>
              </w:rPr>
              <w:t>决算</w:t>
            </w:r>
          </w:p>
        </w:tc>
        <w:tc>
          <w:tcPr>
            <w:tcW w:w="1720"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Arial"/>
                <w:b/>
                <w:color w:val="000000"/>
                <w:kern w:val="0"/>
                <w:sz w:val="28"/>
                <w:szCs w:val="28"/>
                <w:lang w:val="en-US"/>
              </w:rPr>
            </w:pPr>
            <w:r>
              <w:rPr>
                <w:rFonts w:hint="eastAsia" w:ascii="宋体" w:hAnsi="宋体" w:eastAsia="宋体" w:cs="Arial"/>
                <w:b/>
                <w:color w:val="000000"/>
                <w:kern w:val="0"/>
                <w:sz w:val="28"/>
                <w:szCs w:val="28"/>
                <w:lang w:val="en-US" w:eastAsia="zh-CN" w:bidi="ar"/>
              </w:rPr>
              <w:t>差异原因</w:t>
            </w:r>
          </w:p>
        </w:tc>
      </w:tr>
      <w:tr>
        <w:tblPrEx>
          <w:shd w:val="clear" w:color="auto" w:fill="auto"/>
          <w:tblCellMar>
            <w:top w:w="0" w:type="dxa"/>
            <w:left w:w="108" w:type="dxa"/>
            <w:bottom w:w="0" w:type="dxa"/>
            <w:right w:w="108" w:type="dxa"/>
          </w:tblCellMar>
        </w:tblPrEx>
        <w:trPr>
          <w:trHeight w:val="744"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一、一般公共服务支出</w:t>
            </w:r>
          </w:p>
        </w:tc>
        <w:tc>
          <w:tcPr>
            <w:tcW w:w="14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158,000.00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158,000.00</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shd w:val="clear" w:color="auto" w:fill="auto"/>
          <w:tblCellMar>
            <w:top w:w="0" w:type="dxa"/>
            <w:left w:w="108" w:type="dxa"/>
            <w:bottom w:w="0" w:type="dxa"/>
            <w:right w:w="108" w:type="dxa"/>
          </w:tblCellMar>
        </w:tblPrEx>
        <w:trPr>
          <w:trHeight w:val="744"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八、社会保障和就业支出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23,048,500.00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80,469,863.63</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0"/>
                <w:szCs w:val="20"/>
                <w:lang w:val="en-US"/>
              </w:rPr>
            </w:pPr>
            <w:r>
              <w:rPr>
                <w:rFonts w:hint="eastAsia" w:ascii="宋体" w:hAnsi="宋体" w:eastAsia="宋体" w:cs="Arial"/>
                <w:color w:val="000000"/>
                <w:kern w:val="0"/>
                <w:sz w:val="20"/>
                <w:szCs w:val="20"/>
                <w:lang w:val="en-US" w:eastAsia="zh-CN" w:bidi="ar"/>
              </w:rPr>
              <w:t>本年度将不符合要求的低保五保剔除</w:t>
            </w:r>
          </w:p>
        </w:tc>
      </w:tr>
      <w:tr>
        <w:tblPrEx>
          <w:shd w:val="clear" w:color="auto" w:fill="auto"/>
          <w:tblCellMar>
            <w:top w:w="0" w:type="dxa"/>
            <w:left w:w="108" w:type="dxa"/>
            <w:bottom w:w="0" w:type="dxa"/>
            <w:right w:w="108" w:type="dxa"/>
          </w:tblCellMar>
        </w:tblPrEx>
        <w:trPr>
          <w:trHeight w:val="528"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九、卫生健康支出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112,600.00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89,151.07</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default" w:ascii="Arial" w:hAnsi="Arial" w:cs="Arial"/>
                <w:color w:val="000000"/>
                <w:kern w:val="0"/>
                <w:sz w:val="20"/>
                <w:szCs w:val="20"/>
                <w:lang w:val="en-US"/>
              </w:rPr>
            </w:pPr>
            <w:r>
              <w:rPr>
                <w:rFonts w:hint="eastAsia" w:ascii="宋体" w:hAnsi="宋体" w:eastAsia="宋体" w:cs="Arial"/>
                <w:color w:val="000000"/>
                <w:kern w:val="0"/>
                <w:sz w:val="20"/>
                <w:szCs w:val="20"/>
                <w:lang w:val="en-US" w:eastAsia="zh-CN" w:bidi="ar"/>
              </w:rPr>
              <w:t>退休</w:t>
            </w:r>
            <w:r>
              <w:rPr>
                <w:rFonts w:hint="default" w:ascii="Arial" w:hAnsi="Arial" w:eastAsia="宋体" w:cs="Arial"/>
                <w:color w:val="000000"/>
                <w:kern w:val="0"/>
                <w:sz w:val="20"/>
                <w:szCs w:val="20"/>
                <w:lang w:val="en-US" w:eastAsia="zh-CN" w:bidi="ar"/>
              </w:rPr>
              <w:t>1</w:t>
            </w:r>
            <w:r>
              <w:rPr>
                <w:rFonts w:hint="eastAsia" w:ascii="宋体" w:hAnsi="宋体" w:eastAsia="宋体" w:cs="Arial"/>
                <w:color w:val="000000"/>
                <w:kern w:val="0"/>
                <w:sz w:val="20"/>
                <w:szCs w:val="20"/>
                <w:lang w:val="en-US" w:eastAsia="zh-CN" w:bidi="ar"/>
              </w:rPr>
              <w:t>人，关系调走</w:t>
            </w:r>
            <w:r>
              <w:rPr>
                <w:rFonts w:hint="default" w:ascii="Arial" w:hAnsi="Arial" w:eastAsia="宋体" w:cs="Arial"/>
                <w:color w:val="000000"/>
                <w:kern w:val="0"/>
                <w:sz w:val="20"/>
                <w:szCs w:val="20"/>
                <w:lang w:val="en-US" w:eastAsia="zh-CN" w:bidi="ar"/>
              </w:rPr>
              <w:t>1</w:t>
            </w:r>
            <w:r>
              <w:rPr>
                <w:rFonts w:hint="eastAsia" w:ascii="宋体" w:hAnsi="宋体" w:eastAsia="宋体" w:cs="Arial"/>
                <w:color w:val="000000"/>
                <w:kern w:val="0"/>
                <w:sz w:val="20"/>
                <w:szCs w:val="20"/>
                <w:lang w:val="en-US" w:eastAsia="zh-CN" w:bidi="ar"/>
              </w:rPr>
              <w:t>人支出减少</w:t>
            </w:r>
          </w:p>
        </w:tc>
      </w:tr>
      <w:tr>
        <w:tblPrEx>
          <w:tblCellMar>
            <w:top w:w="0" w:type="dxa"/>
            <w:left w:w="108" w:type="dxa"/>
            <w:bottom w:w="0" w:type="dxa"/>
            <w:right w:w="108" w:type="dxa"/>
          </w:tblCellMar>
        </w:tblPrEx>
        <w:trPr>
          <w:trHeight w:val="528"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十一、城乡社区支出</w:t>
            </w:r>
          </w:p>
        </w:tc>
        <w:tc>
          <w:tcPr>
            <w:tcW w:w="14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500,000.00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500,000.00</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default" w:ascii="Arial" w:hAnsi="Arial" w:cs="Arial"/>
                <w:color w:val="000000"/>
                <w:kern w:val="0"/>
                <w:sz w:val="20"/>
                <w:szCs w:val="20"/>
                <w:lang w:val="en-US"/>
              </w:rPr>
            </w:pPr>
            <w:r>
              <w:rPr>
                <w:rFonts w:hint="default" w:ascii="Arial" w:hAnsi="Arial" w:eastAsia="宋体" w:cs="Arial"/>
                <w:color w:val="000000"/>
                <w:kern w:val="0"/>
                <w:sz w:val="20"/>
                <w:szCs w:val="20"/>
                <w:lang w:val="en-US" w:eastAsia="zh-CN" w:bidi="ar"/>
              </w:rPr>
              <w:t xml:space="preserve"> </w:t>
            </w:r>
          </w:p>
        </w:tc>
      </w:tr>
      <w:tr>
        <w:tblPrEx>
          <w:tblCellMar>
            <w:top w:w="0" w:type="dxa"/>
            <w:left w:w="108" w:type="dxa"/>
            <w:bottom w:w="0" w:type="dxa"/>
            <w:right w:w="108" w:type="dxa"/>
          </w:tblCellMar>
        </w:tblPrEx>
        <w:trPr>
          <w:trHeight w:val="528"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十九、住房保障支出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143,000.00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144,932.00</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widowControl/>
              <w:suppressLineNumbers w:val="0"/>
              <w:spacing w:before="0" w:beforeAutospacing="0" w:after="0" w:afterAutospacing="0"/>
              <w:ind w:left="0" w:right="0"/>
              <w:jc w:val="left"/>
              <w:rPr>
                <w:rFonts w:hint="default" w:ascii="Arial" w:hAnsi="Arial" w:cs="Arial"/>
                <w:color w:val="000000"/>
                <w:kern w:val="0"/>
                <w:sz w:val="20"/>
                <w:szCs w:val="20"/>
                <w:lang w:val="en-US"/>
              </w:rPr>
            </w:pPr>
            <w:r>
              <w:rPr>
                <w:rFonts w:hint="eastAsia" w:ascii="宋体" w:hAnsi="宋体" w:eastAsia="宋体" w:cs="Arial"/>
                <w:color w:val="000000"/>
                <w:kern w:val="0"/>
                <w:sz w:val="20"/>
                <w:szCs w:val="20"/>
                <w:lang w:val="en-US" w:eastAsia="zh-CN" w:bidi="ar"/>
              </w:rPr>
              <w:t>退休</w:t>
            </w:r>
            <w:r>
              <w:rPr>
                <w:rFonts w:hint="default" w:ascii="Arial" w:hAnsi="Arial" w:eastAsia="宋体" w:cs="Arial"/>
                <w:color w:val="000000"/>
                <w:kern w:val="0"/>
                <w:sz w:val="20"/>
                <w:szCs w:val="20"/>
                <w:lang w:val="en-US" w:eastAsia="zh-CN" w:bidi="ar"/>
              </w:rPr>
              <w:t>1</w:t>
            </w:r>
            <w:r>
              <w:rPr>
                <w:rFonts w:hint="eastAsia" w:ascii="宋体" w:hAnsi="宋体" w:eastAsia="宋体" w:cs="Arial"/>
                <w:color w:val="000000"/>
                <w:kern w:val="0"/>
                <w:sz w:val="20"/>
                <w:szCs w:val="20"/>
                <w:lang w:val="en-US" w:eastAsia="zh-CN" w:bidi="ar"/>
              </w:rPr>
              <w:t>人，关系调走</w:t>
            </w:r>
            <w:r>
              <w:rPr>
                <w:rFonts w:hint="default" w:ascii="Arial" w:hAnsi="Arial" w:eastAsia="宋体" w:cs="Arial"/>
                <w:color w:val="000000"/>
                <w:kern w:val="0"/>
                <w:sz w:val="20"/>
                <w:szCs w:val="20"/>
                <w:lang w:val="en-US" w:eastAsia="zh-CN" w:bidi="ar"/>
              </w:rPr>
              <w:t>1</w:t>
            </w:r>
            <w:r>
              <w:rPr>
                <w:rFonts w:hint="eastAsia" w:ascii="宋体" w:hAnsi="宋体" w:eastAsia="宋体" w:cs="Arial"/>
                <w:color w:val="000000"/>
                <w:kern w:val="0"/>
                <w:sz w:val="20"/>
                <w:szCs w:val="20"/>
                <w:lang w:val="en-US" w:eastAsia="zh-CN" w:bidi="ar"/>
              </w:rPr>
              <w:t>人支出减少</w:t>
            </w:r>
          </w:p>
        </w:tc>
      </w:tr>
      <w:tr>
        <w:tblPrEx>
          <w:tblCellMar>
            <w:top w:w="0" w:type="dxa"/>
            <w:left w:w="108" w:type="dxa"/>
            <w:bottom w:w="0" w:type="dxa"/>
            <w:right w:w="108" w:type="dxa"/>
          </w:tblCellMar>
        </w:tblPrEx>
        <w:trPr>
          <w:trHeight w:val="504"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default" w:cs="Arial"/>
                <w:color w:val="000000"/>
                <w:kern w:val="0"/>
                <w:sz w:val="22"/>
                <w:szCs w:val="22"/>
                <w:lang w:val="en-US"/>
              </w:rPr>
            </w:pPr>
            <w:r>
              <w:rPr>
                <w:rFonts w:hint="eastAsia" w:ascii="Times New Roman" w:hAnsi="Times New Roman" w:eastAsia="宋体" w:cs="Arial"/>
                <w:color w:val="000000"/>
                <w:kern w:val="2"/>
                <w:sz w:val="22"/>
                <w:szCs w:val="22"/>
                <w:lang w:val="en-US" w:eastAsia="zh-CN" w:bidi="ar"/>
              </w:rPr>
              <w:t>二十二、灾害防治及应急管理支出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100,000.00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100,000.00</w:t>
            </w:r>
          </w:p>
        </w:tc>
        <w:tc>
          <w:tcPr>
            <w:tcW w:w="1720" w:type="dxa"/>
            <w:tcBorders>
              <w:top w:val="nil"/>
              <w:left w:val="nil"/>
              <w:bottom w:val="single" w:color="auto" w:sz="4" w:space="0"/>
              <w:right w:val="single" w:color="auto" w:sz="4" w:space="0"/>
            </w:tcBorders>
            <w:shd w:val="clear" w:color="auto" w:fill="auto"/>
            <w:vAlign w:val="bottom"/>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CellMar>
            <w:top w:w="0" w:type="dxa"/>
            <w:left w:w="108" w:type="dxa"/>
            <w:bottom w:w="0" w:type="dxa"/>
            <w:right w:w="108" w:type="dxa"/>
          </w:tblCellMar>
        </w:tblPrEx>
        <w:trPr>
          <w:trHeight w:val="288" w:hRule="atLeast"/>
        </w:trPr>
        <w:tc>
          <w:tcPr>
            <w:tcW w:w="3580" w:type="dxa"/>
            <w:tcBorders>
              <w:top w:val="nil"/>
              <w:left w:val="single" w:color="auto" w:sz="4" w:space="0"/>
              <w:bottom w:val="single" w:color="auto" w:sz="4" w:space="0"/>
              <w:right w:val="single" w:color="auto" w:sz="4" w:space="0"/>
            </w:tcBorders>
            <w:shd w:val="clear" w:color="auto" w:fill="C0C0C0"/>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二十三、其他支出</w:t>
            </w:r>
          </w:p>
        </w:tc>
        <w:tc>
          <w:tcPr>
            <w:tcW w:w="148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Arial"/>
                <w:color w:val="000000"/>
                <w:kern w:val="0"/>
                <w:sz w:val="22"/>
                <w:szCs w:val="22"/>
                <w:lang w:val="en-US"/>
              </w:rPr>
            </w:pPr>
            <w:r>
              <w:rPr>
                <w:rFonts w:hint="eastAsia" w:ascii="宋体" w:hAnsi="宋体" w:eastAsia="宋体" w:cs="Arial"/>
                <w:color w:val="000000"/>
                <w:kern w:val="0"/>
                <w:sz w:val="22"/>
                <w:szCs w:val="22"/>
                <w:lang w:val="en-US" w:eastAsia="zh-CN" w:bidi="ar"/>
              </w:rPr>
              <w:t>0.00</w:t>
            </w:r>
          </w:p>
        </w:tc>
        <w:tc>
          <w:tcPr>
            <w:tcW w:w="1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Arial"/>
                <w:color w:val="000000"/>
                <w:kern w:val="0"/>
                <w:sz w:val="22"/>
                <w:szCs w:val="22"/>
                <w:lang w:val="en-US"/>
              </w:rPr>
            </w:pPr>
            <w:r>
              <w:rPr>
                <w:rFonts w:hint="default" w:ascii="Times New Roman" w:hAnsi="Times New Roman" w:eastAsia="宋体" w:cs="Arial"/>
                <w:color w:val="000000"/>
                <w:kern w:val="2"/>
                <w:sz w:val="22"/>
                <w:szCs w:val="22"/>
                <w:lang w:val="en-US" w:eastAsia="zh-CN" w:bidi="ar"/>
              </w:rPr>
              <w:t>6,084,685.72</w:t>
            </w:r>
          </w:p>
        </w:tc>
        <w:tc>
          <w:tcPr>
            <w:tcW w:w="172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eastAsia" w:ascii="宋体" w:hAnsi="宋体" w:eastAsia="宋体" w:cs="Arial"/>
                <w:color w:val="000000"/>
                <w:kern w:val="0"/>
                <w:sz w:val="20"/>
                <w:szCs w:val="20"/>
                <w:lang w:val="en-US"/>
              </w:rPr>
            </w:pPr>
            <w:r>
              <w:rPr>
                <w:rFonts w:hint="eastAsia" w:ascii="宋体" w:hAnsi="宋体" w:eastAsia="宋体" w:cs="Arial"/>
                <w:color w:val="000000"/>
                <w:kern w:val="0"/>
                <w:sz w:val="20"/>
                <w:szCs w:val="20"/>
                <w:lang w:val="en-US" w:eastAsia="zh-CN" w:bidi="ar"/>
              </w:rPr>
              <w:t>养老服务体系支出增加</w:t>
            </w:r>
          </w:p>
        </w:tc>
      </w:tr>
      <w:tr>
        <w:trPr>
          <w:trHeight w:val="348" w:hRule="atLeast"/>
        </w:trPr>
        <w:tc>
          <w:tcPr>
            <w:tcW w:w="3580" w:type="dxa"/>
            <w:tcBorders>
              <w:top w:val="nil"/>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center"/>
              <w:rPr>
                <w:rFonts w:hint="eastAsia" w:ascii="宋体" w:hAnsi="宋体" w:eastAsia="宋体" w:cs="Arial"/>
                <w:b/>
                <w:color w:val="000000"/>
                <w:kern w:val="0"/>
                <w:sz w:val="28"/>
                <w:szCs w:val="28"/>
                <w:lang w:val="en-US"/>
              </w:rPr>
            </w:pPr>
            <w:r>
              <w:rPr>
                <w:rFonts w:hint="eastAsia" w:ascii="宋体" w:hAnsi="宋体" w:eastAsia="宋体" w:cs="Arial"/>
                <w:b/>
                <w:color w:val="000000"/>
                <w:kern w:val="0"/>
                <w:sz w:val="28"/>
                <w:szCs w:val="28"/>
                <w:lang w:val="en-US" w:eastAsia="zh-CN" w:bidi="ar"/>
              </w:rPr>
              <w:t>合计</w:t>
            </w:r>
          </w:p>
        </w:tc>
        <w:tc>
          <w:tcPr>
            <w:tcW w:w="1481"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Arial" w:hAnsi="Arial" w:cs="Arial"/>
                <w:color w:val="000000"/>
                <w:kern w:val="0"/>
                <w:sz w:val="20"/>
                <w:szCs w:val="20"/>
                <w:lang w:val="en-US"/>
              </w:rPr>
            </w:pPr>
            <w:r>
              <w:rPr>
                <w:rFonts w:hint="default" w:ascii="Arial" w:hAnsi="Arial" w:eastAsia="宋体" w:cs="Arial"/>
                <w:color w:val="000000"/>
                <w:kern w:val="0"/>
                <w:sz w:val="20"/>
                <w:szCs w:val="20"/>
                <w:lang w:val="en-US" w:eastAsia="zh-CN" w:bidi="ar"/>
              </w:rPr>
              <w:t>24062100</w:t>
            </w:r>
          </w:p>
        </w:tc>
        <w:tc>
          <w:tcPr>
            <w:tcW w:w="172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Arial" w:hAnsi="Arial" w:cs="Arial"/>
                <w:color w:val="000000"/>
                <w:kern w:val="0"/>
                <w:sz w:val="20"/>
                <w:szCs w:val="20"/>
                <w:lang w:val="en-US"/>
              </w:rPr>
            </w:pPr>
            <w:r>
              <w:rPr>
                <w:rFonts w:hint="default" w:ascii="Arial" w:hAnsi="Arial" w:eastAsia="宋体" w:cs="Arial"/>
                <w:color w:val="000000"/>
                <w:kern w:val="0"/>
                <w:sz w:val="20"/>
                <w:szCs w:val="20"/>
                <w:lang w:val="en-US" w:eastAsia="zh-CN" w:bidi="ar"/>
              </w:rPr>
              <w:t>87546632.42</w:t>
            </w:r>
          </w:p>
        </w:tc>
        <w:tc>
          <w:tcPr>
            <w:tcW w:w="172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left"/>
              <w:rPr>
                <w:rFonts w:hint="default" w:ascii="Arial" w:hAnsi="Arial" w:cs="Arial"/>
                <w:color w:val="000000"/>
                <w:kern w:val="0"/>
                <w:sz w:val="20"/>
                <w:szCs w:val="20"/>
                <w:lang w:val="en-US"/>
              </w:rPr>
            </w:pPr>
            <w:r>
              <w:rPr>
                <w:rFonts w:hint="eastAsia" w:ascii="Arial" w:hAnsi="Arial" w:eastAsia="宋体" w:cs="Arial"/>
                <w:color w:val="000000"/>
                <w:kern w:val="0"/>
                <w:sz w:val="20"/>
                <w:szCs w:val="20"/>
                <w:lang w:val="en-US" w:eastAsia="zh-CN" w:bidi="ar"/>
              </w:rPr>
              <w:t>　</w:t>
            </w:r>
          </w:p>
        </w:tc>
      </w:tr>
    </w:tbl>
    <w:p>
      <w:pPr>
        <w:pStyle w:val="17"/>
        <w:numPr>
          <w:ilvl w:val="0"/>
          <w:numId w:val="0"/>
        </w:numPr>
        <w:ind w:left="709" w:leftChars="0"/>
        <w:rPr>
          <w:rFonts w:ascii="黑体" w:hAnsi="黑体" w:eastAsia="黑体" w:cs="仿宋"/>
          <w:sz w:val="32"/>
          <w:szCs w:val="32"/>
        </w:rPr>
      </w:pP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存在问题、</w:t>
      </w:r>
    </w:p>
    <w:p>
      <w:pPr>
        <w:pStyle w:val="17"/>
        <w:numPr>
          <w:ilvl w:val="0"/>
          <w:numId w:val="0"/>
        </w:numPr>
        <w:ind w:left="709" w:leftChars="0"/>
        <w:rPr>
          <w:rFonts w:hint="eastAsia" w:ascii="黑体" w:hAnsi="黑体" w:eastAsia="黑体" w:cs="仿宋"/>
          <w:sz w:val="32"/>
          <w:szCs w:val="32"/>
          <w:lang w:eastAsia="zh-CN"/>
        </w:rPr>
      </w:pPr>
      <w:r>
        <w:rPr>
          <w:rFonts w:hint="eastAsia" w:ascii="黑体" w:hAnsi="黑体" w:eastAsia="黑体" w:cs="仿宋"/>
          <w:sz w:val="32"/>
          <w:szCs w:val="32"/>
          <w:lang w:eastAsia="zh-CN"/>
        </w:rPr>
        <w:t>无</w:t>
      </w:r>
    </w:p>
    <w:p>
      <w:pPr>
        <w:pStyle w:val="17"/>
        <w:numPr>
          <w:ilvl w:val="0"/>
          <w:numId w:val="2"/>
        </w:numPr>
        <w:ind w:firstLineChars="0"/>
        <w:rPr>
          <w:rFonts w:ascii="黑体" w:hAnsi="黑体" w:eastAsia="黑体" w:cs="仿宋"/>
          <w:sz w:val="32"/>
          <w:szCs w:val="32"/>
        </w:rPr>
      </w:pPr>
      <w:r>
        <w:rPr>
          <w:rFonts w:hint="eastAsia" w:ascii="黑体" w:hAnsi="黑体" w:eastAsia="黑体" w:cs="仿宋"/>
          <w:sz w:val="32"/>
          <w:szCs w:val="32"/>
        </w:rPr>
        <w:t>采取的纠偏措施及改进绩效管理建议。</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宋体"/>
          <w:kern w:val="0"/>
          <w:sz w:val="32"/>
          <w:szCs w:val="32"/>
        </w:rPr>
      </w:pPr>
      <w:r>
        <w:rPr>
          <w:rFonts w:hint="eastAsia" w:ascii="仿宋" w:hAnsi="仿宋" w:eastAsia="仿宋" w:cs="宋体"/>
          <w:kern w:val="0"/>
          <w:sz w:val="32"/>
          <w:szCs w:val="32"/>
        </w:rPr>
        <w:t>（一）进一步建立健全社会救助体系，切实抓好城乡低保救助、临时救助、慈善救助等工作，做到精准实施。</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（二）全面落实特困人员救助供养制度，同时加强对乡镇敬老院管理工作。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（三）继续抓好扶贫政策与社会救助政策的衔接配合，落实社会救助保障兜底工作。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（四）进一步加大农村留守儿童关爱服务体系建设，加强对农村留守儿童、困境儿童、孤残儿童等未成年人的关爱保护。</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（五）继续抓好区社会福利中心项目建设工作。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（六）继续抓好城乡居家养老点建设和运行工作，加大政府购买养老服务力度。</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（七）规范养老市场发展，积极鼓励、引导民间养老机构规范有序投资运营，同时加大对非法养老机构的整治力度，净化养老市场。</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（八）积极开展残疾人“两项补贴”专项清理整顿和补贴发放工作。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（九）继续加大对社会组织规范运行的监督和管理。</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（十）加大对城乡社区建设的指导力度，推进社区服务的精细化、便民化和功能化。</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（十一）继续抓好地名普查工作的成果转化运用工作。</w:t>
      </w:r>
    </w:p>
    <w:p>
      <w:pPr>
        <w:keepNext w:val="0"/>
        <w:keepLines w:val="0"/>
        <w:pageBreakBefore w:val="0"/>
        <w:widowControl/>
        <w:kinsoku/>
        <w:wordWrap/>
        <w:overflowPunct/>
        <w:topLinePunct w:val="0"/>
        <w:autoSpaceDE/>
        <w:autoSpaceDN/>
        <w:bidi w:val="0"/>
        <w:adjustRightInd/>
        <w:snapToGrid/>
        <w:spacing w:line="500" w:lineRule="exact"/>
        <w:ind w:firstLine="480"/>
        <w:textAlignment w:val="auto"/>
        <w:rPr>
          <w:rFonts w:ascii="仿宋" w:hAnsi="仿宋" w:eastAsia="仿宋" w:cs="宋体"/>
          <w:kern w:val="0"/>
          <w:sz w:val="32"/>
          <w:szCs w:val="32"/>
        </w:rPr>
      </w:pPr>
      <w:r>
        <w:rPr>
          <w:rFonts w:hint="eastAsia" w:ascii="仿宋" w:hAnsi="仿宋" w:eastAsia="仿宋" w:cs="宋体"/>
          <w:kern w:val="0"/>
          <w:sz w:val="32"/>
          <w:szCs w:val="32"/>
        </w:rPr>
        <w:t>（十二）加强殡葬治理工作，推动移风易俗。</w:t>
      </w:r>
    </w:p>
    <w:p>
      <w:pPr>
        <w:pStyle w:val="17"/>
        <w:keepNext w:val="0"/>
        <w:keepLines w:val="0"/>
        <w:pageBreakBefore w:val="0"/>
        <w:numPr>
          <w:ilvl w:val="0"/>
          <w:numId w:val="0"/>
        </w:numPr>
        <w:kinsoku/>
        <w:wordWrap/>
        <w:overflowPunct/>
        <w:topLinePunct w:val="0"/>
        <w:autoSpaceDE/>
        <w:autoSpaceDN/>
        <w:bidi w:val="0"/>
        <w:adjustRightInd/>
        <w:snapToGrid/>
        <w:spacing w:line="500" w:lineRule="exact"/>
        <w:ind w:left="709" w:leftChars="0"/>
        <w:textAlignment w:val="auto"/>
        <w:rPr>
          <w:rFonts w:ascii="黑体" w:hAnsi="黑体" w:eastAsia="黑体" w:cs="仿宋"/>
          <w:sz w:val="32"/>
          <w:szCs w:val="32"/>
        </w:rPr>
      </w:pP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Fonts w:ascii="宋体" w:hAnsi="宋体" w:eastAsia="宋体"/>
        <w:sz w:val="28"/>
        <w:szCs w:val="28"/>
      </w:rPr>
    </w:pPr>
    <w:r>
      <w:rPr>
        <w:rStyle w:val="11"/>
        <w:rFonts w:hint="eastAsia" w:ascii="宋体" w:hAnsi="宋体" w:eastAsia="宋体"/>
        <w:sz w:val="28"/>
        <w:szCs w:val="28"/>
      </w:rPr>
      <w:t>-</w:t>
    </w:r>
    <w:r>
      <w:rPr>
        <w:rStyle w:val="11"/>
        <w:rFonts w:ascii="宋体" w:hAnsi="宋体" w:eastAsia="宋体"/>
        <w:sz w:val="28"/>
        <w:szCs w:val="28"/>
      </w:rPr>
      <w:fldChar w:fldCharType="begin"/>
    </w:r>
    <w:r>
      <w:rPr>
        <w:rStyle w:val="11"/>
        <w:rFonts w:ascii="宋体" w:hAnsi="宋体" w:eastAsia="宋体"/>
        <w:sz w:val="28"/>
        <w:szCs w:val="28"/>
      </w:rPr>
      <w:instrText xml:space="preserve">PAGE  </w:instrText>
    </w:r>
    <w:r>
      <w:rPr>
        <w:rStyle w:val="11"/>
        <w:rFonts w:ascii="宋体" w:hAnsi="宋体" w:eastAsia="宋体"/>
        <w:sz w:val="28"/>
        <w:szCs w:val="28"/>
      </w:rPr>
      <w:fldChar w:fldCharType="separate"/>
    </w:r>
    <w:r>
      <w:rPr>
        <w:rStyle w:val="11"/>
        <w:rFonts w:ascii="宋体" w:hAnsi="宋体" w:eastAsia="宋体"/>
        <w:sz w:val="28"/>
        <w:szCs w:val="28"/>
      </w:rPr>
      <w:t>7</w:t>
    </w:r>
    <w:r>
      <w:rPr>
        <w:rStyle w:val="11"/>
        <w:rFonts w:ascii="宋体" w:hAnsi="宋体" w:eastAsia="宋体"/>
        <w:sz w:val="28"/>
        <w:szCs w:val="28"/>
      </w:rPr>
      <w:fldChar w:fldCharType="end"/>
    </w:r>
    <w:r>
      <w:rPr>
        <w:rStyle w:val="11"/>
        <w:rFonts w:hint="eastAsia" w:ascii="宋体" w:hAnsi="宋体" w:eastAsia="宋体"/>
        <w:sz w:val="28"/>
        <w:szCs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57F577"/>
    <w:multiLevelType w:val="singleLevel"/>
    <w:tmpl w:val="2257F577"/>
    <w:lvl w:ilvl="0" w:tentative="0">
      <w:start w:val="1"/>
      <w:numFmt w:val="chineseCounting"/>
      <w:suff w:val="nothing"/>
      <w:lvlText w:val="（%1）"/>
      <w:lvlJc w:val="left"/>
      <w:rPr>
        <w:rFonts w:hint="eastAsia"/>
      </w:rPr>
    </w:lvl>
  </w:abstractNum>
  <w:abstractNum w:abstractNumId="1">
    <w:nsid w:val="4DE332E9"/>
    <w:multiLevelType w:val="multilevel"/>
    <w:tmpl w:val="4DE332E9"/>
    <w:lvl w:ilvl="0" w:tentative="0">
      <w:start w:val="1"/>
      <w:numFmt w:val="japaneseCounting"/>
      <w:lvlText w:val="%1、"/>
      <w:lvlJc w:val="left"/>
      <w:pPr>
        <w:ind w:left="1429" w:hanging="720"/>
      </w:pPr>
      <w:rPr>
        <w:rFonts w:hint="default"/>
        <w:lang w:val="en-US"/>
      </w:rPr>
    </w:lvl>
    <w:lvl w:ilvl="1" w:tentative="0">
      <w:start w:val="1"/>
      <w:numFmt w:val="lowerLetter"/>
      <w:lvlText w:val="%2)"/>
      <w:lvlJc w:val="left"/>
      <w:pPr>
        <w:ind w:left="1419" w:hanging="420"/>
      </w:pPr>
    </w:lvl>
    <w:lvl w:ilvl="2" w:tentative="0">
      <w:start w:val="1"/>
      <w:numFmt w:val="lowerRoman"/>
      <w:lvlText w:val="%3."/>
      <w:lvlJc w:val="right"/>
      <w:pPr>
        <w:ind w:left="1839" w:hanging="420"/>
      </w:pPr>
    </w:lvl>
    <w:lvl w:ilvl="3" w:tentative="0">
      <w:start w:val="1"/>
      <w:numFmt w:val="decimal"/>
      <w:lvlText w:val="%4."/>
      <w:lvlJc w:val="left"/>
      <w:pPr>
        <w:ind w:left="2259" w:hanging="420"/>
      </w:pPr>
    </w:lvl>
    <w:lvl w:ilvl="4" w:tentative="0">
      <w:start w:val="1"/>
      <w:numFmt w:val="lowerLetter"/>
      <w:lvlText w:val="%5)"/>
      <w:lvlJc w:val="left"/>
      <w:pPr>
        <w:ind w:left="2679" w:hanging="420"/>
      </w:pPr>
    </w:lvl>
    <w:lvl w:ilvl="5" w:tentative="0">
      <w:start w:val="1"/>
      <w:numFmt w:val="lowerRoman"/>
      <w:lvlText w:val="%6."/>
      <w:lvlJc w:val="right"/>
      <w:pPr>
        <w:ind w:left="3099" w:hanging="420"/>
      </w:pPr>
    </w:lvl>
    <w:lvl w:ilvl="6" w:tentative="0">
      <w:start w:val="1"/>
      <w:numFmt w:val="decimal"/>
      <w:lvlText w:val="%7."/>
      <w:lvlJc w:val="left"/>
      <w:pPr>
        <w:ind w:left="3519" w:hanging="420"/>
      </w:pPr>
    </w:lvl>
    <w:lvl w:ilvl="7" w:tentative="0">
      <w:start w:val="1"/>
      <w:numFmt w:val="lowerLetter"/>
      <w:lvlText w:val="%8)"/>
      <w:lvlJc w:val="left"/>
      <w:pPr>
        <w:ind w:left="3939" w:hanging="420"/>
      </w:pPr>
    </w:lvl>
    <w:lvl w:ilvl="8" w:tentative="0">
      <w:start w:val="1"/>
      <w:numFmt w:val="lowerRoman"/>
      <w:lvlText w:val="%9."/>
      <w:lvlJc w:val="right"/>
      <w:pPr>
        <w:ind w:left="4359" w:hanging="420"/>
      </w:pPr>
    </w:lvl>
  </w:abstractNum>
  <w:abstractNum w:abstractNumId="2">
    <w:nsid w:val="5754B5B0"/>
    <w:multiLevelType w:val="singleLevel"/>
    <w:tmpl w:val="5754B5B0"/>
    <w:lvl w:ilvl="0" w:tentative="0">
      <w:start w:val="3"/>
      <w:numFmt w:val="chineseCounting"/>
      <w:suff w:val="nothing"/>
      <w:lvlText w:val="（%1）"/>
      <w:lvlJc w:val="left"/>
      <w:pPr>
        <w:ind w:left="480" w:leftChars="0" w:firstLine="0" w:firstLineChars="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31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042933"/>
    <w:rsid w:val="00002F2C"/>
    <w:rsid w:val="000070A8"/>
    <w:rsid w:val="00016CA4"/>
    <w:rsid w:val="000324AE"/>
    <w:rsid w:val="00042933"/>
    <w:rsid w:val="00074438"/>
    <w:rsid w:val="0008033E"/>
    <w:rsid w:val="00083780"/>
    <w:rsid w:val="0008759D"/>
    <w:rsid w:val="00094F2B"/>
    <w:rsid w:val="000B0A83"/>
    <w:rsid w:val="000B6322"/>
    <w:rsid w:val="000C2CC1"/>
    <w:rsid w:val="000E4A5A"/>
    <w:rsid w:val="00103547"/>
    <w:rsid w:val="00136EC7"/>
    <w:rsid w:val="0017068B"/>
    <w:rsid w:val="00185A3C"/>
    <w:rsid w:val="00192D5A"/>
    <w:rsid w:val="001C59B3"/>
    <w:rsid w:val="001D49CC"/>
    <w:rsid w:val="001E0886"/>
    <w:rsid w:val="001F7E31"/>
    <w:rsid w:val="002071BC"/>
    <w:rsid w:val="00225AE6"/>
    <w:rsid w:val="002270EB"/>
    <w:rsid w:val="00235F0F"/>
    <w:rsid w:val="00255783"/>
    <w:rsid w:val="00290BA1"/>
    <w:rsid w:val="002A6AEA"/>
    <w:rsid w:val="002F07DF"/>
    <w:rsid w:val="002F2268"/>
    <w:rsid w:val="003C50C2"/>
    <w:rsid w:val="0041099F"/>
    <w:rsid w:val="00436A1D"/>
    <w:rsid w:val="004379D7"/>
    <w:rsid w:val="004A68B1"/>
    <w:rsid w:val="004B64F3"/>
    <w:rsid w:val="004E3B64"/>
    <w:rsid w:val="005020C5"/>
    <w:rsid w:val="00567FE6"/>
    <w:rsid w:val="0058162A"/>
    <w:rsid w:val="005B2327"/>
    <w:rsid w:val="005B3616"/>
    <w:rsid w:val="005E12FA"/>
    <w:rsid w:val="006279F4"/>
    <w:rsid w:val="00683167"/>
    <w:rsid w:val="006A1CCC"/>
    <w:rsid w:val="006A5056"/>
    <w:rsid w:val="006E64C9"/>
    <w:rsid w:val="007048FF"/>
    <w:rsid w:val="00712100"/>
    <w:rsid w:val="0071700D"/>
    <w:rsid w:val="00742652"/>
    <w:rsid w:val="00752E24"/>
    <w:rsid w:val="00756EFC"/>
    <w:rsid w:val="00772600"/>
    <w:rsid w:val="007D5D41"/>
    <w:rsid w:val="007F01F9"/>
    <w:rsid w:val="00856BA1"/>
    <w:rsid w:val="00867620"/>
    <w:rsid w:val="008709E0"/>
    <w:rsid w:val="008A6A10"/>
    <w:rsid w:val="008A6A31"/>
    <w:rsid w:val="008C54C8"/>
    <w:rsid w:val="00904AF4"/>
    <w:rsid w:val="00905542"/>
    <w:rsid w:val="00917700"/>
    <w:rsid w:val="00921750"/>
    <w:rsid w:val="00956F74"/>
    <w:rsid w:val="009841E5"/>
    <w:rsid w:val="009B0B5F"/>
    <w:rsid w:val="009C04DA"/>
    <w:rsid w:val="009C4C62"/>
    <w:rsid w:val="009E3627"/>
    <w:rsid w:val="009F53E7"/>
    <w:rsid w:val="00A11BF8"/>
    <w:rsid w:val="00A14A33"/>
    <w:rsid w:val="00A6449D"/>
    <w:rsid w:val="00A768DB"/>
    <w:rsid w:val="00AA09C8"/>
    <w:rsid w:val="00AD5F30"/>
    <w:rsid w:val="00B0681D"/>
    <w:rsid w:val="00B56C08"/>
    <w:rsid w:val="00B9023F"/>
    <w:rsid w:val="00BC1FDC"/>
    <w:rsid w:val="00BD0FD8"/>
    <w:rsid w:val="00C44804"/>
    <w:rsid w:val="00C6362A"/>
    <w:rsid w:val="00C81363"/>
    <w:rsid w:val="00CB27A5"/>
    <w:rsid w:val="00CD55ED"/>
    <w:rsid w:val="00CD63C0"/>
    <w:rsid w:val="00CE62A0"/>
    <w:rsid w:val="00D21F0C"/>
    <w:rsid w:val="00D366C1"/>
    <w:rsid w:val="00D36CB5"/>
    <w:rsid w:val="00D877F7"/>
    <w:rsid w:val="00DB2D43"/>
    <w:rsid w:val="00E266F1"/>
    <w:rsid w:val="00E924C0"/>
    <w:rsid w:val="00EB16A8"/>
    <w:rsid w:val="00EC7904"/>
    <w:rsid w:val="00F72E93"/>
    <w:rsid w:val="00F87A11"/>
    <w:rsid w:val="00FB2D24"/>
    <w:rsid w:val="00FB7E01"/>
    <w:rsid w:val="00FE5F4C"/>
    <w:rsid w:val="00FF39F6"/>
    <w:rsid w:val="05374814"/>
    <w:rsid w:val="09BF781E"/>
    <w:rsid w:val="0C8F0285"/>
    <w:rsid w:val="0F8F6BFC"/>
    <w:rsid w:val="0F9C612B"/>
    <w:rsid w:val="107166F3"/>
    <w:rsid w:val="197C4A8C"/>
    <w:rsid w:val="1C841DE7"/>
    <w:rsid w:val="260B0B18"/>
    <w:rsid w:val="3791647A"/>
    <w:rsid w:val="44625D89"/>
    <w:rsid w:val="455969D8"/>
    <w:rsid w:val="48725571"/>
    <w:rsid w:val="4BDB04ED"/>
    <w:rsid w:val="526A3656"/>
    <w:rsid w:val="53CD5365"/>
    <w:rsid w:val="55B46B7B"/>
    <w:rsid w:val="5D643D56"/>
    <w:rsid w:val="64283056"/>
    <w:rsid w:val="67B51CC9"/>
    <w:rsid w:val="69BD0A47"/>
    <w:rsid w:val="6CC22C47"/>
    <w:rsid w:val="71A911C9"/>
    <w:rsid w:val="74140182"/>
    <w:rsid w:val="7793669D"/>
    <w:rsid w:val="7AD52EC6"/>
    <w:rsid w:val="7CCC21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styleId="4">
    <w:name w:val="Plain Text"/>
    <w:basedOn w:val="1"/>
    <w:link w:val="14"/>
    <w:qFormat/>
    <w:uiPriority w:val="0"/>
    <w:rPr>
      <w:rFonts w:ascii="宋体" w:hAnsi="Courier New" w:eastAsia="宋体" w:cs="Courier New"/>
      <w:szCs w:val="21"/>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page number"/>
    <w:basedOn w:val="9"/>
    <w:semiHidden/>
    <w:unhideWhenUsed/>
    <w:qFormat/>
    <w:uiPriority w:val="99"/>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纯文本 Char"/>
    <w:basedOn w:val="9"/>
    <w:link w:val="4"/>
    <w:qFormat/>
    <w:uiPriority w:val="0"/>
    <w:rPr>
      <w:rFonts w:ascii="宋体" w:hAnsi="Courier New" w:eastAsia="宋体" w:cs="Courier New"/>
      <w:szCs w:val="21"/>
    </w:rPr>
  </w:style>
  <w:style w:type="character" w:customStyle="1" w:styleId="15">
    <w:name w:val="标题 1 Char"/>
    <w:basedOn w:val="9"/>
    <w:link w:val="2"/>
    <w:qFormat/>
    <w:uiPriority w:val="9"/>
    <w:rPr>
      <w:rFonts w:ascii="宋体" w:hAnsi="宋体" w:eastAsia="宋体" w:cs="宋体"/>
      <w:b/>
      <w:kern w:val="44"/>
      <w:sz w:val="48"/>
      <w:szCs w:val="48"/>
    </w:rPr>
  </w:style>
  <w:style w:type="character" w:customStyle="1" w:styleId="16">
    <w:name w:val="font31"/>
    <w:basedOn w:val="9"/>
    <w:qFormat/>
    <w:uiPriority w:val="0"/>
    <w:rPr>
      <w:rFonts w:hint="eastAsia" w:ascii="宋体" w:hAnsi="宋体" w:eastAsia="宋体" w:cs="宋体"/>
      <w:b/>
      <w:color w:val="000000"/>
      <w:sz w:val="36"/>
      <w:szCs w:val="36"/>
      <w:u w:val="none"/>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857</Words>
  <Characters>4889</Characters>
  <Lines>40</Lines>
  <Paragraphs>11</Paragraphs>
  <TotalTime>13</TotalTime>
  <ScaleCrop>false</ScaleCrop>
  <LinksUpToDate>false</LinksUpToDate>
  <CharactersWithSpaces>5735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Administrator</cp:lastModifiedBy>
  <cp:lastPrinted>2022-04-26T02:59:00Z</cp:lastPrinted>
  <dcterms:modified xsi:type="dcterms:W3CDTF">2026-05-26T08:55:19Z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2ED5AE275CA84587AB1CB45A6923F50A</vt:lpwstr>
  </property>
</Properties>
</file>