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sz w:val="44"/>
          <w:szCs w:val="44"/>
        </w:rPr>
      </w:pPr>
      <w:r>
        <w:rPr>
          <w:rFonts w:hint="eastAsia"/>
          <w:sz w:val="44"/>
          <w:szCs w:val="44"/>
        </w:rPr>
        <w:t>巨鹿县总工会</w:t>
      </w:r>
    </w:p>
    <w:p>
      <w:pPr>
        <w:ind w:firstLine="1320" w:firstLineChars="300"/>
        <w:rPr>
          <w:sz w:val="44"/>
          <w:szCs w:val="44"/>
        </w:rPr>
      </w:pPr>
      <w:r>
        <w:rPr>
          <w:rFonts w:hint="eastAsia"/>
          <w:sz w:val="44"/>
          <w:szCs w:val="44"/>
        </w:rPr>
        <w:t>2021年整体支出绩效评价报告</w:t>
      </w:r>
    </w:p>
    <w:p>
      <w:pPr>
        <w:ind w:firstLine="1320" w:firstLineChars="300"/>
        <w:rPr>
          <w:sz w:val="44"/>
          <w:szCs w:val="44"/>
        </w:rPr>
      </w:pPr>
    </w:p>
    <w:p>
      <w:pPr>
        <w:numPr>
          <w:ilvl w:val="0"/>
          <w:numId w:val="0"/>
        </w:numPr>
        <w:ind w:firstLine="640" w:firstLineChars="200"/>
        <w:rPr>
          <w:sz w:val="32"/>
          <w:szCs w:val="32"/>
        </w:rPr>
      </w:pPr>
      <w:r>
        <w:rPr>
          <w:rFonts w:hint="eastAsia" w:asciiTheme="minorHAnsi" w:hAnsiTheme="minorHAnsi" w:eastAsiaTheme="minorEastAsia" w:cstheme="minorBidi"/>
          <w:kern w:val="2"/>
          <w:sz w:val="32"/>
          <w:szCs w:val="32"/>
          <w:lang w:val="en-US" w:eastAsia="zh-CN" w:bidi="ar-SA"/>
        </w:rPr>
        <w:t>一、</w:t>
      </w:r>
      <w:r>
        <w:rPr>
          <w:rFonts w:hint="eastAsia"/>
          <w:sz w:val="32"/>
          <w:szCs w:val="32"/>
        </w:rPr>
        <w:t>基本概况</w:t>
      </w:r>
    </w:p>
    <w:p>
      <w:pPr>
        <w:ind w:firstLine="640" w:firstLineChars="200"/>
        <w:rPr>
          <w:rFonts w:ascii="仿宋" w:hAnsi="仿宋" w:eastAsia="仿宋"/>
          <w:sz w:val="32"/>
          <w:szCs w:val="32"/>
        </w:rPr>
      </w:pPr>
      <w:r>
        <w:rPr>
          <w:rFonts w:hint="eastAsia" w:ascii="仿宋" w:hAnsi="仿宋" w:eastAsia="仿宋"/>
          <w:sz w:val="32"/>
          <w:szCs w:val="32"/>
        </w:rPr>
        <w:t>（一）部门职责</w:t>
      </w:r>
    </w:p>
    <w:p>
      <w:pPr>
        <w:ind w:left="357" w:firstLine="640" w:firstLineChars="200"/>
        <w:rPr>
          <w:rFonts w:ascii="仿宋" w:hAnsi="仿宋" w:eastAsia="仿宋"/>
          <w:sz w:val="32"/>
          <w:szCs w:val="32"/>
        </w:rPr>
      </w:pPr>
      <w:r>
        <w:rPr>
          <w:rFonts w:ascii="仿宋" w:hAnsi="仿宋" w:eastAsia="仿宋"/>
          <w:sz w:val="32"/>
          <w:szCs w:val="32"/>
        </w:rPr>
        <w:t>中国工会是中国共产党领导的职工自愿结合的工人阶级的群众组织，是党联系职工群众的桥梁和纽带，是国家政权的重要社会支柱，是工会会员和职工利益的代表者、维护着。根据中国工会的性质和特点，依法维护职工的合法权益是其主要职能。县总工会受县委和市总工会领导。其机关的主要工作任务是：</w:t>
      </w:r>
    </w:p>
    <w:p>
      <w:pPr>
        <w:ind w:left="357"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根据党的基本理论、基本路线、基本纲领和工运方针，围绕全县工作大局，贯彻执行中国工会全国代表大会和全市代表大会、全县工会代表大会确定的方针任务和做出的决议。</w:t>
      </w:r>
    </w:p>
    <w:p>
      <w:pPr>
        <w:ind w:left="357"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依照法律和《中国工会章程》，组织和指导全县各级工会坚定不移地推动党的全心全意依靠工人阶级根本指导方针的贯彻落实，进一步突出和履行维护职能。</w:t>
      </w:r>
    </w:p>
    <w:p>
      <w:pPr>
        <w:ind w:left="357"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围绕职工合法权益的重大问题进行调查研究，向县委、县政府和市工会反映职工群众的思想、愿望和要求，提出意见和建议；参与涉及职工切身利益的有关立法和政策、措施、制度的制度；参与侵犯职工合法权益重大事件的调查和处理参与职工重大伤亡事故的调查处理。</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工会理论政策研究，为全县各级工会提供理论政策服务；研究制定工会的组织制度和民主制度，监督检查《中国工会章程》的贯彻执行;研究指导全县各级工会自身改革和建设，指导全县基层工会组织开展以职工代表大会为基本制度的民主选举、民主决策、民主管理和民主监督工作；研究和推动基层工会建立集体合同制度、工资集体协商制度和监督保证机制;参与指导劳动合同签订工作；指导全县基层工会开展群众性经济技术创新活动。</w:t>
      </w:r>
    </w:p>
    <w:p>
      <w:pPr>
        <w:ind w:firstLine="640" w:firstLineChars="200"/>
        <w:rPr>
          <w:rFonts w:ascii="仿宋" w:hAnsi="仿宋" w:eastAsia="仿宋"/>
          <w:sz w:val="32"/>
          <w:szCs w:val="32"/>
        </w:rPr>
      </w:pPr>
      <w:r>
        <w:rPr>
          <w:rFonts w:hint="eastAsia" w:ascii="仿宋" w:hAnsi="仿宋" w:eastAsia="仿宋"/>
          <w:sz w:val="32"/>
          <w:szCs w:val="32"/>
        </w:rPr>
        <w:t>5.协助县委、县政府做好全国及省、市劳模的推荐、评选工作，负责县“全国五一劳动奖章”、“全国五一劳动奖状”获得者的评选表彰和</w:t>
      </w:r>
      <w:bookmarkStart w:id="0" w:name="_GoBack"/>
      <w:bookmarkEnd w:id="0"/>
      <w:r>
        <w:rPr>
          <w:rFonts w:hint="eastAsia" w:ascii="仿宋" w:hAnsi="仿宋" w:eastAsia="仿宋"/>
          <w:sz w:val="32"/>
          <w:szCs w:val="32"/>
        </w:rPr>
        <w:t>“省五一劳动奖章”、“省五一劳动奖状”、“市五一劳动奖章”、“市五一劳动奖状”获得者的管理工作。</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负责工会经费和工会资产的管理、审查、审计工作;研究制定兴办职工劳动福利事业的有关制度和办法，负责对职工劳动福利事业的指导、协调工作。</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承担县委、县政府及市总工会交办的其他事项。</w:t>
      </w:r>
    </w:p>
    <w:p>
      <w:pPr>
        <w:ind w:firstLine="640" w:firstLineChars="200"/>
        <w:rPr>
          <w:rFonts w:ascii="仿宋" w:hAnsi="仿宋" w:eastAsia="仿宋"/>
          <w:sz w:val="32"/>
          <w:szCs w:val="32"/>
        </w:rPr>
      </w:pPr>
      <w:r>
        <w:rPr>
          <w:rFonts w:hint="eastAsia" w:ascii="仿宋" w:hAnsi="仿宋" w:eastAsia="仿宋"/>
          <w:sz w:val="32"/>
          <w:szCs w:val="32"/>
        </w:rPr>
        <w:t>（二）人员及资产情况</w:t>
      </w:r>
    </w:p>
    <w:p>
      <w:pPr>
        <w:autoSpaceDE w:val="0"/>
        <w:autoSpaceDN w:val="0"/>
        <w:adjustRightInd w:val="0"/>
        <w:ind w:firstLine="787" w:firstLineChars="246"/>
        <w:jc w:val="left"/>
        <w:rPr>
          <w:rFonts w:ascii="仿宋" w:hAnsi="仿宋" w:eastAsia="仿宋"/>
          <w:sz w:val="32"/>
          <w:szCs w:val="32"/>
        </w:rPr>
      </w:pPr>
      <w:r>
        <w:rPr>
          <w:rFonts w:hint="eastAsia" w:ascii="仿宋" w:hAnsi="仿宋" w:eastAsia="仿宋"/>
          <w:sz w:val="32"/>
          <w:szCs w:val="32"/>
        </w:rPr>
        <w:t>巨鹿县总工会根据部门决算编报要求，纳入2021年度部门决算编报范围。巨鹿县总工会在职人员13名，退休人员8名。机构设置为一部一室一中心，即基层工作部，综合办公室，职工服务中心。</w:t>
      </w:r>
    </w:p>
    <w:p>
      <w:pPr>
        <w:numPr>
          <w:ilvl w:val="0"/>
          <w:numId w:val="1"/>
        </w:numPr>
        <w:autoSpaceDE w:val="0"/>
        <w:autoSpaceDN w:val="0"/>
        <w:adjustRightInd w:val="0"/>
        <w:ind w:firstLine="787" w:firstLineChars="246"/>
        <w:jc w:val="left"/>
        <w:rPr>
          <w:rFonts w:ascii="Times New Roman" w:hAnsi="仿宋" w:eastAsia="仿宋" w:cs="Times New Roman"/>
          <w:sz w:val="32"/>
          <w:szCs w:val="32"/>
        </w:rPr>
      </w:pPr>
      <w:r>
        <w:rPr>
          <w:rFonts w:hint="eastAsia" w:ascii="Times New Roman" w:hAnsi="仿宋" w:eastAsia="仿宋" w:cs="Times New Roman"/>
          <w:sz w:val="32"/>
          <w:szCs w:val="32"/>
        </w:rPr>
        <w:t>部门履职总体目标</w:t>
      </w:r>
    </w:p>
    <w:p>
      <w:pPr>
        <w:autoSpaceDE w:val="0"/>
        <w:autoSpaceDN w:val="0"/>
        <w:adjustRightInd w:val="0"/>
        <w:ind w:firstLine="640" w:firstLineChars="200"/>
        <w:jc w:val="left"/>
        <w:rPr>
          <w:rFonts w:ascii="仿宋_GB2312" w:hAnsi="仿宋_GB2312" w:eastAsia="仿宋_GB2312" w:cs="仿宋_GB2312"/>
          <w:sz w:val="32"/>
          <w:szCs w:val="32"/>
        </w:rPr>
      </w:pPr>
      <w:r>
        <w:rPr>
          <w:rFonts w:ascii="Times New Roman" w:hAnsi="仿宋" w:eastAsia="仿宋" w:cs="Times New Roman"/>
          <w:sz w:val="32"/>
          <w:szCs w:val="32"/>
        </w:rPr>
        <w:t>根据县财政预算绩效管理要求，以</w:t>
      </w:r>
      <w:r>
        <w:rPr>
          <w:rFonts w:ascii="Times New Roman" w:hAnsi="Times New Roman" w:eastAsia="仿宋" w:cs="Times New Roman"/>
          <w:sz w:val="32"/>
          <w:szCs w:val="32"/>
        </w:rPr>
        <w:t>“</w:t>
      </w:r>
      <w:r>
        <w:rPr>
          <w:rFonts w:ascii="Times New Roman" w:hAnsi="仿宋" w:eastAsia="仿宋" w:cs="Times New Roman"/>
          <w:sz w:val="32"/>
          <w:szCs w:val="32"/>
        </w:rPr>
        <w:t>部门职责</w:t>
      </w:r>
      <w:r>
        <w:rPr>
          <w:rFonts w:ascii="Times New Roman" w:hAnsi="Times New Roman" w:eastAsia="仿宋" w:cs="Times New Roman"/>
          <w:sz w:val="32"/>
          <w:szCs w:val="32"/>
        </w:rPr>
        <w:t>-</w:t>
      </w:r>
      <w:r>
        <w:rPr>
          <w:rFonts w:ascii="Times New Roman" w:hAnsi="仿宋" w:eastAsia="仿宋" w:cs="Times New Roman"/>
          <w:sz w:val="32"/>
          <w:szCs w:val="32"/>
        </w:rPr>
        <w:t>工作活动</w:t>
      </w:r>
      <w:r>
        <w:rPr>
          <w:rFonts w:ascii="Times New Roman" w:hAnsi="Times New Roman" w:eastAsia="仿宋" w:cs="Times New Roman"/>
          <w:sz w:val="32"/>
          <w:szCs w:val="32"/>
        </w:rPr>
        <w:t>”</w:t>
      </w:r>
      <w:r>
        <w:rPr>
          <w:rFonts w:ascii="Times New Roman" w:hAnsi="仿宋" w:eastAsia="仿宋" w:cs="Times New Roman"/>
          <w:sz w:val="32"/>
          <w:szCs w:val="32"/>
        </w:rPr>
        <w:t>为依据，确定</w:t>
      </w:r>
      <w:r>
        <w:rPr>
          <w:rFonts w:hint="eastAsia" w:ascii="Times New Roman" w:hAnsi="仿宋" w:eastAsia="仿宋" w:cs="Times New Roman"/>
          <w:sz w:val="32"/>
          <w:szCs w:val="32"/>
        </w:rPr>
        <w:t>年度整体目标</w:t>
      </w:r>
      <w:r>
        <w:rPr>
          <w:rFonts w:ascii="Times New Roman" w:hAnsi="仿宋" w:eastAsia="仿宋" w:cs="Times New Roman"/>
          <w:sz w:val="32"/>
          <w:szCs w:val="32"/>
        </w:rPr>
        <w:t>和预算额度，清晰描述预算项目开支范围和内容，确定预算项目的绩效目标、绩效指标和评价标准，为预算绩效控制、绩效分析、绩效评价打下好的基础。</w:t>
      </w:r>
      <w:r>
        <w:rPr>
          <w:rFonts w:hint="eastAsia" w:ascii="仿宋_GB2312" w:hAnsi="仿宋_GB2312" w:eastAsia="仿宋_GB2312" w:cs="仿宋_GB2312"/>
          <w:sz w:val="32"/>
          <w:szCs w:val="32"/>
        </w:rPr>
        <w:t>指导全县各级基层工会组织职工开展民主选举、民主决策、民主管理和民主监督工作。维护职工合法权益和民主权益，组织职工开展劳动竞赛和职业技能培训，为职工提供服务，研究和推进基层工会建立集体合同制度、工资集体协商制度和监督保证机制，参与指导劳动合同签订工作。努力完成工会经费收缴工作；开展困难职工及困难职工子女救助活动；对劳模进行慰问和体检服务；规范基层工会阵地建设；组织职工开展文体活动。根据党委政府的施政目标和决策部署，完成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县政府和市总工会下达的各项重点工作。2021年初安排预算资金764.65万元，调整预算资金6.57万元。2021年安排的预算及调整的预算资金全部形成支出。</w:t>
      </w:r>
    </w:p>
    <w:p>
      <w:pPr>
        <w:numPr>
          <w:ilvl w:val="0"/>
          <w:numId w:val="0"/>
        </w:num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预算绩效管理开展及整体绩效实现情况</w:t>
      </w:r>
    </w:p>
    <w:p>
      <w:pPr>
        <w:numPr>
          <w:ilvl w:val="0"/>
          <w:numId w:val="2"/>
        </w:numPr>
        <w:autoSpaceDE w:val="0"/>
        <w:autoSpaceDN w:val="0"/>
        <w:adjustRightInd w:val="0"/>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开展预算绩效管理情况</w:t>
      </w:r>
    </w:p>
    <w:p>
      <w:pPr>
        <w:autoSpaceDE w:val="0"/>
        <w:autoSpaceDN w:val="0"/>
        <w:adjustRightInd w:val="0"/>
        <w:ind w:left="210" w:lef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根据《中华人民共和国工会法》和财务管理制度以及有关部门的资金管理办法，我单位制定《工会财务管理制度》。制度中对资金拨付、审批过程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重大开支的使用过程都有明确规定。在预算绩效管理中不存在截留、挤占、挪用和虚列支出情况。</w:t>
      </w:r>
    </w:p>
    <w:p>
      <w:pPr>
        <w:autoSpaceDE w:val="0"/>
        <w:autoSpaceDN w:val="0"/>
        <w:adjustRightInd w:val="0"/>
        <w:ind w:left="210" w:lef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（二）工作履行活动完成情况</w:t>
      </w:r>
    </w:p>
    <w:p>
      <w:pPr>
        <w:autoSpaceDE w:val="0"/>
        <w:autoSpaceDN w:val="0"/>
        <w:adjustRightInd w:val="0"/>
        <w:ind w:left="210" w:leftChars="1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年度任务分解表的具体任务，逐项对量化指标完成情况、实施效果、和责任制建立情况进行了评价。对每项任务建立了目标责任制，工作落实到具体部门和人员，制定了明确、具体、可量化、可衡量的绩效指标，年度终了预算资金全部形成支出。</w:t>
      </w:r>
    </w:p>
    <w:p>
      <w:pPr>
        <w:ind w:left="210" w:leftChars="100" w:firstLine="640" w:firstLineChars="200"/>
        <w:rPr>
          <w:rFonts w:ascii="仿宋" w:hAnsi="仿宋" w:eastAsia="仿宋" w:cs="仿宋"/>
          <w:sz w:val="32"/>
          <w:szCs w:val="32"/>
        </w:rPr>
      </w:pPr>
      <w:r>
        <w:rPr>
          <w:rFonts w:hint="eastAsia" w:ascii="仿宋_GB2312" w:hAnsi="仿宋_GB2312" w:eastAsia="仿宋_GB2312" w:cs="仿宋_GB2312"/>
          <w:sz w:val="32"/>
          <w:szCs w:val="32"/>
        </w:rPr>
        <w:t>（三）实施履职</w:t>
      </w:r>
      <w:r>
        <w:rPr>
          <w:rFonts w:hint="eastAsia" w:ascii="仿宋" w:hAnsi="仿宋" w:eastAsia="仿宋" w:cs="仿宋"/>
          <w:sz w:val="32"/>
          <w:szCs w:val="32"/>
        </w:rPr>
        <w:t>活动产生的效果及社会公众或服务对象满意程度</w:t>
      </w:r>
    </w:p>
    <w:p>
      <w:pPr>
        <w:ind w:left="210" w:leftChars="100" w:firstLine="640" w:firstLineChars="200"/>
        <w:rPr>
          <w:rFonts w:ascii="仿宋" w:hAnsi="仿宋" w:eastAsia="仿宋" w:cs="仿宋"/>
          <w:sz w:val="32"/>
          <w:szCs w:val="32"/>
        </w:rPr>
      </w:pPr>
      <w:r>
        <w:rPr>
          <w:rFonts w:hint="eastAsia" w:ascii="仿宋" w:hAnsi="仿宋" w:eastAsia="仿宋" w:cs="仿宋"/>
          <w:sz w:val="32"/>
          <w:szCs w:val="32"/>
        </w:rPr>
        <w:t>根据河北省总工会、省财政厅文件要求，县财政按在职职工工资总额2%计提工会经费拨付到工会，其中40%留工会用于上解上级工会和开展各种职工活动，60%返还基层单位为职工服务。2021年预算资金601.2元，其中返还基层单位360.72万元，应付上级工会90.18万元，县工会留150.3万元，用于巨鹿县职工书屋、劳模主题公园建设项目，夏送清凉、冬送温暖、疫情期间对一线工作人员慰问、</w:t>
      </w:r>
      <w:r>
        <w:rPr>
          <w:rFonts w:hint="eastAsia" w:ascii="仿宋_GB2312" w:eastAsia="仿宋_GB2312"/>
          <w:color w:val="000000"/>
          <w:sz w:val="32"/>
          <w:szCs w:val="32"/>
        </w:rPr>
        <w:t>劳模座谈会</w:t>
      </w:r>
      <w:r>
        <w:rPr>
          <w:rFonts w:hint="eastAsia" w:ascii="仿宋" w:hAnsi="仿宋" w:eastAsia="仿宋" w:cs="仿宋"/>
          <w:color w:val="000000"/>
          <w:sz w:val="32"/>
          <w:szCs w:val="32"/>
        </w:rPr>
        <w:t>和</w:t>
      </w:r>
      <w:r>
        <w:rPr>
          <w:rFonts w:hint="eastAsia" w:ascii="仿宋" w:hAnsi="仿宋" w:eastAsia="仿宋" w:cs="仿宋"/>
          <w:color w:val="000000"/>
          <w:sz w:val="32"/>
          <w:szCs w:val="32"/>
          <w:shd w:val="clear" w:color="auto" w:fill="FFFFFF"/>
        </w:rPr>
        <w:t>主题教育培训学习等活动。通过预算支出项目的实施，充分发挥了工会的政治思想引领作用，确保经费在工会事务方面发挥最大效益，</w:t>
      </w:r>
      <w:r>
        <w:rPr>
          <w:rFonts w:hint="eastAsia" w:ascii="仿宋" w:hAnsi="仿宋" w:eastAsia="仿宋" w:cs="仿宋"/>
          <w:color w:val="000000"/>
          <w:sz w:val="32"/>
          <w:szCs w:val="32"/>
          <w:shd w:val="clear" w:color="auto" w:fill="FFFFFF"/>
          <w:lang w:val="en-US" w:eastAsia="zh-CN"/>
        </w:rPr>
        <w:t>使</w:t>
      </w:r>
      <w:r>
        <w:rPr>
          <w:rFonts w:hint="eastAsia" w:ascii="仿宋" w:hAnsi="仿宋" w:eastAsia="仿宋" w:cs="仿宋"/>
          <w:color w:val="000000"/>
          <w:sz w:val="32"/>
          <w:szCs w:val="32"/>
          <w:shd w:val="clear" w:color="auto" w:fill="FFFFFF"/>
        </w:rPr>
        <w:t>工会工作得到广大职工群众的认可，群众满意度达到90%。</w:t>
      </w:r>
    </w:p>
    <w:p>
      <w:pPr>
        <w:numPr>
          <w:ilvl w:val="0"/>
          <w:numId w:val="0"/>
        </w:num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绩效评价的组织实施情况</w:t>
      </w:r>
    </w:p>
    <w:tbl>
      <w:tblPr>
        <w:tblStyle w:val="5"/>
        <w:tblW w:w="8400" w:type="dxa"/>
        <w:tblInd w:w="88" w:type="dxa"/>
        <w:tblLayout w:type="autofit"/>
        <w:tblCellMar>
          <w:top w:w="0" w:type="dxa"/>
          <w:left w:w="108" w:type="dxa"/>
          <w:bottom w:w="0" w:type="dxa"/>
          <w:right w:w="108" w:type="dxa"/>
        </w:tblCellMar>
      </w:tblPr>
      <w:tblGrid>
        <w:gridCol w:w="700"/>
        <w:gridCol w:w="1080"/>
        <w:gridCol w:w="1080"/>
        <w:gridCol w:w="1080"/>
        <w:gridCol w:w="740"/>
        <w:gridCol w:w="640"/>
        <w:gridCol w:w="740"/>
        <w:gridCol w:w="840"/>
        <w:gridCol w:w="820"/>
        <w:gridCol w:w="680"/>
      </w:tblGrid>
      <w:tr>
        <w:tblPrEx>
          <w:tblCellMar>
            <w:top w:w="0" w:type="dxa"/>
            <w:left w:w="108" w:type="dxa"/>
            <w:bottom w:w="0" w:type="dxa"/>
            <w:right w:w="108" w:type="dxa"/>
          </w:tblCellMar>
        </w:tblPrEx>
        <w:trPr>
          <w:trHeight w:val="270" w:hRule="atLeast"/>
        </w:trPr>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四、年度绩效指标完成情况</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7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指标分值</w:t>
            </w:r>
          </w:p>
        </w:tc>
        <w:tc>
          <w:tcPr>
            <w:tcW w:w="22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预期指标值</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实际完成值</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单项指标</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完成率（%）</w:t>
            </w:r>
          </w:p>
        </w:tc>
      </w:tr>
      <w:tr>
        <w:tblPrEx>
          <w:tblCellMar>
            <w:top w:w="0" w:type="dxa"/>
            <w:left w:w="108" w:type="dxa"/>
            <w:bottom w:w="0" w:type="dxa"/>
            <w:right w:w="108" w:type="dxa"/>
          </w:tblCellMar>
        </w:tblPrEx>
        <w:trPr>
          <w:trHeight w:val="675"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符号</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值</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（文字描述）</w:t>
            </w: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675"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产出指标</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（60）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开展宣传及文体活动次数</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100</w:t>
            </w:r>
          </w:p>
        </w:tc>
      </w:tr>
      <w:tr>
        <w:tblPrEx>
          <w:tblCellMar>
            <w:top w:w="0" w:type="dxa"/>
            <w:left w:w="108" w:type="dxa"/>
            <w:bottom w:w="0" w:type="dxa"/>
            <w:right w:w="108" w:type="dxa"/>
          </w:tblCellMar>
        </w:tblPrEx>
        <w:trPr>
          <w:trHeight w:val="4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工会活动会员参与率</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百分比</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85</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27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完成率</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百分比</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4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全县工会经费年投入</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601.2</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601.2</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4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效益指标</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（20）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经济效益指标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受拨单位满意度</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百分比</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98</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4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增强工会影响力</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百分比</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4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tcBorders>
              <w:top w:val="nil"/>
              <w:left w:val="nil"/>
              <w:bottom w:val="nil"/>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满意度指标</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（10）</w:t>
            </w:r>
          </w:p>
        </w:tc>
        <w:tc>
          <w:tcPr>
            <w:tcW w:w="1080"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95.00</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百分比</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45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预算执行率</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预算执行率</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601.2</w:t>
            </w: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601.2</w:t>
            </w:r>
          </w:p>
        </w:tc>
        <w:tc>
          <w:tcPr>
            <w:tcW w:w="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27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8"/>
                <w:szCs w:val="18"/>
              </w:rPr>
            </w:pPr>
          </w:p>
        </w:tc>
        <w:tc>
          <w:tcPr>
            <w:tcW w:w="7700"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自评总分</w:t>
            </w:r>
          </w:p>
        </w:tc>
      </w:tr>
    </w:tbl>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四、各项绩效目标的实现程度及差异性原因分析</w:t>
      </w:r>
    </w:p>
    <w:p>
      <w:pPr>
        <w:ind w:firstLine="640" w:firstLineChars="200"/>
        <w:rPr>
          <w:rFonts w:ascii="仿宋_GB2312" w:eastAsia="仿宋_GB2312"/>
          <w:sz w:val="32"/>
          <w:szCs w:val="32"/>
        </w:rPr>
      </w:pPr>
      <w:r>
        <w:rPr>
          <w:rFonts w:hint="eastAsia" w:ascii="仿宋_GB2312" w:eastAsia="仿宋_GB2312"/>
          <w:sz w:val="32"/>
          <w:szCs w:val="32"/>
        </w:rPr>
        <w:t>2021年各项绩效目标从目标设定、决策过程、资金分配、资金到位、资金管理、组织实施、项目产出和项目效果等方面都能很好的落实到位。虽然预算资金全部形成支出，但资金支出进度存在不均衡现象。</w:t>
      </w:r>
    </w:p>
    <w:p>
      <w:pPr>
        <w:ind w:firstLine="640" w:firstLineChars="200"/>
        <w:rPr>
          <w:rFonts w:ascii="仿宋_GB2312" w:eastAsia="仿宋_GB2312"/>
          <w:sz w:val="32"/>
          <w:szCs w:val="32"/>
        </w:rPr>
      </w:pPr>
      <w:r>
        <w:rPr>
          <w:rFonts w:hint="eastAsia" w:ascii="仿宋_GB2312" w:eastAsia="仿宋_GB2312"/>
          <w:sz w:val="32"/>
          <w:szCs w:val="32"/>
        </w:rPr>
        <w:t>五、存在问题、采取的纠偏措施及改进绩效管理建议</w:t>
      </w:r>
    </w:p>
    <w:p>
      <w:pPr>
        <w:ind w:firstLine="640" w:firstLineChars="200"/>
        <w:rPr>
          <w:rFonts w:ascii="仿宋_GB2312" w:eastAsia="仿宋_GB2312"/>
          <w:sz w:val="32"/>
          <w:szCs w:val="32"/>
        </w:rPr>
      </w:pPr>
      <w:r>
        <w:rPr>
          <w:rFonts w:hint="eastAsia" w:ascii="仿宋_GB2312" w:eastAsia="仿宋_GB2312"/>
          <w:sz w:val="32"/>
          <w:szCs w:val="32"/>
        </w:rPr>
        <w:t>虽然预算资金全部形成支出，但资金支出进度存在不均衡现象。</w:t>
      </w:r>
    </w:p>
    <w:p>
      <w:pPr>
        <w:numPr>
          <w:ilvl w:val="0"/>
          <w:numId w:val="3"/>
        </w:numPr>
        <w:ind w:firstLine="640" w:firstLineChars="200"/>
        <w:rPr>
          <w:rFonts w:ascii="仿宋_GB2312" w:eastAsia="仿宋_GB2312"/>
          <w:sz w:val="32"/>
          <w:szCs w:val="32"/>
        </w:rPr>
      </w:pPr>
      <w:r>
        <w:rPr>
          <w:rFonts w:hint="eastAsia" w:ascii="仿宋_GB2312" w:eastAsia="仿宋_GB2312"/>
          <w:sz w:val="32"/>
          <w:szCs w:val="32"/>
        </w:rPr>
        <w:t>加快预算资金的使用进度，提高财政资金的使用效率；</w:t>
      </w:r>
    </w:p>
    <w:p>
      <w:pPr>
        <w:ind w:firstLine="640" w:firstLineChars="200"/>
        <w:rPr>
          <w:rFonts w:ascii="仿宋_GB2312" w:eastAsia="仿宋_GB2312"/>
          <w:sz w:val="32"/>
          <w:szCs w:val="32"/>
        </w:rPr>
      </w:pPr>
      <w:r>
        <w:rPr>
          <w:rFonts w:hint="eastAsia" w:ascii="仿宋_GB2312" w:eastAsia="仿宋_GB2312"/>
          <w:sz w:val="32"/>
          <w:szCs w:val="32"/>
        </w:rPr>
        <w:t>2、加强预算资金的业务管理，完善项目业务管理制度；</w:t>
      </w:r>
    </w:p>
    <w:p>
      <w:pPr>
        <w:ind w:firstLine="640" w:firstLineChars="200"/>
        <w:rPr>
          <w:rFonts w:ascii="仿宋_GB2312" w:eastAsia="仿宋_GB2312"/>
          <w:sz w:val="32"/>
          <w:szCs w:val="32"/>
        </w:rPr>
      </w:pPr>
      <w:r>
        <w:rPr>
          <w:rFonts w:hint="eastAsia" w:ascii="仿宋_GB2312" w:eastAsia="仿宋_GB2312"/>
          <w:sz w:val="32"/>
          <w:szCs w:val="32"/>
        </w:rPr>
        <w:t>3、加强财务监控，对项目资金进行事前、事中、事后的检查分析，并形成监控报告，确保项目资金安全有效运行。</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5120" w:firstLineChars="1600"/>
        <w:rPr>
          <w:rFonts w:ascii="仿宋_GB2312" w:eastAsia="仿宋_GB2312"/>
          <w:sz w:val="32"/>
          <w:szCs w:val="32"/>
        </w:rPr>
      </w:pPr>
      <w:r>
        <w:rPr>
          <w:rFonts w:hint="eastAsia" w:ascii="仿宋_GB2312" w:eastAsia="仿宋_GB2312"/>
          <w:sz w:val="32"/>
          <w:szCs w:val="32"/>
        </w:rPr>
        <w:t>巨鹿县总工会</w:t>
      </w:r>
    </w:p>
    <w:p>
      <w:pPr>
        <w:ind w:firstLine="4800" w:firstLineChars="1500"/>
        <w:rPr>
          <w:rFonts w:ascii="仿宋_GB2312" w:eastAsia="仿宋_GB2312"/>
          <w:sz w:val="32"/>
          <w:szCs w:val="32"/>
        </w:rPr>
      </w:pPr>
      <w:r>
        <w:rPr>
          <w:rFonts w:hint="eastAsia" w:ascii="仿宋_GB2312" w:eastAsia="仿宋_GB2312"/>
          <w:sz w:val="32"/>
          <w:szCs w:val="32"/>
        </w:rPr>
        <w:t>2022年5月5日</w:t>
      </w:r>
    </w:p>
    <w:p>
      <w:pPr>
        <w:tabs>
          <w:tab w:val="left" w:pos="268"/>
        </w:tabs>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964" w:firstLineChars="200"/>
        <w:rPr>
          <w:rFonts w:ascii="Microsoft Sans Serif" w:hAnsi="Microsoft Sans Serif"/>
          <w:b/>
          <w:bCs/>
          <w:sz w:val="48"/>
          <w:szCs w:val="4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A668D"/>
    <w:multiLevelType w:val="singleLevel"/>
    <w:tmpl w:val="9A4A668D"/>
    <w:lvl w:ilvl="0" w:tentative="0">
      <w:start w:val="3"/>
      <w:numFmt w:val="chineseCounting"/>
      <w:suff w:val="nothing"/>
      <w:lvlText w:val="（%1）"/>
      <w:lvlJc w:val="left"/>
      <w:rPr>
        <w:rFonts w:hint="eastAsia"/>
      </w:rPr>
    </w:lvl>
  </w:abstractNum>
  <w:abstractNum w:abstractNumId="1">
    <w:nsid w:val="B599E7F5"/>
    <w:multiLevelType w:val="singleLevel"/>
    <w:tmpl w:val="B599E7F5"/>
    <w:lvl w:ilvl="0" w:tentative="0">
      <w:start w:val="1"/>
      <w:numFmt w:val="decimal"/>
      <w:suff w:val="nothing"/>
      <w:lvlText w:val="%1、"/>
      <w:lvlJc w:val="left"/>
    </w:lvl>
  </w:abstractNum>
  <w:abstractNum w:abstractNumId="2">
    <w:nsid w:val="6281F8BD"/>
    <w:multiLevelType w:val="singleLevel"/>
    <w:tmpl w:val="6281F8B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5YTVmNzQ1NzEzNGM0NGZmNGQ1MzRhN2U0OTkzNmEifQ=="/>
  </w:docVars>
  <w:rsids>
    <w:rsidRoot w:val="1CDC0DE6"/>
    <w:rsid w:val="000E37DC"/>
    <w:rsid w:val="001D3458"/>
    <w:rsid w:val="00316F32"/>
    <w:rsid w:val="00557252"/>
    <w:rsid w:val="00571020"/>
    <w:rsid w:val="00574072"/>
    <w:rsid w:val="0074776F"/>
    <w:rsid w:val="008B32E7"/>
    <w:rsid w:val="00951F4A"/>
    <w:rsid w:val="009E1382"/>
    <w:rsid w:val="00A64D4B"/>
    <w:rsid w:val="00DC3793"/>
    <w:rsid w:val="00F2755E"/>
    <w:rsid w:val="030C3556"/>
    <w:rsid w:val="09C16E75"/>
    <w:rsid w:val="0A404AB9"/>
    <w:rsid w:val="14D90922"/>
    <w:rsid w:val="16F75359"/>
    <w:rsid w:val="1CDC0DE6"/>
    <w:rsid w:val="1D0205B4"/>
    <w:rsid w:val="23A16F64"/>
    <w:rsid w:val="26236657"/>
    <w:rsid w:val="288B289A"/>
    <w:rsid w:val="2D797E24"/>
    <w:rsid w:val="32FD11AA"/>
    <w:rsid w:val="336D6316"/>
    <w:rsid w:val="3476305F"/>
    <w:rsid w:val="35064308"/>
    <w:rsid w:val="3F0F398E"/>
    <w:rsid w:val="41D542CA"/>
    <w:rsid w:val="43F92AE9"/>
    <w:rsid w:val="4A1104C1"/>
    <w:rsid w:val="54FC1BD7"/>
    <w:rsid w:val="5DFE18DA"/>
    <w:rsid w:val="5F394CA0"/>
    <w:rsid w:val="6AAC3199"/>
    <w:rsid w:val="6B6F0E63"/>
    <w:rsid w:val="776E69EF"/>
    <w:rsid w:val="7F3B28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uiPriority w:val="0"/>
    <w:rPr>
      <w:rFonts w:asciiTheme="minorHAnsi" w:hAnsiTheme="minorHAnsi" w:eastAsiaTheme="minorEastAsia" w:cstheme="minorBidi"/>
      <w:kern w:val="2"/>
      <w:sz w:val="18"/>
      <w:szCs w:val="18"/>
    </w:rPr>
  </w:style>
  <w:style w:type="character" w:customStyle="1" w:styleId="9">
    <w:name w:val="页脚 Char"/>
    <w:basedOn w:val="7"/>
    <w:link w:val="2"/>
    <w:autoRedefine/>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393</Words>
  <Characters>2242</Characters>
  <Lines>18</Lines>
  <Paragraphs>5</Paragraphs>
  <TotalTime>9</TotalTime>
  <ScaleCrop>false</ScaleCrop>
  <LinksUpToDate>false</LinksUpToDate>
  <CharactersWithSpaces>2630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2020-04-23T03:20:00Z</dcterms:created>
  <dc:creator>Administrator</dc:creator>
  <cp:lastModifiedBy>WPS_1654611079</cp:lastModifiedBy>
  <dcterms:modified xsi:type="dcterms:W3CDTF">2024-04-03T02:48:37Z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DAC4BD83F0804D698F86426B65FC360B_12</vt:lpwstr>
  </property>
</Properties>
</file>