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20" w:rsidRDefault="008A2079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巨鹿县人民政府</w:t>
      </w:r>
    </w:p>
    <w:p w:rsidR="00372B20" w:rsidRDefault="008A2079">
      <w:pPr>
        <w:adjustRightInd w:val="0"/>
        <w:snapToGrid w:val="0"/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4</w:t>
      </w:r>
      <w:r>
        <w:rPr>
          <w:rFonts w:ascii="Times New Roman" w:eastAsia="方正小标宋简体" w:hAnsi="Times New Roman"/>
          <w:sz w:val="44"/>
          <w:szCs w:val="44"/>
        </w:rPr>
        <w:t>年政府信息公开工作年度报告</w:t>
      </w:r>
    </w:p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="420"/>
        <w:jc w:val="both"/>
        <w:rPr>
          <w:rFonts w:ascii="Times New Roman" w:eastAsia="宋体" w:hAnsi="Times New Roman"/>
        </w:rPr>
      </w:pPr>
    </w:p>
    <w:p w:rsidR="00372B20" w:rsidRDefault="008A2079">
      <w:pPr>
        <w:adjustRightInd w:val="0"/>
        <w:snapToGrid w:val="0"/>
        <w:spacing w:line="55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  <w:lang/>
        </w:rPr>
      </w:pPr>
      <w:r>
        <w:rPr>
          <w:rFonts w:ascii="Times New Roman" w:eastAsia="仿宋_GB2312" w:hAnsi="Times New Roman"/>
          <w:sz w:val="32"/>
          <w:szCs w:val="32"/>
        </w:rPr>
        <w:t>本年度报告按照《中华人民共和国政府信息公开条例》和《中华人民共和国政府信息公开工作年度报告格式》要求，在综合各乡镇（区）政府和县政府各部门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年政府信息公开工作年度报告基础上编制。报告中所列数据统计期限为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日至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31</w:t>
      </w:r>
      <w:r>
        <w:rPr>
          <w:rFonts w:ascii="Times New Roman" w:eastAsia="仿宋_GB2312" w:hAnsi="Times New Roman"/>
          <w:sz w:val="32"/>
          <w:szCs w:val="32"/>
        </w:rPr>
        <w:t>日。</w:t>
      </w:r>
    </w:p>
    <w:p w:rsidR="00372B20" w:rsidRDefault="008A2079">
      <w:pPr>
        <w:adjustRightInd w:val="0"/>
        <w:snapToGrid w:val="0"/>
        <w:spacing w:line="55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一、总体情况</w:t>
      </w:r>
    </w:p>
    <w:p w:rsidR="00372B20" w:rsidRDefault="008A2079">
      <w:pPr>
        <w:pStyle w:val="a0"/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  <w:lang/>
        </w:rPr>
      </w:pPr>
      <w:r>
        <w:rPr>
          <w:rFonts w:eastAsia="仿宋_GB2312" w:hint="eastAsia"/>
          <w:color w:val="000000"/>
          <w:sz w:val="32"/>
          <w:szCs w:val="32"/>
          <w:lang/>
        </w:rPr>
        <w:t>202</w:t>
      </w:r>
      <w:r>
        <w:rPr>
          <w:rFonts w:eastAsia="仿宋_GB2312" w:hint="eastAsia"/>
          <w:color w:val="000000"/>
          <w:sz w:val="32"/>
          <w:szCs w:val="32"/>
          <w:lang/>
        </w:rPr>
        <w:t>4</w:t>
      </w:r>
      <w:r>
        <w:rPr>
          <w:rFonts w:eastAsia="仿宋_GB2312" w:hint="eastAsia"/>
          <w:color w:val="000000"/>
          <w:sz w:val="32"/>
          <w:szCs w:val="32"/>
          <w:lang/>
        </w:rPr>
        <w:t>年，</w:t>
      </w:r>
      <w:r>
        <w:rPr>
          <w:rFonts w:eastAsia="仿宋_GB2312"/>
          <w:sz w:val="32"/>
          <w:szCs w:val="32"/>
        </w:rPr>
        <w:t>巨鹿县人民</w:t>
      </w:r>
      <w:r>
        <w:rPr>
          <w:rFonts w:eastAsia="仿宋_GB2312"/>
          <w:color w:val="000000"/>
          <w:sz w:val="32"/>
          <w:szCs w:val="32"/>
          <w:lang/>
        </w:rPr>
        <w:t>政府</w:t>
      </w:r>
      <w:r>
        <w:rPr>
          <w:rFonts w:eastAsia="仿宋_GB2312" w:hint="eastAsia"/>
          <w:color w:val="000000"/>
          <w:sz w:val="32"/>
          <w:szCs w:val="32"/>
          <w:lang/>
        </w:rPr>
        <w:t>坚持以习近平新时代中国特色社会主义思想为指导，</w:t>
      </w:r>
      <w:r>
        <w:rPr>
          <w:rFonts w:eastAsia="仿宋_GB2312"/>
          <w:sz w:val="32"/>
          <w:szCs w:val="32"/>
        </w:rPr>
        <w:t>认真落实党中央、国务院、省委、省政府以及市委、市政府决策部署</w:t>
      </w:r>
      <w:r>
        <w:rPr>
          <w:rFonts w:eastAsia="仿宋_GB2312" w:hint="eastAsia"/>
          <w:color w:val="000000"/>
          <w:sz w:val="32"/>
          <w:szCs w:val="32"/>
          <w:lang/>
        </w:rPr>
        <w:t>，紧紧围绕</w:t>
      </w:r>
      <w:r>
        <w:rPr>
          <w:rFonts w:eastAsia="仿宋_GB2312"/>
          <w:color w:val="000000"/>
          <w:sz w:val="32"/>
          <w:szCs w:val="32"/>
          <w:lang/>
        </w:rPr>
        <w:t>县委、县政府</w:t>
      </w:r>
      <w:r>
        <w:rPr>
          <w:rFonts w:eastAsia="仿宋_GB2312" w:hint="eastAsia"/>
          <w:color w:val="000000"/>
          <w:sz w:val="32"/>
          <w:szCs w:val="32"/>
          <w:lang/>
        </w:rPr>
        <w:t>中心工作和人民群众所需所盼，以公开促落实、促规范、优服务，持续提升政务公开工作质效，为巨鹿经济社会高质量发展提供优质服务。</w:t>
      </w: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（一）</w:t>
      </w:r>
      <w:r>
        <w:rPr>
          <w:rFonts w:ascii="Times New Roman" w:eastAsia="楷体_GB2312" w:hAnsi="Times New Roman" w:hint="eastAsia"/>
          <w:sz w:val="32"/>
          <w:szCs w:val="32"/>
        </w:rPr>
        <w:t>持续深化主动公开</w:t>
      </w:r>
      <w:r>
        <w:rPr>
          <w:rFonts w:ascii="Times New Roman" w:eastAsia="楷体_GB2312" w:hAnsi="Times New Roman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年，</w:t>
      </w:r>
      <w:r>
        <w:rPr>
          <w:rFonts w:ascii="Times New Roman" w:eastAsia="仿宋_GB2312" w:hAnsi="Times New Roman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政府门户网站共更新各类信息</w:t>
      </w:r>
      <w:r>
        <w:rPr>
          <w:rFonts w:ascii="Times New Roman" w:eastAsia="仿宋_GB2312" w:hAnsi="Times New Roman"/>
          <w:sz w:val="32"/>
          <w:szCs w:val="32"/>
        </w:rPr>
        <w:t>3035</w:t>
      </w:r>
      <w:r>
        <w:rPr>
          <w:rFonts w:ascii="Times New Roman" w:eastAsia="仿宋_GB2312" w:hAnsi="Times New Roman"/>
          <w:sz w:val="32"/>
          <w:szCs w:val="32"/>
        </w:rPr>
        <w:t>条</w:t>
      </w:r>
      <w:r>
        <w:rPr>
          <w:rFonts w:ascii="Times New Roman" w:eastAsia="仿宋_GB2312" w:hAnsi="Times New Roman" w:hint="eastAsia"/>
          <w:sz w:val="32"/>
          <w:szCs w:val="32"/>
        </w:rPr>
        <w:t>；</w:t>
      </w:r>
      <w:r>
        <w:rPr>
          <w:rFonts w:ascii="Times New Roman" w:eastAsia="仿宋_GB2312" w:hAnsi="Times New Roman"/>
          <w:sz w:val="32"/>
          <w:szCs w:val="32"/>
        </w:rPr>
        <w:t>公开政策文件及解读信息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条；动态更新调整权责清单</w:t>
      </w:r>
      <w:r>
        <w:rPr>
          <w:rFonts w:ascii="Times New Roman" w:eastAsia="仿宋_GB2312" w:hAnsi="Times New Roman" w:hint="eastAsia"/>
          <w:sz w:val="32"/>
          <w:szCs w:val="32"/>
        </w:rPr>
        <w:t>和公共服务清单</w:t>
      </w:r>
      <w:r>
        <w:rPr>
          <w:rFonts w:ascii="Times New Roman" w:eastAsia="仿宋_GB2312" w:hAnsi="Times New Roman" w:hint="eastAsia"/>
          <w:sz w:val="32"/>
          <w:szCs w:val="32"/>
        </w:rPr>
        <w:t>56</w:t>
      </w:r>
      <w:r>
        <w:rPr>
          <w:rFonts w:ascii="Times New Roman" w:eastAsia="仿宋_GB2312" w:hAnsi="Times New Roman" w:hint="eastAsia"/>
          <w:sz w:val="32"/>
          <w:szCs w:val="32"/>
        </w:rPr>
        <w:t>条</w:t>
      </w:r>
      <w:r>
        <w:rPr>
          <w:rFonts w:ascii="Times New Roman" w:eastAsia="仿宋_GB2312" w:hAnsi="Times New Roman"/>
          <w:sz w:val="32"/>
          <w:szCs w:val="32"/>
        </w:rPr>
        <w:t>；规范发布新闻</w:t>
      </w:r>
      <w:r>
        <w:rPr>
          <w:rFonts w:ascii="Times New Roman" w:eastAsia="仿宋_GB2312" w:hAnsi="Times New Roman" w:hint="eastAsia"/>
          <w:sz w:val="32"/>
          <w:szCs w:val="32"/>
        </w:rPr>
        <w:t>470</w:t>
      </w:r>
      <w:r>
        <w:rPr>
          <w:rFonts w:ascii="Times New Roman" w:eastAsia="仿宋_GB2312" w:hAnsi="Times New Roman"/>
          <w:sz w:val="32"/>
          <w:szCs w:val="32"/>
        </w:rPr>
        <w:t>条；专栏公开县人大代表建议、政协提案办理复文</w:t>
      </w:r>
      <w:r>
        <w:rPr>
          <w:rFonts w:ascii="Times New Roman" w:eastAsia="仿宋_GB2312" w:hAnsi="Times New Roman" w:hint="eastAsia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件；公开涉及市场主体、项目投资领域、消费和外经贸领域、财政资金领域、重点民生领域、乡村振兴领域、办事服务领域信息</w:t>
      </w:r>
      <w:r>
        <w:rPr>
          <w:rFonts w:ascii="Times New Roman" w:eastAsia="仿宋_GB2312" w:hAnsi="Times New Roman" w:hint="eastAsia"/>
          <w:sz w:val="32"/>
          <w:szCs w:val="32"/>
        </w:rPr>
        <w:t>2485</w:t>
      </w:r>
      <w:r>
        <w:rPr>
          <w:rFonts w:ascii="Times New Roman" w:eastAsia="仿宋_GB2312" w:hAnsi="Times New Roman"/>
          <w:sz w:val="32"/>
          <w:szCs w:val="32"/>
        </w:rPr>
        <w:t>条，等等。</w:t>
      </w:r>
    </w:p>
    <w:p w:rsidR="00372B20" w:rsidRDefault="008A2079">
      <w:pPr>
        <w:pStyle w:val="a7"/>
        <w:widowControl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（二）</w:t>
      </w:r>
      <w:r>
        <w:rPr>
          <w:rFonts w:ascii="Times New Roman" w:eastAsia="楷体_GB2312" w:hAnsi="Times New Roman" w:hint="eastAsia"/>
          <w:sz w:val="32"/>
          <w:szCs w:val="32"/>
        </w:rPr>
        <w:t>妥善处理依申请公开</w:t>
      </w:r>
      <w:r>
        <w:rPr>
          <w:rFonts w:ascii="Times New Roman" w:eastAsia="楷体_GB2312" w:hAnsi="Times New Roman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严格执行《河北省政</w:t>
      </w:r>
      <w:r>
        <w:rPr>
          <w:rFonts w:ascii="Times New Roman" w:eastAsia="仿宋_GB2312" w:hAnsi="Times New Roman"/>
          <w:sz w:val="32"/>
          <w:szCs w:val="32"/>
        </w:rPr>
        <w:t>府信息公开申请办理规范》，</w:t>
      </w:r>
      <w:r>
        <w:rPr>
          <w:rFonts w:ascii="Times New Roman" w:eastAsia="仿宋_GB2312" w:hAnsi="Times New Roman"/>
          <w:kern w:val="2"/>
          <w:sz w:val="32"/>
          <w:szCs w:val="32"/>
        </w:rPr>
        <w:t>依据《答复格式文本》制作政府信息公开申</w:t>
      </w:r>
      <w:r>
        <w:rPr>
          <w:rFonts w:ascii="Times New Roman" w:eastAsia="仿宋_GB2312" w:hAnsi="Times New Roman"/>
          <w:kern w:val="2"/>
          <w:sz w:val="32"/>
          <w:szCs w:val="32"/>
        </w:rPr>
        <w:lastRenderedPageBreak/>
        <w:t>请答复书、告知书等</w:t>
      </w:r>
      <w:r>
        <w:rPr>
          <w:rFonts w:ascii="Times New Roman" w:eastAsia="仿宋_GB2312" w:hAnsi="Times New Roman" w:hint="eastAsia"/>
          <w:kern w:val="2"/>
          <w:sz w:val="32"/>
          <w:szCs w:val="32"/>
        </w:rPr>
        <w:t>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加强与申请人的沟通联系，</w:t>
      </w:r>
      <w:r>
        <w:rPr>
          <w:rFonts w:ascii="Times New Roman" w:eastAsia="仿宋_GB2312" w:hAnsi="Times New Roman" w:hint="eastAsia"/>
          <w:sz w:val="32"/>
          <w:szCs w:val="32"/>
        </w:rPr>
        <w:t>积极推动问题解决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整理完备相关政府信息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宋体" w:cs="仿宋_GB2312" w:hint="eastAsia"/>
          <w:color w:val="000000"/>
          <w:sz w:val="32"/>
          <w:szCs w:val="32"/>
          <w:shd w:val="clear" w:color="auto" w:fill="FFFFFF"/>
        </w:rPr>
        <w:t>确保答复规范有据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全年受理县政府信息公开申请</w:t>
      </w: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1</w:t>
      </w:r>
      <w:r>
        <w:rPr>
          <w:rFonts w:ascii="Times New Roman" w:eastAsia="仿宋_GB2312" w:hAnsi="Times New Roman"/>
          <w:sz w:val="32"/>
          <w:szCs w:val="32"/>
        </w:rPr>
        <w:t>件，</w:t>
      </w:r>
      <w:r>
        <w:rPr>
          <w:rFonts w:ascii="Times New Roman" w:eastAsia="仿宋_GB2312" w:hAnsi="Times New Roman"/>
          <w:bCs/>
          <w:kern w:val="2"/>
          <w:sz w:val="32"/>
          <w:szCs w:val="32"/>
        </w:rPr>
        <w:t>办复率达到了</w:t>
      </w:r>
      <w:r>
        <w:rPr>
          <w:rFonts w:ascii="Times New Roman" w:eastAsia="仿宋_GB2312" w:hAnsi="Times New Roman"/>
          <w:bCs/>
          <w:kern w:val="2"/>
          <w:sz w:val="32"/>
          <w:szCs w:val="32"/>
        </w:rPr>
        <w:t>100%</w:t>
      </w:r>
      <w:r>
        <w:rPr>
          <w:rFonts w:ascii="Times New Roman" w:eastAsia="仿宋_GB2312" w:hAnsi="Times New Roman"/>
          <w:sz w:val="32"/>
          <w:szCs w:val="32"/>
        </w:rPr>
        <w:t>；妥善处置信息公开咨询、投诉、举报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全年无</w:t>
      </w:r>
      <w:r>
        <w:rPr>
          <w:rFonts w:ascii="Times New Roman" w:eastAsia="仿宋_GB2312" w:hAnsi="Times New Roman" w:hint="eastAsia"/>
          <w:sz w:val="32"/>
          <w:szCs w:val="32"/>
        </w:rPr>
        <w:t>行政复议</w:t>
      </w:r>
      <w:r>
        <w:rPr>
          <w:rFonts w:ascii="Times New Roman" w:eastAsia="仿宋_GB2312" w:hAnsi="Times New Roman" w:hint="eastAsia"/>
          <w:sz w:val="32"/>
          <w:szCs w:val="32"/>
        </w:rPr>
        <w:t>案件</w:t>
      </w:r>
      <w:r>
        <w:rPr>
          <w:rFonts w:ascii="Times New Roman" w:eastAsia="仿宋_GB2312" w:hAnsi="Times New Roman" w:hint="eastAsia"/>
          <w:sz w:val="32"/>
          <w:szCs w:val="32"/>
        </w:rPr>
        <w:t>，无被纠错情形。</w:t>
      </w: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（</w:t>
      </w:r>
      <w:r>
        <w:rPr>
          <w:rFonts w:ascii="Times New Roman" w:eastAsia="楷体_GB2312" w:hAnsi="Times New Roman" w:hint="eastAsia"/>
          <w:sz w:val="32"/>
          <w:szCs w:val="32"/>
        </w:rPr>
        <w:t>三</w:t>
      </w:r>
      <w:r>
        <w:rPr>
          <w:rFonts w:ascii="Times New Roman" w:eastAsia="楷体_GB2312" w:hAnsi="Times New Roman"/>
          <w:sz w:val="32"/>
          <w:szCs w:val="32"/>
        </w:rPr>
        <w:t>）</w:t>
      </w:r>
      <w:r>
        <w:rPr>
          <w:rFonts w:ascii="Times New Roman" w:eastAsia="楷体_GB2312" w:hAnsi="Times New Roman" w:hint="eastAsia"/>
          <w:sz w:val="32"/>
          <w:szCs w:val="32"/>
        </w:rPr>
        <w:t>严格</w:t>
      </w:r>
      <w:r>
        <w:rPr>
          <w:rFonts w:ascii="Times New Roman" w:eastAsia="楷体_GB2312" w:hAnsi="Times New Roman" w:hint="eastAsia"/>
          <w:sz w:val="32"/>
          <w:szCs w:val="32"/>
        </w:rPr>
        <w:t>政府信息源头管理</w:t>
      </w:r>
      <w:r>
        <w:rPr>
          <w:rFonts w:ascii="Times New Roman" w:eastAsia="楷体_GB2312" w:hAnsi="Times New Roman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完善</w:t>
      </w:r>
      <w:r>
        <w:rPr>
          <w:rFonts w:ascii="Times New Roman" w:eastAsia="仿宋_GB2312" w:hAnsi="Times New Roman"/>
          <w:sz w:val="32"/>
          <w:szCs w:val="32"/>
        </w:rPr>
        <w:t>《政府门户网站信息发布相关规范》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建立健全了政府信息发布保密审查等制度，严禁非涉密计算机处理涉密信息，保密责任进一步压实。进一步优化政府信息管理动态调整机制，</w:t>
      </w:r>
      <w:r>
        <w:rPr>
          <w:rFonts w:ascii="Times New Roman" w:eastAsia="仿宋_GB2312" w:hAnsi="Times New Roman"/>
          <w:sz w:val="32"/>
          <w:szCs w:val="32"/>
        </w:rPr>
        <w:t>将公文属性源头认定和发布审查嵌入发文流程，督促</w:t>
      </w:r>
      <w:r>
        <w:rPr>
          <w:rFonts w:ascii="Times New Roman" w:eastAsia="仿宋_GB2312" w:hAnsi="Times New Roman" w:hint="eastAsia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件县政府暨县政府办公室政策性文件及时公开发布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并</w:t>
      </w:r>
      <w:r>
        <w:rPr>
          <w:rFonts w:ascii="Times New Roman" w:eastAsia="仿宋_GB2312" w:hAnsi="Times New Roman"/>
          <w:sz w:val="32"/>
          <w:szCs w:val="32"/>
        </w:rPr>
        <w:t>定期对公开和不予公开的政府信息进行评估，对失效、废止的政府信息定期清理，保证了信息发布的内容质量。</w:t>
      </w: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（四）</w:t>
      </w:r>
      <w:r>
        <w:rPr>
          <w:rFonts w:ascii="Times New Roman" w:eastAsia="楷体_GB2312" w:hAnsi="Times New Roman" w:hint="eastAsia"/>
          <w:sz w:val="32"/>
          <w:szCs w:val="32"/>
        </w:rPr>
        <w:t>优化公开平台建设</w:t>
      </w:r>
      <w:r>
        <w:rPr>
          <w:rFonts w:ascii="Times New Roman" w:eastAsia="楷体_GB2312" w:hAnsi="Times New Roman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持续完善政府门户网站政府文件库管理工作，归集展示政府规章、行政规范性文件、</w:t>
      </w:r>
      <w:r>
        <w:rPr>
          <w:rFonts w:ascii="Times New Roman" w:eastAsia="仿宋_GB2312" w:hAnsi="Times New Roman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政府及</w:t>
      </w:r>
      <w:r>
        <w:rPr>
          <w:rFonts w:ascii="Times New Roman" w:eastAsia="仿宋_GB2312" w:hAnsi="Times New Roman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政府办公室文件。</w:t>
      </w:r>
      <w:r>
        <w:rPr>
          <w:rFonts w:ascii="Times New Roman" w:eastAsia="仿宋_GB2312" w:hAnsi="Times New Roman" w:hint="eastAsia"/>
          <w:sz w:val="32"/>
          <w:szCs w:val="32"/>
        </w:rPr>
        <w:t>加强政务新媒体管理，</w:t>
      </w:r>
      <w:r>
        <w:rPr>
          <w:rFonts w:ascii="Times New Roman" w:eastAsia="仿宋_GB2312" w:hAnsi="Times New Roman"/>
          <w:sz w:val="32"/>
          <w:szCs w:val="32"/>
        </w:rPr>
        <w:t>严格落实政务新媒体稿件发布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三级审核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制度，</w:t>
      </w:r>
      <w:r>
        <w:rPr>
          <w:rFonts w:ascii="Times New Roman" w:eastAsia="仿宋_GB2312" w:hAnsi="Times New Roman"/>
          <w:sz w:val="32"/>
          <w:szCs w:val="32"/>
        </w:rPr>
        <w:t>及时监测和处理违规问题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/>
          <w:sz w:val="32"/>
          <w:szCs w:val="32"/>
        </w:rPr>
        <w:t>巨鹿政务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巨鹿人社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巨鹿财政</w:t>
      </w:r>
      <w:r>
        <w:rPr>
          <w:rFonts w:ascii="Times New Roman" w:eastAsia="仿宋_GB2312" w:hAnsi="Times New Roman"/>
          <w:sz w:val="32"/>
          <w:szCs w:val="32"/>
        </w:rPr>
        <w:t>”“</w:t>
      </w:r>
      <w:r>
        <w:rPr>
          <w:rFonts w:ascii="Times New Roman" w:eastAsia="仿宋_GB2312" w:hAnsi="Times New Roman"/>
          <w:sz w:val="32"/>
          <w:szCs w:val="32"/>
        </w:rPr>
        <w:t>巨鹿卫健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/>
          <w:sz w:val="32"/>
          <w:szCs w:val="32"/>
        </w:rPr>
        <w:t>等微信公众号传播力、引导力、影响力、公信力不断升级。</w:t>
      </w:r>
      <w:r>
        <w:rPr>
          <w:rFonts w:ascii="Times New Roman" w:eastAsia="仿宋_GB2312" w:hAnsi="Times New Roman" w:hint="eastAsia"/>
          <w:sz w:val="32"/>
          <w:szCs w:val="32"/>
        </w:rPr>
        <w:t>积</w:t>
      </w:r>
      <w:r>
        <w:rPr>
          <w:rFonts w:ascii="Times New Roman" w:eastAsia="仿宋_GB2312" w:hAnsi="Times New Roman" w:hint="eastAsia"/>
          <w:sz w:val="32"/>
          <w:szCs w:val="32"/>
        </w:rPr>
        <w:t>极回应民众关切，建立健全政务舆情收集、研判、回应机制，</w:t>
      </w:r>
      <w:r>
        <w:rPr>
          <w:rFonts w:ascii="Times New Roman" w:eastAsia="仿宋_GB2312" w:hAnsi="Times New Roman" w:hint="eastAsia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 w:hint="eastAsia"/>
          <w:sz w:val="32"/>
          <w:szCs w:val="32"/>
        </w:rPr>
        <w:t>年度共收办网上留言</w:t>
      </w:r>
      <w:r>
        <w:rPr>
          <w:rFonts w:ascii="Times New Roman" w:eastAsia="仿宋_GB2312" w:hAnsi="Times New Roman" w:hint="eastAsia"/>
          <w:sz w:val="32"/>
          <w:szCs w:val="32"/>
        </w:rPr>
        <w:t>50</w:t>
      </w:r>
      <w:r>
        <w:rPr>
          <w:rFonts w:ascii="Times New Roman" w:eastAsia="仿宋_GB2312" w:hAnsi="Times New Roman" w:hint="eastAsia"/>
          <w:sz w:val="32"/>
          <w:szCs w:val="32"/>
        </w:rPr>
        <w:t>条，均按规定进行了答复，网上留言处理答复率达到</w:t>
      </w:r>
      <w:r>
        <w:rPr>
          <w:rFonts w:ascii="Times New Roman" w:eastAsia="仿宋_GB2312" w:hAnsi="Times New Roman" w:hint="eastAsia"/>
          <w:sz w:val="32"/>
          <w:szCs w:val="32"/>
        </w:rPr>
        <w:t>100%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楷体_GB2312" w:hAnsi="Times New Roman"/>
          <w:sz w:val="32"/>
          <w:szCs w:val="32"/>
        </w:rPr>
        <w:t>（五）</w:t>
      </w:r>
      <w:r>
        <w:rPr>
          <w:rFonts w:ascii="Times New Roman" w:eastAsia="楷体_GB2312" w:hAnsi="Times New Roman" w:hint="eastAsia"/>
          <w:sz w:val="32"/>
          <w:szCs w:val="32"/>
        </w:rPr>
        <w:t>持续加强监督保障。</w:t>
      </w:r>
      <w:r>
        <w:rPr>
          <w:rFonts w:ascii="Times New Roman" w:eastAsia="仿宋_GB2312" w:hAnsi="Times New Roman" w:hint="eastAsia"/>
          <w:sz w:val="32"/>
          <w:szCs w:val="32"/>
        </w:rPr>
        <w:t>多种方式加大监督保障力度，一是对</w:t>
      </w:r>
      <w:r>
        <w:rPr>
          <w:rFonts w:ascii="Times New Roman" w:eastAsia="仿宋_GB2312" w:hAnsi="Times New Roman"/>
          <w:sz w:val="32"/>
          <w:szCs w:val="32"/>
        </w:rPr>
        <w:t>政务公开工作</w:t>
      </w:r>
      <w:r>
        <w:rPr>
          <w:rFonts w:ascii="Times New Roman" w:eastAsia="仿宋_GB2312" w:hAnsi="Times New Roman" w:hint="eastAsia"/>
          <w:sz w:val="32"/>
          <w:szCs w:val="32"/>
        </w:rPr>
        <w:t>等</w:t>
      </w:r>
      <w:r>
        <w:rPr>
          <w:rFonts w:ascii="Times New Roman" w:eastAsia="仿宋_GB2312" w:hAnsi="Times New Roman"/>
          <w:sz w:val="32"/>
          <w:szCs w:val="32"/>
        </w:rPr>
        <w:t>重点任务</w:t>
      </w:r>
      <w:r>
        <w:rPr>
          <w:rFonts w:ascii="Times New Roman" w:eastAsia="仿宋_GB2312" w:hAnsi="Times New Roman" w:hint="eastAsia"/>
          <w:sz w:val="32"/>
          <w:szCs w:val="32"/>
        </w:rPr>
        <w:t>建立工作台账，明晰工作内容。二是通过新媒体工作群等高效渠道，定期发布工作通知、日常检查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情况通报，保证工作质量。三是统筹日常业务和年度重点任务，</w:t>
      </w:r>
      <w:r>
        <w:rPr>
          <w:rFonts w:ascii="Times New Roman" w:eastAsia="仿宋_GB2312" w:hAnsi="Times New Roman" w:hint="eastAsia"/>
          <w:sz w:val="32"/>
          <w:szCs w:val="32"/>
        </w:rPr>
        <w:t>对</w:t>
      </w:r>
      <w:r>
        <w:rPr>
          <w:rFonts w:ascii="Times New Roman" w:eastAsia="仿宋_GB2312" w:hAnsi="Times New Roman" w:hint="eastAsia"/>
          <w:sz w:val="32"/>
          <w:szCs w:val="32"/>
        </w:rPr>
        <w:t>各</w:t>
      </w:r>
      <w:r>
        <w:rPr>
          <w:rFonts w:ascii="Times New Roman" w:eastAsia="仿宋_GB2312" w:hAnsi="Times New Roman"/>
          <w:sz w:val="32"/>
          <w:szCs w:val="32"/>
        </w:rPr>
        <w:t>乡镇、各部门</w:t>
      </w:r>
      <w:r>
        <w:rPr>
          <w:rFonts w:ascii="Times New Roman" w:eastAsia="仿宋_GB2312" w:hAnsi="Times New Roman" w:hint="eastAsia"/>
          <w:sz w:val="32"/>
          <w:szCs w:val="32"/>
        </w:rPr>
        <w:t>政务公开工作人员进行了业务培训，进一步提升全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 w:hint="eastAsia"/>
          <w:sz w:val="32"/>
          <w:szCs w:val="32"/>
        </w:rPr>
        <w:t>政务公开工作</w:t>
      </w:r>
      <w:r>
        <w:rPr>
          <w:rFonts w:ascii="Times New Roman" w:eastAsia="仿宋_GB2312" w:hAnsi="Times New Roman" w:hint="eastAsia"/>
          <w:sz w:val="32"/>
          <w:szCs w:val="32"/>
        </w:rPr>
        <w:t>效率。</w:t>
      </w: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  <w:r>
        <w:rPr>
          <w:rFonts w:ascii="Times New Roman" w:eastAsia="黑体" w:hAnsi="Times New Roman"/>
          <w:kern w:val="2"/>
          <w:sz w:val="32"/>
          <w:szCs w:val="32"/>
        </w:rPr>
        <w:t>二、主动公开政府信息情况</w:t>
      </w:r>
    </w:p>
    <w:tbl>
      <w:tblPr>
        <w:tblW w:w="824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998"/>
        <w:gridCol w:w="2122"/>
        <w:gridCol w:w="2060"/>
        <w:gridCol w:w="2060"/>
      </w:tblGrid>
      <w:tr w:rsidR="00372B20">
        <w:trPr>
          <w:trHeight w:val="575"/>
          <w:jc w:val="center"/>
        </w:trPr>
        <w:tc>
          <w:tcPr>
            <w:tcW w:w="8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第二十条第（一）项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信息内容</w:t>
            </w:r>
          </w:p>
        </w:tc>
        <w:tc>
          <w:tcPr>
            <w:tcW w:w="2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本年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制发件数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本年废止件数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现行有效件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数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规章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  <w:lang/>
              </w:rPr>
              <w:t>0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行政规范性文件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D65CAF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/>
              </w:rPr>
              <w:t>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D65CAF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D65CAF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  <w:lang/>
              </w:rPr>
              <w:t>19</w:t>
            </w:r>
          </w:p>
        </w:tc>
      </w:tr>
      <w:tr w:rsidR="00372B20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第二十条第（五）项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信息内容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本年处理决定数量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行政许可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20275</w:t>
            </w:r>
          </w:p>
        </w:tc>
      </w:tr>
      <w:tr w:rsidR="00372B20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第二十条第（六）项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信息内容</w:t>
            </w:r>
          </w:p>
        </w:tc>
        <w:tc>
          <w:tcPr>
            <w:tcW w:w="62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本年处理决定数量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行政处罚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1494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行政强制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  <w:lang/>
              </w:rPr>
              <w:t>0</w:t>
            </w:r>
          </w:p>
        </w:tc>
      </w:tr>
      <w:tr w:rsidR="00372B20">
        <w:trPr>
          <w:trHeight w:val="575"/>
          <w:jc w:val="center"/>
        </w:trPr>
        <w:tc>
          <w:tcPr>
            <w:tcW w:w="82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第二十条第（八）项</w:t>
            </w:r>
          </w:p>
        </w:tc>
      </w:tr>
      <w:tr w:rsidR="00372B20">
        <w:trPr>
          <w:trHeight w:val="575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信息内容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本年收费金额（单位：万元）</w:t>
            </w:r>
          </w:p>
        </w:tc>
      </w:tr>
      <w:tr w:rsidR="00372B20">
        <w:trPr>
          <w:trHeight w:val="644"/>
          <w:jc w:val="center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行政事业性收费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6130</w:t>
            </w:r>
          </w:p>
        </w:tc>
      </w:tr>
    </w:tbl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宋体" w:hAnsi="Times New Roman"/>
        </w:rPr>
      </w:pPr>
      <w:r>
        <w:rPr>
          <w:rFonts w:ascii="Times New Roman" w:eastAsia="黑体" w:hAnsi="Times New Roman"/>
          <w:kern w:val="2"/>
          <w:sz w:val="32"/>
          <w:szCs w:val="32"/>
        </w:rPr>
        <w:lastRenderedPageBreak/>
        <w:t>三、收到和处理政府信息公开申请情况</w:t>
      </w:r>
    </w:p>
    <w:tbl>
      <w:tblPr>
        <w:tblW w:w="835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6"/>
        <w:gridCol w:w="806"/>
        <w:gridCol w:w="2756"/>
        <w:gridCol w:w="590"/>
        <w:gridCol w:w="587"/>
        <w:gridCol w:w="590"/>
        <w:gridCol w:w="587"/>
        <w:gridCol w:w="590"/>
        <w:gridCol w:w="596"/>
        <w:gridCol w:w="601"/>
      </w:tblGrid>
      <w:tr w:rsidR="00372B20">
        <w:trPr>
          <w:trHeight w:val="980"/>
          <w:jc w:val="center"/>
        </w:trPr>
        <w:tc>
          <w:tcPr>
            <w:tcW w:w="4218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楷体" w:hAnsi="Times New Roman"/>
                <w:kern w:val="0"/>
                <w:sz w:val="20"/>
                <w:szCs w:val="20"/>
                <w:lang/>
              </w:rPr>
              <w:t>（本列数据的勾稽关系为：第一项加第二项之和，等于第三项加第四项之和）</w:t>
            </w:r>
          </w:p>
        </w:tc>
        <w:tc>
          <w:tcPr>
            <w:tcW w:w="4141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申请人情况</w:t>
            </w:r>
          </w:p>
        </w:tc>
      </w:tr>
      <w:tr w:rsidR="00372B20">
        <w:trPr>
          <w:trHeight w:val="1121"/>
          <w:jc w:val="center"/>
        </w:trPr>
        <w:tc>
          <w:tcPr>
            <w:tcW w:w="4218" w:type="dxa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自然人</w:t>
            </w:r>
          </w:p>
        </w:tc>
        <w:tc>
          <w:tcPr>
            <w:tcW w:w="295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法人或其他组织</w:t>
            </w:r>
          </w:p>
        </w:tc>
        <w:tc>
          <w:tcPr>
            <w:tcW w:w="60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总计</w:t>
            </w:r>
          </w:p>
        </w:tc>
      </w:tr>
      <w:tr w:rsidR="00372B20">
        <w:trPr>
          <w:trHeight w:val="1539"/>
          <w:jc w:val="center"/>
        </w:trPr>
        <w:tc>
          <w:tcPr>
            <w:tcW w:w="4218" w:type="dxa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0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商业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企业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科研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机构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社会公益组织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法律服务机构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其他</w:t>
            </w:r>
          </w:p>
        </w:tc>
        <w:tc>
          <w:tcPr>
            <w:tcW w:w="601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B20">
        <w:trPr>
          <w:trHeight w:val="730"/>
          <w:jc w:val="center"/>
        </w:trPr>
        <w:tc>
          <w:tcPr>
            <w:tcW w:w="4218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一、本年新收政府信息公开申请数量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</w:tr>
      <w:tr w:rsidR="00372B20">
        <w:trPr>
          <w:trHeight w:val="670"/>
          <w:jc w:val="center"/>
        </w:trPr>
        <w:tc>
          <w:tcPr>
            <w:tcW w:w="4218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二、上年结转政府信息公开申请数量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80"/>
          <w:jc w:val="center"/>
        </w:trPr>
        <w:tc>
          <w:tcPr>
            <w:tcW w:w="65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三、本年度办理结果</w:t>
            </w:r>
          </w:p>
        </w:tc>
        <w:tc>
          <w:tcPr>
            <w:tcW w:w="3562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（一）予以公开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</w:tr>
      <w:tr w:rsidR="00372B20">
        <w:trPr>
          <w:trHeight w:val="86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（二）部分公开</w:t>
            </w:r>
            <w:r>
              <w:rPr>
                <w:rFonts w:ascii="Times New Roman" w:eastAsia="楷体" w:hAnsi="Times New Roman"/>
                <w:kern w:val="0"/>
                <w:sz w:val="20"/>
                <w:szCs w:val="20"/>
                <w:lang/>
              </w:rPr>
              <w:t>（区分处理的，只计这一情形，不计其他情形）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Theme="minorEastAsia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Theme="minorEastAsia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2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（三）不予公开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属于国家秘密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0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其他法律行政法规禁止公开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6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危及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“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三安全一稳定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”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49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4.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保护第三方合法权益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0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5.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属于三类内部事务信息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8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6.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属于四类过程性信息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6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7.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属于行政执法案卷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49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8.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属于行政查询事项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64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（四）无法提供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本机关不掌握相关政府信息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62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没有现成信息需要另行制作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46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补正后申请内容仍不明确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8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（五）不予处理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信访举报投诉类申请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2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重复申请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0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要求提供公开出版物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53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4.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无正当理由大量反复申请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890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5.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要求行政机关确认或重新出具已获取信息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1305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（六）其他处理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申请人无正当理由逾期不补正、行政机关不再处理其政府信息公开申请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1374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申请人逾期未按收费通知要求缴纳费用、行政机关不再处理其政府信息公开申请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72B20">
        <w:trPr>
          <w:trHeight w:val="907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其他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</w:tr>
      <w:tr w:rsidR="00372B20">
        <w:trPr>
          <w:trHeight w:val="551"/>
          <w:jc w:val="center"/>
        </w:trPr>
        <w:tc>
          <w:tcPr>
            <w:tcW w:w="656" w:type="dxa"/>
            <w:vMerge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2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（七）总计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</w:tr>
      <w:tr w:rsidR="00372B20">
        <w:trPr>
          <w:trHeight w:val="531"/>
          <w:jc w:val="center"/>
        </w:trPr>
        <w:tc>
          <w:tcPr>
            <w:tcW w:w="4218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四、结转下年度继续办理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87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0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96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1" w:type="dxa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0</w:t>
            </w:r>
          </w:p>
        </w:tc>
      </w:tr>
    </w:tbl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372B20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2"/>
          <w:sz w:val="32"/>
          <w:szCs w:val="32"/>
        </w:rPr>
      </w:pPr>
    </w:p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宋体" w:hAnsi="Times New Roman"/>
          <w:color w:val="333333"/>
          <w:szCs w:val="24"/>
        </w:rPr>
      </w:pPr>
      <w:r>
        <w:rPr>
          <w:rFonts w:ascii="Times New Roman" w:eastAsia="黑体" w:hAnsi="Times New Roman"/>
          <w:kern w:val="2"/>
          <w:sz w:val="32"/>
          <w:szCs w:val="32"/>
        </w:rPr>
        <w:lastRenderedPageBreak/>
        <w:t>四、政府信息公开行政复议、行政诉讼情况</w:t>
      </w:r>
    </w:p>
    <w:tbl>
      <w:tblPr>
        <w:tblW w:w="8659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5"/>
        <w:gridCol w:w="575"/>
        <w:gridCol w:w="575"/>
        <w:gridCol w:w="575"/>
        <w:gridCol w:w="582"/>
        <w:gridCol w:w="575"/>
        <w:gridCol w:w="575"/>
        <w:gridCol w:w="576"/>
        <w:gridCol w:w="576"/>
        <w:gridCol w:w="583"/>
        <w:gridCol w:w="577"/>
        <w:gridCol w:w="577"/>
        <w:gridCol w:w="577"/>
        <w:gridCol w:w="577"/>
        <w:gridCol w:w="584"/>
      </w:tblGrid>
      <w:tr w:rsidR="00372B20">
        <w:trPr>
          <w:trHeight w:val="544"/>
          <w:jc w:val="center"/>
        </w:trPr>
        <w:tc>
          <w:tcPr>
            <w:tcW w:w="28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行政复议</w:t>
            </w:r>
          </w:p>
        </w:tc>
        <w:tc>
          <w:tcPr>
            <w:tcW w:w="5777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行政诉讼</w:t>
            </w:r>
          </w:p>
        </w:tc>
      </w:tr>
      <w:tr w:rsidR="00372B20">
        <w:trPr>
          <w:trHeight w:val="544"/>
          <w:jc w:val="center"/>
        </w:trPr>
        <w:tc>
          <w:tcPr>
            <w:tcW w:w="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结果维持</w:t>
            </w:r>
          </w:p>
        </w:tc>
        <w:tc>
          <w:tcPr>
            <w:tcW w:w="5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纠正</w:t>
            </w:r>
          </w:p>
        </w:tc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其他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</w:tc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尚未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审结</w:t>
            </w:r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总计</w:t>
            </w:r>
          </w:p>
        </w:tc>
        <w:tc>
          <w:tcPr>
            <w:tcW w:w="28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未经复议直接起诉</w:t>
            </w:r>
          </w:p>
        </w:tc>
        <w:tc>
          <w:tcPr>
            <w:tcW w:w="289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复议后起诉</w:t>
            </w:r>
          </w:p>
        </w:tc>
      </w:tr>
      <w:tr w:rsidR="00372B20">
        <w:trPr>
          <w:trHeight w:val="544"/>
          <w:jc w:val="center"/>
        </w:trPr>
        <w:tc>
          <w:tcPr>
            <w:tcW w:w="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372B20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维持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纠正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其他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尚未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审结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总计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维持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结果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纠正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其他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结果</w:t>
            </w:r>
          </w:p>
        </w:tc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尚未</w:t>
            </w:r>
          </w:p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  <w:lang/>
              </w:rPr>
              <w:t>审结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lang/>
              </w:rPr>
              <w:t>总计</w:t>
            </w:r>
          </w:p>
        </w:tc>
      </w:tr>
      <w:tr w:rsidR="00372B20">
        <w:trPr>
          <w:trHeight w:val="641"/>
          <w:jc w:val="center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hAnsi="Times New Roman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72B20" w:rsidRDefault="008A2079">
            <w:pPr>
              <w:adjustRightInd w:val="0"/>
              <w:snapToGrid w:val="0"/>
              <w:spacing w:line="560" w:lineRule="exac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  <w:lang/>
              </w:rPr>
              <w:t>0</w:t>
            </w:r>
          </w:p>
        </w:tc>
      </w:tr>
    </w:tbl>
    <w:p w:rsidR="00372B20" w:rsidRDefault="008A2079">
      <w:pPr>
        <w:pStyle w:val="a7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Times New Roman" w:eastAsia="黑体" w:hAnsi="Times New Roman"/>
          <w:kern w:val="1"/>
          <w:sz w:val="32"/>
          <w:szCs w:val="32"/>
        </w:rPr>
      </w:pPr>
      <w:r>
        <w:rPr>
          <w:rFonts w:ascii="Times New Roman" w:eastAsia="黑体" w:hAnsi="Times New Roman"/>
          <w:kern w:val="1"/>
          <w:sz w:val="32"/>
          <w:szCs w:val="32"/>
        </w:rPr>
        <w:t>五、存在的主要问题及改进情况</w:t>
      </w:r>
    </w:p>
    <w:p w:rsidR="00372B20" w:rsidRDefault="008A2079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2024</w:t>
      </w:r>
      <w:r>
        <w:rPr>
          <w:rFonts w:ascii="Times New Roman" w:eastAsia="仿宋_GB2312" w:hAnsi="Times New Roman"/>
          <w:sz w:val="32"/>
          <w:szCs w:val="32"/>
        </w:rPr>
        <w:t>年，</w:t>
      </w:r>
      <w:r>
        <w:rPr>
          <w:rFonts w:ascii="Times New Roman" w:eastAsia="仿宋_GB2312" w:hAnsi="Times New Roman" w:hint="eastAsia"/>
          <w:sz w:val="32"/>
          <w:szCs w:val="32"/>
        </w:rPr>
        <w:t>我县</w:t>
      </w:r>
      <w:r>
        <w:rPr>
          <w:rFonts w:ascii="Times New Roman" w:eastAsia="仿宋_GB2312" w:hAnsi="Times New Roman"/>
          <w:sz w:val="32"/>
          <w:szCs w:val="32"/>
        </w:rPr>
        <w:t>在政府信息公开方面取得了一定的成绩，但仍存在一些问题：一是政务</w:t>
      </w:r>
      <w:r>
        <w:rPr>
          <w:rFonts w:ascii="Times New Roman" w:eastAsia="仿宋_GB2312" w:hAnsi="Times New Roman" w:hint="eastAsia"/>
          <w:sz w:val="32"/>
          <w:szCs w:val="32"/>
        </w:rPr>
        <w:t>信息</w:t>
      </w:r>
      <w:r>
        <w:rPr>
          <w:rFonts w:ascii="Times New Roman" w:eastAsia="仿宋_GB2312" w:hAnsi="Times New Roman"/>
          <w:sz w:val="32"/>
          <w:szCs w:val="32"/>
        </w:rPr>
        <w:t>公开不全面、不规范</w:t>
      </w:r>
      <w:r>
        <w:rPr>
          <w:rFonts w:ascii="Times New Roman" w:eastAsia="仿宋_GB2312" w:hAnsi="Times New Roman" w:hint="eastAsia"/>
          <w:sz w:val="32"/>
          <w:szCs w:val="32"/>
        </w:rPr>
        <w:t>的问题</w:t>
      </w:r>
      <w:r>
        <w:rPr>
          <w:rFonts w:ascii="Times New Roman" w:eastAsia="仿宋_GB2312" w:hAnsi="Times New Roman"/>
          <w:sz w:val="32"/>
          <w:szCs w:val="32"/>
        </w:rPr>
        <w:t>仍不同程度存在。二是对基层政务公开工作的指导有待进一步加强</w:t>
      </w:r>
      <w:r>
        <w:rPr>
          <w:rFonts w:ascii="Times New Roman" w:eastAsia="仿宋_GB2312" w:hAnsi="Times New Roman" w:hint="eastAsia"/>
          <w:sz w:val="32"/>
          <w:szCs w:val="32"/>
        </w:rPr>
        <w:t>。</w:t>
      </w:r>
      <w:r>
        <w:rPr>
          <w:rFonts w:ascii="Times New Roman" w:eastAsia="仿宋_GB2312" w:hAnsi="Times New Roman"/>
          <w:sz w:val="32"/>
          <w:szCs w:val="32"/>
        </w:rPr>
        <w:t>三是政务公开创新做法和典型经验案例有待进一步挖掘。</w:t>
      </w:r>
    </w:p>
    <w:p w:rsidR="00372B20" w:rsidRDefault="008A2079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针对工作中存在的问题，主要从以下几个方面加以改进：一是加强管理，进一步建立健全政府信息公开工作机制，持续加强信息审核、发布、监督等工作，促进</w:t>
      </w:r>
      <w:r>
        <w:rPr>
          <w:rFonts w:ascii="Times New Roman" w:eastAsia="仿宋_GB2312" w:hAnsi="Times New Roman" w:hint="eastAsia"/>
          <w:sz w:val="32"/>
          <w:szCs w:val="32"/>
        </w:rPr>
        <w:t>政务公开</w:t>
      </w:r>
      <w:r>
        <w:rPr>
          <w:rFonts w:ascii="Times New Roman" w:eastAsia="仿宋_GB2312" w:hAnsi="Times New Roman"/>
          <w:sz w:val="32"/>
          <w:szCs w:val="32"/>
        </w:rPr>
        <w:t>工作的规范化、常态化。二是加大对全</w:t>
      </w:r>
      <w:r>
        <w:rPr>
          <w:rFonts w:ascii="Times New Roman" w:eastAsia="仿宋_GB2312" w:hAnsi="Times New Roman" w:hint="eastAsia"/>
          <w:sz w:val="32"/>
          <w:szCs w:val="32"/>
        </w:rPr>
        <w:t>县</w:t>
      </w:r>
      <w:r>
        <w:rPr>
          <w:rFonts w:ascii="Times New Roman" w:eastAsia="仿宋_GB2312" w:hAnsi="Times New Roman"/>
          <w:sz w:val="32"/>
          <w:szCs w:val="32"/>
        </w:rPr>
        <w:t>政务公开工作指导监督力度，特别是对各</w:t>
      </w:r>
      <w:r>
        <w:rPr>
          <w:rFonts w:ascii="Times New Roman" w:eastAsia="仿宋_GB2312" w:hAnsi="Times New Roman" w:hint="eastAsia"/>
          <w:sz w:val="32"/>
          <w:szCs w:val="32"/>
        </w:rPr>
        <w:t>乡镇、各部门</w:t>
      </w:r>
      <w:r>
        <w:rPr>
          <w:rFonts w:ascii="Times New Roman" w:eastAsia="仿宋_GB2312" w:hAnsi="Times New Roman"/>
          <w:sz w:val="32"/>
          <w:szCs w:val="32"/>
        </w:rPr>
        <w:t>做好主动公开法定公开事项</w:t>
      </w:r>
      <w:r>
        <w:rPr>
          <w:rFonts w:ascii="Times New Roman" w:eastAsia="仿宋_GB2312" w:hAnsi="Times New Roman"/>
          <w:sz w:val="32"/>
          <w:szCs w:val="32"/>
        </w:rPr>
        <w:t>、加强政策宣传解读、依法依规答复政府信息依申请公开等方面加强业务指导，努力提升基层解决实际问题的能力和水平。三是深入各</w:t>
      </w:r>
      <w:r>
        <w:rPr>
          <w:rFonts w:ascii="Times New Roman" w:eastAsia="仿宋_GB2312" w:hAnsi="Times New Roman" w:hint="eastAsia"/>
          <w:sz w:val="32"/>
          <w:szCs w:val="32"/>
        </w:rPr>
        <w:t>乡镇、各部门</w:t>
      </w:r>
      <w:r>
        <w:rPr>
          <w:rFonts w:ascii="Times New Roman" w:eastAsia="仿宋_GB2312" w:hAnsi="Times New Roman"/>
          <w:sz w:val="32"/>
          <w:szCs w:val="32"/>
        </w:rPr>
        <w:t>调研，深入挖掘提炼政务公开创新做法和典型经验，全面宣传政务公开的新举措、新成效、新模式，充分发挥典型经验做法的示范</w:t>
      </w:r>
      <w:r>
        <w:rPr>
          <w:rFonts w:ascii="Times New Roman" w:eastAsia="仿宋_GB2312" w:hAnsi="Times New Roman"/>
          <w:sz w:val="32"/>
          <w:szCs w:val="32"/>
        </w:rPr>
        <w:lastRenderedPageBreak/>
        <w:t>引领作用。</w:t>
      </w:r>
    </w:p>
    <w:p w:rsidR="00372B20" w:rsidRDefault="008A2079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六、其他需要报告的事项</w:t>
      </w:r>
    </w:p>
    <w:p w:rsidR="00372B20" w:rsidRDefault="008A2079">
      <w:pPr>
        <w:pBdr>
          <w:bottom w:val="single" w:sz="4" w:space="31" w:color="FFFFFF"/>
        </w:pBdr>
        <w:adjustRightInd w:val="0"/>
        <w:snapToGrid w:val="0"/>
        <w:spacing w:line="560" w:lineRule="exact"/>
        <w:ind w:firstLineChars="200" w:firstLine="640"/>
        <w:textAlignment w:val="top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认真贯彻执行国务院办公厅《政府信息公开信息处理费管理办法》和《关于政府信息公开处理费管理有关事项的通知》。</w:t>
      </w:r>
      <w:r>
        <w:rPr>
          <w:rFonts w:ascii="Times New Roman" w:eastAsia="仿宋_GB2312" w:hAnsi="Times New Roman"/>
          <w:sz w:val="32"/>
          <w:szCs w:val="32"/>
        </w:rPr>
        <w:t>202</w:t>
      </w:r>
      <w:r>
        <w:rPr>
          <w:rFonts w:ascii="Times New Roman" w:eastAsia="仿宋_GB2312" w:hAnsi="Times New Roman" w:hint="eastAsia"/>
          <w:sz w:val="32"/>
          <w:szCs w:val="32"/>
        </w:rPr>
        <w:t>4</w:t>
      </w:r>
      <w:r>
        <w:rPr>
          <w:rFonts w:ascii="Times New Roman" w:eastAsia="仿宋_GB2312" w:hAnsi="Times New Roman"/>
          <w:sz w:val="32"/>
          <w:szCs w:val="32"/>
        </w:rPr>
        <w:t>年县政府未收取信息处理费。</w:t>
      </w:r>
    </w:p>
    <w:p w:rsidR="00372B20" w:rsidRDefault="008A2079">
      <w:pPr>
        <w:pStyle w:val="a0"/>
        <w:spacing w:line="560" w:lineRule="exact"/>
        <w:ind w:right="32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    </w:t>
      </w:r>
      <w:r>
        <w:rPr>
          <w:rFonts w:eastAsia="仿宋_GB2312"/>
          <w:sz w:val="32"/>
          <w:szCs w:val="32"/>
        </w:rPr>
        <w:t>巨鹿县人民政府</w:t>
      </w:r>
    </w:p>
    <w:p w:rsidR="00372B20" w:rsidRDefault="008A2079">
      <w:pPr>
        <w:spacing w:line="560" w:lineRule="exact"/>
        <w:ind w:right="32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</w:t>
      </w:r>
      <w:bookmarkStart w:id="0" w:name="_GoBack"/>
      <w:bookmarkEnd w:id="0"/>
      <w:r>
        <w:rPr>
          <w:rFonts w:ascii="Times New Roman" w:eastAsia="仿宋_GB2312" w:hAnsi="Times New Roman"/>
          <w:sz w:val="32"/>
          <w:szCs w:val="32"/>
        </w:rPr>
        <w:t>2024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11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372B20" w:rsidRDefault="00372B20">
      <w:pPr>
        <w:pStyle w:val="a0"/>
        <w:spacing w:line="560" w:lineRule="exact"/>
      </w:pPr>
    </w:p>
    <w:p w:rsidR="00372B20" w:rsidRDefault="00372B20">
      <w:pPr>
        <w:pStyle w:val="a0"/>
        <w:spacing w:line="560" w:lineRule="exact"/>
      </w:pPr>
    </w:p>
    <w:sectPr w:rsidR="00372B20" w:rsidSect="00372B20">
      <w:footerReference w:type="default" r:id="rId6"/>
      <w:pgSz w:w="11906" w:h="16838"/>
      <w:pgMar w:top="2154" w:right="1531" w:bottom="1984" w:left="153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079" w:rsidRDefault="008A2079" w:rsidP="00372B20">
      <w:r>
        <w:separator/>
      </w:r>
    </w:p>
  </w:endnote>
  <w:endnote w:type="continuationSeparator" w:id="0">
    <w:p w:rsidR="008A2079" w:rsidRDefault="008A2079" w:rsidP="00372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8726235"/>
    </w:sdtPr>
    <w:sdtEndPr>
      <w:rPr>
        <w:rFonts w:ascii="Times New Roman" w:hAnsi="Times New Roman"/>
        <w:sz w:val="24"/>
        <w:szCs w:val="24"/>
      </w:rPr>
    </w:sdtEndPr>
    <w:sdtContent>
      <w:p w:rsidR="00372B20" w:rsidRDefault="00372B20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 w:rsidR="008A2079">
          <w:rPr>
            <w:rFonts w:ascii="Times New Roman" w:hAnsi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 w:rsidR="00D65CAF" w:rsidRPr="00D65CAF">
          <w:rPr>
            <w:rFonts w:ascii="Times New Roman" w:hAnsi="Times New Roman"/>
            <w:noProof/>
            <w:sz w:val="24"/>
            <w:szCs w:val="24"/>
            <w:lang w:val="zh-CN"/>
          </w:rPr>
          <w:t>3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72B20" w:rsidRDefault="00372B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079" w:rsidRDefault="008A2079" w:rsidP="00372B20">
      <w:r>
        <w:separator/>
      </w:r>
    </w:p>
  </w:footnote>
  <w:footnote w:type="continuationSeparator" w:id="0">
    <w:p w:rsidR="008A2079" w:rsidRDefault="008A2079" w:rsidP="00372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Q1Y2QxY2Y4OWRiODlhNTBmOTVlNDI2YzRjMmZjOWUifQ=="/>
  </w:docVars>
  <w:rsids>
    <w:rsidRoot w:val="003D19F4"/>
    <w:rsid w:val="00005A28"/>
    <w:rsid w:val="0006056A"/>
    <w:rsid w:val="00203D69"/>
    <w:rsid w:val="002410B0"/>
    <w:rsid w:val="002C48FF"/>
    <w:rsid w:val="002D6026"/>
    <w:rsid w:val="002F1DDA"/>
    <w:rsid w:val="00332E52"/>
    <w:rsid w:val="00372B20"/>
    <w:rsid w:val="003B61C6"/>
    <w:rsid w:val="003D19F4"/>
    <w:rsid w:val="00477E8E"/>
    <w:rsid w:val="004A5C4B"/>
    <w:rsid w:val="004D38E8"/>
    <w:rsid w:val="0050304A"/>
    <w:rsid w:val="005A7C5E"/>
    <w:rsid w:val="005F155F"/>
    <w:rsid w:val="006019FF"/>
    <w:rsid w:val="00602574"/>
    <w:rsid w:val="0060310A"/>
    <w:rsid w:val="006047D5"/>
    <w:rsid w:val="006138EB"/>
    <w:rsid w:val="006B195A"/>
    <w:rsid w:val="006D7411"/>
    <w:rsid w:val="007345F9"/>
    <w:rsid w:val="007A4D35"/>
    <w:rsid w:val="007F49D1"/>
    <w:rsid w:val="00871D54"/>
    <w:rsid w:val="008A2079"/>
    <w:rsid w:val="008B3F2A"/>
    <w:rsid w:val="008B4907"/>
    <w:rsid w:val="009020FB"/>
    <w:rsid w:val="009A49F1"/>
    <w:rsid w:val="00A47173"/>
    <w:rsid w:val="00A77CD0"/>
    <w:rsid w:val="00A84A5E"/>
    <w:rsid w:val="00B26551"/>
    <w:rsid w:val="00C213E8"/>
    <w:rsid w:val="00D02940"/>
    <w:rsid w:val="00D65CAF"/>
    <w:rsid w:val="00D91BB5"/>
    <w:rsid w:val="00DA6729"/>
    <w:rsid w:val="00E35A01"/>
    <w:rsid w:val="00EF0F10"/>
    <w:rsid w:val="00F9695B"/>
    <w:rsid w:val="00FA544F"/>
    <w:rsid w:val="00FA79F1"/>
    <w:rsid w:val="011448F5"/>
    <w:rsid w:val="016A5170"/>
    <w:rsid w:val="01E84620"/>
    <w:rsid w:val="02EF1E8A"/>
    <w:rsid w:val="0499109E"/>
    <w:rsid w:val="05854715"/>
    <w:rsid w:val="05EC445F"/>
    <w:rsid w:val="06011C25"/>
    <w:rsid w:val="075223AF"/>
    <w:rsid w:val="09467281"/>
    <w:rsid w:val="09721F84"/>
    <w:rsid w:val="0B464FE5"/>
    <w:rsid w:val="0CEC7E16"/>
    <w:rsid w:val="0D8C70F4"/>
    <w:rsid w:val="0F6E7050"/>
    <w:rsid w:val="0F8E29A9"/>
    <w:rsid w:val="0FC73F4D"/>
    <w:rsid w:val="0FD4052B"/>
    <w:rsid w:val="105067D1"/>
    <w:rsid w:val="1087635F"/>
    <w:rsid w:val="11056AD0"/>
    <w:rsid w:val="113C3AA9"/>
    <w:rsid w:val="13D842FC"/>
    <w:rsid w:val="15080B89"/>
    <w:rsid w:val="151339F2"/>
    <w:rsid w:val="16F726BA"/>
    <w:rsid w:val="19260DFF"/>
    <w:rsid w:val="19634878"/>
    <w:rsid w:val="1AC27A2C"/>
    <w:rsid w:val="1AE300CE"/>
    <w:rsid w:val="1E5A1D87"/>
    <w:rsid w:val="1E830638"/>
    <w:rsid w:val="1F396E36"/>
    <w:rsid w:val="20157CA1"/>
    <w:rsid w:val="208732AA"/>
    <w:rsid w:val="20E513C6"/>
    <w:rsid w:val="21CA115F"/>
    <w:rsid w:val="22264BFB"/>
    <w:rsid w:val="261E4821"/>
    <w:rsid w:val="26323DF9"/>
    <w:rsid w:val="264F24C6"/>
    <w:rsid w:val="273506C4"/>
    <w:rsid w:val="28645BC6"/>
    <w:rsid w:val="28FC0CC5"/>
    <w:rsid w:val="29BF6131"/>
    <w:rsid w:val="2BE36D74"/>
    <w:rsid w:val="2C41635D"/>
    <w:rsid w:val="2E79022B"/>
    <w:rsid w:val="2F547565"/>
    <w:rsid w:val="2FC90516"/>
    <w:rsid w:val="30C419B0"/>
    <w:rsid w:val="31641CA1"/>
    <w:rsid w:val="319F5F79"/>
    <w:rsid w:val="31AD0696"/>
    <w:rsid w:val="361364B8"/>
    <w:rsid w:val="36407DC8"/>
    <w:rsid w:val="38265BD1"/>
    <w:rsid w:val="39520EAA"/>
    <w:rsid w:val="397162D8"/>
    <w:rsid w:val="3ABC4610"/>
    <w:rsid w:val="3B337E5E"/>
    <w:rsid w:val="3C70226D"/>
    <w:rsid w:val="3E512B46"/>
    <w:rsid w:val="3F3E6DD2"/>
    <w:rsid w:val="400F20B6"/>
    <w:rsid w:val="40A92971"/>
    <w:rsid w:val="40C77E19"/>
    <w:rsid w:val="411C4301"/>
    <w:rsid w:val="42E95CA2"/>
    <w:rsid w:val="436E03ED"/>
    <w:rsid w:val="462E719C"/>
    <w:rsid w:val="47FB61A8"/>
    <w:rsid w:val="48290FF4"/>
    <w:rsid w:val="4921629F"/>
    <w:rsid w:val="49402663"/>
    <w:rsid w:val="499D3E09"/>
    <w:rsid w:val="4E3B7723"/>
    <w:rsid w:val="4F1436CD"/>
    <w:rsid w:val="4F250E5D"/>
    <w:rsid w:val="4F622AD3"/>
    <w:rsid w:val="51F277AF"/>
    <w:rsid w:val="51F67357"/>
    <w:rsid w:val="51F7093A"/>
    <w:rsid w:val="5280350C"/>
    <w:rsid w:val="52BE0F54"/>
    <w:rsid w:val="554B78D9"/>
    <w:rsid w:val="55DD500E"/>
    <w:rsid w:val="571F34BB"/>
    <w:rsid w:val="58016AE1"/>
    <w:rsid w:val="588C10EE"/>
    <w:rsid w:val="58D148C0"/>
    <w:rsid w:val="58D32E7B"/>
    <w:rsid w:val="59E46D42"/>
    <w:rsid w:val="5A643FE3"/>
    <w:rsid w:val="5AE07365"/>
    <w:rsid w:val="5D5E2B42"/>
    <w:rsid w:val="5D936635"/>
    <w:rsid w:val="5DF80C26"/>
    <w:rsid w:val="5E231B5D"/>
    <w:rsid w:val="5FA97E40"/>
    <w:rsid w:val="60B53AE3"/>
    <w:rsid w:val="61660CD8"/>
    <w:rsid w:val="61A83191"/>
    <w:rsid w:val="627250F0"/>
    <w:rsid w:val="62AD20FC"/>
    <w:rsid w:val="62E404A2"/>
    <w:rsid w:val="63952BB5"/>
    <w:rsid w:val="6400089E"/>
    <w:rsid w:val="65817895"/>
    <w:rsid w:val="68A76919"/>
    <w:rsid w:val="6B134A48"/>
    <w:rsid w:val="6DA10AAF"/>
    <w:rsid w:val="6E1A5158"/>
    <w:rsid w:val="6ED23DAB"/>
    <w:rsid w:val="6EF966EE"/>
    <w:rsid w:val="6F174377"/>
    <w:rsid w:val="70176EA2"/>
    <w:rsid w:val="70A33B15"/>
    <w:rsid w:val="70B42B59"/>
    <w:rsid w:val="72E933D9"/>
    <w:rsid w:val="73F7729B"/>
    <w:rsid w:val="745D5428"/>
    <w:rsid w:val="7562670C"/>
    <w:rsid w:val="7577047E"/>
    <w:rsid w:val="76F87656"/>
    <w:rsid w:val="783D67B2"/>
    <w:rsid w:val="7AD531C1"/>
    <w:rsid w:val="7F721BA4"/>
    <w:rsid w:val="7FC56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72B20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rsid w:val="00372B20"/>
    <w:pPr>
      <w:ind w:firstLine="420"/>
    </w:pPr>
    <w:rPr>
      <w:rFonts w:ascii="Times New Roman" w:eastAsia="宋体" w:hAnsi="Times New Roman"/>
    </w:rPr>
  </w:style>
  <w:style w:type="paragraph" w:styleId="a4">
    <w:name w:val="Balloon Text"/>
    <w:basedOn w:val="a"/>
    <w:link w:val="Char"/>
    <w:qFormat/>
    <w:rsid w:val="00372B2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372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372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372B20"/>
    <w:pPr>
      <w:spacing w:beforeAutospacing="1" w:afterAutospacing="1"/>
      <w:jc w:val="left"/>
    </w:pPr>
    <w:rPr>
      <w:kern w:val="0"/>
      <w:sz w:val="24"/>
    </w:rPr>
  </w:style>
  <w:style w:type="character" w:styleId="a8">
    <w:name w:val="Strong"/>
    <w:basedOn w:val="a1"/>
    <w:qFormat/>
    <w:rsid w:val="00372B20"/>
    <w:rPr>
      <w:b/>
    </w:rPr>
  </w:style>
  <w:style w:type="character" w:customStyle="1" w:styleId="fontstyle01">
    <w:name w:val="fontstyle01"/>
    <w:basedOn w:val="a1"/>
    <w:qFormat/>
    <w:rsid w:val="00372B20"/>
    <w:rPr>
      <w:rFonts w:ascii="仿宋_GB2312" w:eastAsia="仿宋_GB2312" w:hAnsi="仿宋_GB2312" w:cs="仿宋_GB2312"/>
      <w:color w:val="000000"/>
      <w:sz w:val="32"/>
      <w:szCs w:val="32"/>
    </w:rPr>
  </w:style>
  <w:style w:type="character" w:customStyle="1" w:styleId="Char1">
    <w:name w:val="页眉 Char"/>
    <w:basedOn w:val="a1"/>
    <w:link w:val="a6"/>
    <w:qFormat/>
    <w:rsid w:val="00372B20"/>
    <w:rPr>
      <w:rFonts w:ascii="等线" w:eastAsia="等线" w:hAnsi="等线"/>
      <w:kern w:val="2"/>
      <w:sz w:val="18"/>
      <w:szCs w:val="18"/>
    </w:rPr>
  </w:style>
  <w:style w:type="character" w:customStyle="1" w:styleId="Char">
    <w:name w:val="批注框文本 Char"/>
    <w:basedOn w:val="a1"/>
    <w:link w:val="a4"/>
    <w:qFormat/>
    <w:rsid w:val="00372B20"/>
    <w:rPr>
      <w:rFonts w:ascii="等线" w:eastAsia="等线" w:hAnsi="等线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372B20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20</cp:revision>
  <cp:lastPrinted>2024-02-18T08:12:00Z</cp:lastPrinted>
  <dcterms:created xsi:type="dcterms:W3CDTF">2024-01-24T02:11:00Z</dcterms:created>
  <dcterms:modified xsi:type="dcterms:W3CDTF">2026-06-05T09:11:00Z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53A3CB4D77024964B831B26F9C7CFA7F_13</vt:lpwstr>
  </property>
  <property fmtid="{D5CDD505-2E9C-101B-9397-08002B2CF9AE}" pid="4" name="KSOTemplateDocerSaveRecord">
    <vt:lpwstr>eyJoZGlkIjoiMmI2MWFlMGE0ZDE3YjAzMzE5YmI1MGRkMzdhNWNlZDUifQ==</vt:lpwstr>
  </property>
</Properties>
</file>