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jc w:val="center"/>
        <w:rPr>
          <w:rFonts w:hint="eastAsia" w:ascii="方正小标宋简体" w:hAnsi="方正小标宋简体" w:eastAsia="方正小标宋简体" w:cs="方正小标宋简体"/>
          <w:i w:val="0"/>
          <w:iCs w:val="0"/>
          <w:sz w:val="44"/>
          <w:szCs w:val="44"/>
        </w:rPr>
      </w:pPr>
      <w:r>
        <w:rPr>
          <w:rFonts w:hint="eastAsia" w:ascii="方正小标宋简体" w:hAnsi="方正小标宋简体" w:eastAsia="方正小标宋简体" w:cs="方正小标宋简体"/>
          <w:i w:val="0"/>
          <w:iCs w:val="0"/>
          <w:kern w:val="0"/>
          <w:sz w:val="44"/>
          <w:szCs w:val="44"/>
        </w:rPr>
        <w:t>202</w:t>
      </w:r>
      <w:r>
        <w:rPr>
          <w:rFonts w:hint="eastAsia" w:ascii="方正小标宋简体" w:hAnsi="方正小标宋简体" w:eastAsia="方正小标宋简体" w:cs="方正小标宋简体"/>
          <w:i w:val="0"/>
          <w:iCs w:val="0"/>
          <w:kern w:val="0"/>
          <w:sz w:val="44"/>
          <w:szCs w:val="44"/>
          <w:lang w:val="en-US" w:eastAsia="zh-CN"/>
        </w:rPr>
        <w:t>5</w:t>
      </w:r>
      <w:r>
        <w:rPr>
          <w:rFonts w:hint="eastAsia" w:ascii="方正小标宋简体" w:hAnsi="方正小标宋简体" w:eastAsia="方正小标宋简体" w:cs="方正小标宋简体"/>
          <w:i w:val="0"/>
          <w:iCs w:val="0"/>
          <w:kern w:val="0"/>
          <w:sz w:val="44"/>
          <w:szCs w:val="44"/>
        </w:rPr>
        <w:t>年度</w:t>
      </w:r>
      <w:r>
        <w:rPr>
          <w:rFonts w:hint="eastAsia" w:ascii="方正小标宋简体" w:hAnsi="方正小标宋简体" w:eastAsia="方正小标宋简体" w:cs="方正小标宋简体"/>
          <w:i w:val="0"/>
          <w:iCs w:val="0"/>
          <w:kern w:val="0"/>
          <w:sz w:val="44"/>
          <w:szCs w:val="44"/>
          <w:lang w:eastAsia="zh-CN"/>
        </w:rPr>
        <w:t>巨鹿县气象局</w:t>
      </w:r>
      <w:r>
        <w:rPr>
          <w:rFonts w:hint="eastAsia" w:ascii="方正小标宋简体" w:hAnsi="方正小标宋简体" w:eastAsia="方正小标宋简体" w:cs="方正小标宋简体"/>
          <w:i w:val="0"/>
          <w:iCs w:val="0"/>
          <w:kern w:val="0"/>
          <w:sz w:val="44"/>
          <w:szCs w:val="44"/>
        </w:rPr>
        <w:t>整体</w:t>
      </w:r>
      <w:r>
        <w:rPr>
          <w:rFonts w:hint="eastAsia" w:ascii="方正小标宋简体" w:hAnsi="方正小标宋简体" w:eastAsia="方正小标宋简体" w:cs="方正小标宋简体"/>
          <w:i w:val="0"/>
          <w:iCs w:val="0"/>
          <w:sz w:val="44"/>
          <w:szCs w:val="44"/>
        </w:rPr>
        <w:t>绩效</w:t>
      </w:r>
    </w:p>
    <w:p>
      <w:pPr>
        <w:snapToGrid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iCs w:val="0"/>
          <w:sz w:val="44"/>
          <w:szCs w:val="44"/>
        </w:rPr>
        <w:t>自评工作报</w:t>
      </w:r>
      <w:r>
        <w:rPr>
          <w:rFonts w:hint="eastAsia" w:ascii="方正小标宋简体" w:hAnsi="方正小标宋简体" w:eastAsia="方正小标宋简体" w:cs="方正小标宋简体"/>
          <w:sz w:val="44"/>
          <w:szCs w:val="44"/>
        </w:rPr>
        <w:t>告</w:t>
      </w:r>
    </w:p>
    <w:p>
      <w:pPr>
        <w:pStyle w:val="2"/>
        <w:rPr>
          <w:rFonts w:hint="eastAsia" w:ascii="方正小标宋简体" w:hAnsi="方正小标宋简体" w:eastAsia="方正小标宋简体" w:cs="方正小标宋简体"/>
          <w:sz w:val="44"/>
          <w:szCs w:val="44"/>
        </w:rPr>
      </w:pPr>
    </w:p>
    <w:p/>
    <w:p>
      <w:pPr>
        <w:snapToGrid w:val="0"/>
        <w:spacing w:line="58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一、绩效自评工作组织开展情况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巨鹿县气象局按工作计划安排，有序开展整体绩效管理工作，通过相应核实财务支出有关明细账，明确部门资金投入、预算执行和管理情况，收集部门财务与业务管理等相关材料，明确实现整体支出和项目支出绩效目标所制定的制度与工作措施，并按预算管理有关规定，部门预算编制实行综合预算制度，即全部收入和支出都反应在预算中。</w:t>
      </w:r>
    </w:p>
    <w:p>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2025年预算安排收入数为1086.659697万元。2025年度收入决算数为：1086.659697万元，其中：年度财政拨款收入决算数为：1086.659697万元（一般公共预</w:t>
      </w:r>
      <w:r>
        <w:rPr>
          <w:rFonts w:hint="eastAsia" w:ascii="仿宋_GB2312" w:hAnsi="仿宋_GB2312" w:eastAsia="仿宋_GB2312" w:cs="仿宋_GB2312"/>
          <w:bCs/>
          <w:color w:val="auto"/>
          <w:kern w:val="2"/>
          <w:sz w:val="32"/>
          <w:szCs w:val="32"/>
          <w:lang w:val="en-US" w:eastAsia="zh-CN" w:bidi="ar-SA"/>
        </w:rPr>
        <w:t>算</w:t>
      </w:r>
      <w:r>
        <w:rPr>
          <w:rFonts w:hint="eastAsia" w:ascii="仿宋_GB2312" w:hAnsi="仿宋_GB2312" w:eastAsia="仿宋_GB2312" w:cs="仿宋_GB2312"/>
          <w:bCs/>
          <w:kern w:val="2"/>
          <w:sz w:val="32"/>
          <w:szCs w:val="32"/>
          <w:lang w:val="en-US" w:eastAsia="zh-CN" w:bidi="ar-SA"/>
        </w:rPr>
        <w:t>1086.659697万元、政府性基金0元），占收入总数的100%。</w:t>
      </w:r>
    </w:p>
    <w:p>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2025年预算安排支出数为1086.659697万元。2025年度支出决算数为1086.659697万元，其中：财政拨款支出决算数为：1086.659697万元（一般公共预算1086.659697万元、政府性基金0元），占支出总数的100%。</w:t>
      </w:r>
    </w:p>
    <w:p>
      <w:pPr>
        <w:pStyle w:val="2"/>
        <w:rPr>
          <w:rFonts w:hint="eastAsia"/>
        </w:rPr>
      </w:pPr>
    </w:p>
    <w:p>
      <w:pPr>
        <w:snapToGrid w:val="0"/>
        <w:spacing w:line="58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二、绩效目标实现情况</w:t>
      </w:r>
    </w:p>
    <w:p>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按照财政局预算管理要求，巨鹿县气象局对确定的目标全面开展了绩效自评，均达到要求。</w:t>
      </w:r>
    </w:p>
    <w:p>
      <w:pPr>
        <w:pStyle w:val="2"/>
        <w:rPr>
          <w:rFonts w:hint="eastAsia"/>
          <w:lang w:val="en-US" w:eastAsia="zh-CN"/>
        </w:rPr>
      </w:pPr>
    </w:p>
    <w:p>
      <w:pPr>
        <w:pStyle w:val="2"/>
        <w:numPr>
          <w:ilvl w:val="0"/>
          <w:numId w:val="1"/>
        </w:numPr>
        <w:rPr>
          <w:rFonts w:hint="eastAsia" w:ascii="楷体" w:hAnsi="楷体" w:eastAsia="楷体" w:cs="楷体"/>
          <w:bCs/>
          <w:kern w:val="2"/>
          <w:sz w:val="32"/>
          <w:szCs w:val="32"/>
          <w:lang w:val="en-US" w:eastAsia="zh-CN" w:bidi="ar-SA"/>
        </w:rPr>
      </w:pPr>
      <w:r>
        <w:rPr>
          <w:rFonts w:hint="eastAsia" w:ascii="楷体" w:hAnsi="楷体" w:eastAsia="楷体" w:cs="楷体"/>
          <w:bCs/>
          <w:kern w:val="2"/>
          <w:sz w:val="32"/>
          <w:szCs w:val="32"/>
          <w:lang w:val="en-US" w:eastAsia="zh-CN" w:bidi="ar-SA"/>
        </w:rPr>
        <w:t>气象灾害防御</w:t>
      </w:r>
    </w:p>
    <w:p>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ind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目标：保证巨鹿县各类地面气象观测站能够正常连续的运行，降低地面气象观测站的故障率，传输数据能够及时并且数据准确可用，能够为各级领导及时掌握乡镇的雨情、灾情、土壤墒情，指导工农业生产，提供及时、准确的信息和服务，能够为气象预报制作、气候分析、科学研究和气象服务材料制作提供重要可靠的依据。</w:t>
      </w:r>
    </w:p>
    <w:p>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ascii="仿宋_GB2312" w:hAnsi="仿宋" w:eastAsia="仿宋_GB2312" w:cs="Times New Roman"/>
          <w:bCs/>
          <w:color w:val="auto"/>
          <w:kern w:val="2"/>
          <w:sz w:val="32"/>
          <w:szCs w:val="32"/>
          <w:highlight w:val="none"/>
          <w:lang w:val="en-US" w:eastAsia="zh-CN" w:bidi="ar-SA"/>
        </w:rPr>
      </w:pPr>
      <w:r>
        <w:rPr>
          <w:rFonts w:hint="eastAsia" w:ascii="仿宋_GB2312" w:hAnsi="仿宋_GB2312" w:eastAsia="仿宋_GB2312" w:cs="仿宋_GB2312"/>
          <w:bCs/>
          <w:kern w:val="2"/>
          <w:sz w:val="32"/>
          <w:szCs w:val="32"/>
          <w:lang w:val="en-US" w:eastAsia="zh-CN" w:bidi="ar-SA"/>
        </w:rPr>
        <w:t>实现情况：</w:t>
      </w:r>
      <w:r>
        <w:rPr>
          <w:rFonts w:hint="eastAsia" w:ascii="仿宋_GB2312" w:hAnsi="仿宋" w:eastAsia="仿宋_GB2312" w:cs="Times New Roman"/>
          <w:bCs/>
          <w:color w:val="auto"/>
          <w:kern w:val="2"/>
          <w:sz w:val="32"/>
          <w:szCs w:val="32"/>
          <w:highlight w:val="none"/>
          <w:lang w:val="en-US" w:eastAsia="zh-CN" w:bidi="ar-SA"/>
        </w:rPr>
        <w:t>新建六要素区域站3套、</w:t>
      </w:r>
      <w:r>
        <w:rPr>
          <w:rFonts w:hint="eastAsia" w:ascii="仿宋_GB2312" w:hAnsi="仿宋_GB2312" w:eastAsia="仿宋_GB2312" w:cs="仿宋_GB2312"/>
          <w:b w:val="0"/>
          <w:bCs/>
          <w:color w:val="auto"/>
          <w:sz w:val="32"/>
          <w:szCs w:val="32"/>
          <w:highlight w:val="none"/>
          <w:lang w:val="en-US" w:eastAsia="zh-CN"/>
        </w:rPr>
        <w:t>农田小气候站</w:t>
      </w:r>
      <w:r>
        <w:rPr>
          <w:rFonts w:hint="eastAsia" w:ascii="仿宋_GB2312" w:hAnsi="仿宋" w:eastAsia="仿宋_GB2312" w:cs="Times New Roman"/>
          <w:bCs/>
          <w:color w:val="auto"/>
          <w:kern w:val="2"/>
          <w:sz w:val="32"/>
          <w:szCs w:val="32"/>
          <w:highlight w:val="none"/>
          <w:lang w:val="en-US" w:eastAsia="zh-CN" w:bidi="ar-SA"/>
        </w:rPr>
        <w:t>1套、单雨量站9套及激光测风雷达1部，优化监测网络布局；开展模拟霜箱低温冻害实验，精准确定金银花低温耐受临界点，为灾害防御提供数据支撑。将气象公共服务和灾害防御纳入乡（镇）法定职责。将气象防灾减灾模块融入“巨好办”App及小程序，构建具有巨鹿特色的“网格+气象”基层防灾减灾管理模式；完善创新工作室建设，新增省级正研专家3名，目前创新工作室汇聚9个单位26名骨干力量，有力推动高质量发展各项举措落地见效；组建以主管副县长为组长的议事协调领导小组及本局试点工作领导小组，高效推进试点任务落实。</w:t>
      </w:r>
    </w:p>
    <w:p>
      <w:pPr>
        <w:pStyle w:val="2"/>
        <w:rPr>
          <w:rFonts w:hint="eastAsia" w:ascii="仿宋_GB2312" w:hAnsi="仿宋" w:eastAsia="仿宋_GB2312" w:cs="Times New Roman"/>
          <w:bCs/>
          <w:color w:val="auto"/>
          <w:kern w:val="2"/>
          <w:sz w:val="32"/>
          <w:szCs w:val="32"/>
          <w:highlight w:val="none"/>
          <w:lang w:val="en-US" w:eastAsia="zh-CN" w:bidi="ar-SA"/>
        </w:rPr>
      </w:pPr>
    </w:p>
    <w:p>
      <w:pPr>
        <w:rPr>
          <w:rFonts w:hint="eastAsia"/>
          <w:lang w:val="en-US" w:eastAsia="zh-CN"/>
        </w:rPr>
      </w:pPr>
    </w:p>
    <w:p>
      <w:pPr>
        <w:pStyle w:val="2"/>
        <w:rPr>
          <w:rFonts w:hint="eastAsia"/>
          <w:lang w:val="en-US" w:eastAsia="zh-CN"/>
        </w:rPr>
      </w:pPr>
      <w:bookmarkStart w:id="1" w:name="_GoBack"/>
      <w:bookmarkEnd w:id="1"/>
    </w:p>
    <w:p>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ascii="楷体" w:hAnsi="楷体" w:eastAsia="楷体" w:cs="楷体"/>
          <w:bCs/>
          <w:kern w:val="2"/>
          <w:sz w:val="32"/>
          <w:szCs w:val="32"/>
          <w:lang w:val="en-US" w:eastAsia="zh-CN" w:bidi="ar-SA"/>
        </w:rPr>
      </w:pPr>
      <w:r>
        <w:rPr>
          <w:rFonts w:hint="eastAsia" w:ascii="楷体" w:hAnsi="楷体" w:eastAsia="楷体" w:cs="楷体"/>
          <w:bCs/>
          <w:kern w:val="2"/>
          <w:sz w:val="32"/>
          <w:szCs w:val="32"/>
          <w:lang w:val="en-US" w:eastAsia="zh-CN" w:bidi="ar-SA"/>
        </w:rPr>
        <w:t>2、气象服务方面</w:t>
      </w:r>
    </w:p>
    <w:p>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目标：通过开展鲜食杏气象指数保险、金银花气象指数保险和高油酸花生气象指数保险，降低种植户的损失，保障种植户气象风险保障需求，全面客观认识全县鲜食杏、金银花和高油酸花生灾害风险水平。通过对天文气象科普馆设备的定期维修保养和更新，保障气象科普馆的正常运行满足每年的气象科普宣传需要。开展气象灾害风险普查，摸清气象灾害风险隐患底数，全面客观认识全县气象灾害风险水平，提升气象灾害风险预报预警和管理能力，为政府及有关部门有效开展气象灾害防治工作提供科学决策依据，为建设经济强县、美丽巨鹿提供坚实支撑。</w:t>
      </w:r>
      <w:r>
        <w:rPr>
          <w:rFonts w:hint="eastAsia" w:ascii="仿宋_GB2312" w:hAnsi="仿宋" w:eastAsia="仿宋_GB2312" w:cs="Times New Roman"/>
          <w:bCs/>
          <w:color w:val="000000"/>
          <w:sz w:val="32"/>
          <w:szCs w:val="32"/>
          <w:highlight w:val="none"/>
          <w:lang w:val="en-US" w:eastAsia="zh-CN" w:bidi="ar-SA"/>
        </w:rPr>
        <w:t>此外，还聚焦公众健康的需求，持续推进“气象+健康”精细化服务。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Times New Roman"/>
          <w:bCs/>
          <w:color w:val="000000"/>
          <w:sz w:val="32"/>
          <w:szCs w:val="32"/>
          <w:highlight w:val="none"/>
          <w:lang w:val="en-US" w:eastAsia="zh-CN" w:bidi="ar-SA"/>
        </w:rPr>
      </w:pPr>
      <w:r>
        <w:rPr>
          <w:rFonts w:hint="eastAsia" w:ascii="仿宋_GB2312" w:hAnsi="仿宋_GB2312" w:eastAsia="仿宋_GB2312" w:cs="仿宋_GB2312"/>
          <w:bCs/>
          <w:kern w:val="2"/>
          <w:sz w:val="32"/>
          <w:szCs w:val="32"/>
          <w:lang w:val="en-US" w:eastAsia="zh-CN" w:bidi="ar-SA"/>
        </w:rPr>
        <w:t>实现情况：</w:t>
      </w:r>
      <w:r>
        <w:rPr>
          <w:rFonts w:hint="eastAsia" w:ascii="仿宋_GB2312" w:hAnsi="仿宋_GB2312" w:eastAsia="仿宋_GB2312" w:cs="仿宋_GB2312"/>
          <w:bCs/>
          <w:color w:val="auto"/>
          <w:kern w:val="2"/>
          <w:sz w:val="32"/>
          <w:szCs w:val="32"/>
          <w:highlight w:val="none"/>
          <w:lang w:val="en-US" w:eastAsia="zh-CN" w:bidi="ar-SA"/>
        </w:rPr>
        <w:t>2025年3种作物投保面积达7.9万亩，赔付金额1330余万元，</w:t>
      </w:r>
      <w:r>
        <w:rPr>
          <w:rFonts w:hint="eastAsia" w:ascii="仿宋_GB2312" w:hAnsi="仿宋_GB2312" w:eastAsia="仿宋_GB2312" w:cs="仿宋_GB2312"/>
          <w:bCs/>
          <w:kern w:val="2"/>
          <w:sz w:val="32"/>
          <w:szCs w:val="32"/>
          <w:lang w:val="en-US" w:eastAsia="zh-CN" w:bidi="ar-SA"/>
        </w:rPr>
        <w:t>提升农业抗风险能力。</w:t>
      </w:r>
      <w:r>
        <w:rPr>
          <w:rFonts w:hint="eastAsia" w:ascii="仿宋_GB2312" w:hAnsi="仿宋" w:eastAsia="仿宋_GB2312" w:cs="Times New Roman"/>
          <w:bCs/>
          <w:sz w:val="32"/>
          <w:szCs w:val="32"/>
          <w:highlight w:val="none"/>
          <w:lang w:val="en-US" w:eastAsia="zh-CN"/>
        </w:rPr>
        <w:t>特色案例在雄安</w:t>
      </w:r>
      <w:r>
        <w:rPr>
          <w:rFonts w:hint="eastAsia" w:ascii="仿宋_GB2312" w:hAnsi="仿宋" w:eastAsia="仿宋_GB2312"/>
          <w:b w:val="0"/>
          <w:bCs/>
          <w:sz w:val="32"/>
          <w:szCs w:val="32"/>
          <w:highlight w:val="none"/>
          <w:lang w:val="en-US" w:eastAsia="zh-CN"/>
        </w:rPr>
        <w:t>垂直大模型应用大赛“公共数据和社会数据融合应用赛道”荣获优秀奖。</w:t>
      </w:r>
      <w:r>
        <w:rPr>
          <w:rFonts w:hint="eastAsia" w:ascii="仿宋_GB2312" w:hAnsi="仿宋" w:eastAsia="仿宋_GB2312"/>
          <w:bCs/>
          <w:sz w:val="32"/>
          <w:szCs w:val="32"/>
          <w:highlight w:val="none"/>
          <w:lang w:val="en-US" w:eastAsia="zh-CN"/>
        </w:rPr>
        <w:t>相关工作在河北日报、纵览新闻、新浪财经刊登。邢台改革动态刊发《巨鹿县创新气象指数保险 织就特色农业高质量发展“防护网”》。</w:t>
      </w:r>
      <w:bookmarkStart w:id="0" w:name="OLE_LINK9"/>
      <w:r>
        <w:rPr>
          <w:rFonts w:hint="eastAsia" w:ascii="仿宋_GB2312" w:hAnsi="仿宋" w:eastAsia="仿宋_GB2312" w:cs="Times New Roman"/>
          <w:bCs/>
          <w:color w:val="000000"/>
          <w:sz w:val="32"/>
          <w:szCs w:val="32"/>
          <w:highlight w:val="none"/>
          <w:lang w:val="en-US" w:eastAsia="zh-CN" w:bidi="ar-SA"/>
        </w:rPr>
        <w:t>完成天文气象科普馆升级，出台文件组建科普团队，2人参加全市气象科普讲解大赛分获一等奖和优秀奖。依托“3.23”“5.12”等节点开展科普活动，天文气象科普馆接待参观者3000余人，走进7所学校、6家企业、7个农村，覆盖受众6000余人</w:t>
      </w:r>
      <w:bookmarkEnd w:id="0"/>
      <w:r>
        <w:rPr>
          <w:rFonts w:hint="eastAsia" w:ascii="仿宋_GB2312" w:hAnsi="仿宋" w:eastAsia="仿宋_GB2312" w:cs="Times New Roman"/>
          <w:bCs/>
          <w:color w:val="000000"/>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 w:eastAsia="仿宋_GB2312" w:cs="Times New Roman"/>
          <w:bCs/>
          <w:color w:val="000000"/>
          <w:sz w:val="32"/>
          <w:szCs w:val="32"/>
          <w:highlight w:val="none"/>
          <w:lang w:val="en-US" w:eastAsia="zh-CN" w:bidi="ar-SA"/>
        </w:rPr>
      </w:pPr>
      <w:r>
        <w:rPr>
          <w:rFonts w:hint="eastAsia" w:ascii="仿宋_GB2312" w:hAnsi="仿宋" w:eastAsia="仿宋_GB2312" w:cs="Times New Roman"/>
          <w:bCs/>
          <w:color w:val="000000"/>
          <w:sz w:val="32"/>
          <w:szCs w:val="32"/>
          <w:highlight w:val="none"/>
          <w:lang w:val="en-US" w:eastAsia="zh-CN" w:bidi="ar-SA"/>
        </w:rPr>
        <w:t>同时，推进“气象+健康”精细化服务，与邢台市第九医院医养健康管理院区建立联动协作机制，联合发布二十四节气健康温馨提示。通过深度分析时令节气气候特征及变化影响，针对公众易发疾病精准提供科学预防措施与健康生活专业指引，广泛普及健康气象知识，有效强化公众疾病预防意识与健康生活理念，推动构建“气象+健康”服务新格局。《县气象局与邢台市第九医院联合推出秋分康养提示》《县气象局打造“气象+健康”新模式》在《巨鹿晚报》刊发，进一步扩大气象服务影响力。</w:t>
      </w:r>
    </w:p>
    <w:p>
      <w:pPr>
        <w:pStyle w:val="2"/>
        <w:rPr>
          <w:rFonts w:hint="eastAsia"/>
          <w:lang w:val="en-US" w:eastAsia="zh-CN"/>
        </w:rPr>
      </w:pPr>
    </w:p>
    <w:p>
      <w:pPr>
        <w:ind w:firstLine="640"/>
        <w:rPr>
          <w:rFonts w:hint="eastAsia" w:ascii="楷体" w:hAnsi="楷体" w:eastAsia="楷体" w:cs="楷体"/>
          <w:bCs/>
          <w:kern w:val="2"/>
          <w:sz w:val="32"/>
          <w:szCs w:val="32"/>
          <w:lang w:val="en-US" w:eastAsia="zh-CN" w:bidi="ar-SA"/>
        </w:rPr>
      </w:pPr>
      <w:r>
        <w:rPr>
          <w:rFonts w:hint="eastAsia" w:ascii="楷体" w:hAnsi="楷体" w:eastAsia="楷体" w:cs="楷体"/>
          <w:bCs/>
          <w:kern w:val="2"/>
          <w:sz w:val="32"/>
          <w:szCs w:val="32"/>
          <w:lang w:val="en-US" w:eastAsia="zh-CN" w:bidi="ar-SA"/>
        </w:rPr>
        <w:t>3、气象政务方面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绩效目标：确保气象局占用土地租金按时支付，在职人员各类地方性津补贴及绩效工资能够完整发放，劳务派遣人员工资发放，气象部门在职人员能够正常开展日常工作，保障气象局事务性工作正常运行。</w:t>
      </w:r>
    </w:p>
    <w:p>
      <w:pPr>
        <w:pStyle w:val="2"/>
        <w:keepNext w:val="0"/>
        <w:keepLines w:val="0"/>
        <w:pageBreakBefore w:val="0"/>
        <w:widowControl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实现情况：地方性津补贴、劳务派遣人员工资发放及时率大于90%，在职人员出勤率大于95%，气象局占用土地租金实际支出与需求比例大于90%，且各类资金均按时发放完毕。</w:t>
      </w:r>
    </w:p>
    <w:p>
      <w:pPr>
        <w:rPr>
          <w:rFonts w:hint="eastAsia"/>
        </w:rPr>
      </w:pPr>
    </w:p>
    <w:p>
      <w:pPr>
        <w:snapToGrid w:val="0"/>
        <w:spacing w:line="58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三、绩效目标设定质量情况</w:t>
      </w:r>
    </w:p>
    <w:p>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ind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根据县财政局绩效管理要求，我局以部门职责和工作活动为依据，</w:t>
      </w:r>
      <w:r>
        <w:rPr>
          <w:rFonts w:hint="default" w:ascii="仿宋_GB2312" w:hAnsi="仿宋_GB2312" w:eastAsia="仿宋_GB2312" w:cs="仿宋_GB2312"/>
          <w:bCs/>
          <w:kern w:val="2"/>
          <w:sz w:val="32"/>
          <w:szCs w:val="32"/>
          <w:lang w:val="en-US" w:eastAsia="zh-CN" w:bidi="ar-SA"/>
        </w:rPr>
        <w:t>通过绩效自评结果对比倒查的年初绩效目标设定</w:t>
      </w:r>
      <w:r>
        <w:rPr>
          <w:rFonts w:hint="eastAsia" w:ascii="仿宋_GB2312" w:hAnsi="仿宋_GB2312" w:eastAsia="仿宋_GB2312" w:cs="仿宋_GB2312"/>
          <w:bCs/>
          <w:kern w:val="2"/>
          <w:sz w:val="32"/>
          <w:szCs w:val="32"/>
          <w:lang w:val="en-US" w:eastAsia="zh-CN" w:bidi="ar-SA"/>
        </w:rPr>
        <w:t>，确定部门预算项目和预算额度，清晰描述预算项目开支范围和内容，确定预算项目的绩效目标、绩效指标和评价标准，为预算绩效控制、绩效分析、绩效评价打下了良好的基础。</w:t>
      </w:r>
    </w:p>
    <w:p>
      <w:pPr>
        <w:rPr>
          <w:rFonts w:hint="eastAsia"/>
        </w:rPr>
      </w:pPr>
    </w:p>
    <w:p>
      <w:pPr>
        <w:snapToGrid w:val="0"/>
        <w:spacing w:line="58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四、整改措施及结果应用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以</w:t>
      </w:r>
      <w:r>
        <w:rPr>
          <w:rFonts w:hint="default" w:ascii="仿宋_GB2312" w:hAnsi="仿宋_GB2312" w:eastAsia="仿宋_GB2312" w:cs="仿宋_GB2312"/>
          <w:bCs/>
          <w:kern w:val="2"/>
          <w:sz w:val="32"/>
          <w:szCs w:val="32"/>
          <w:lang w:val="en-US" w:eastAsia="zh-CN" w:bidi="ar-SA"/>
        </w:rPr>
        <w:t>问题</w:t>
      </w:r>
      <w:r>
        <w:rPr>
          <w:rFonts w:hint="eastAsia" w:ascii="仿宋_GB2312" w:hAnsi="仿宋_GB2312" w:eastAsia="仿宋_GB2312" w:cs="仿宋_GB2312"/>
          <w:bCs/>
          <w:kern w:val="2"/>
          <w:sz w:val="32"/>
          <w:szCs w:val="32"/>
          <w:lang w:val="en-US" w:eastAsia="zh-CN" w:bidi="ar-SA"/>
        </w:rPr>
        <w:t>为导向完善</w:t>
      </w:r>
      <w:r>
        <w:rPr>
          <w:rFonts w:hint="eastAsia" w:ascii="仿宋_GB2312" w:hAnsi="仿宋_GB2312" w:eastAsia="仿宋_GB2312" w:cs="仿宋_GB2312"/>
          <w:bCs/>
          <w:kern w:val="2"/>
          <w:sz w:val="32"/>
          <w:szCs w:val="32"/>
          <w:lang w:val="zh-CN" w:eastAsia="zh-CN" w:bidi="ar-SA"/>
        </w:rPr>
        <w:t>本单位财务绩效管理</w:t>
      </w:r>
      <w:r>
        <w:rPr>
          <w:rFonts w:hint="default" w:ascii="仿宋_GB2312" w:hAnsi="仿宋_GB2312" w:eastAsia="仿宋_GB2312" w:cs="仿宋_GB2312"/>
          <w:bCs/>
          <w:kern w:val="2"/>
          <w:sz w:val="32"/>
          <w:szCs w:val="32"/>
          <w:lang w:val="zh-CN" w:eastAsia="zh-CN" w:bidi="ar-SA"/>
        </w:rPr>
        <w:t>制度、</w:t>
      </w:r>
      <w:r>
        <w:rPr>
          <w:rFonts w:hint="eastAsia" w:ascii="仿宋_GB2312" w:hAnsi="仿宋_GB2312" w:eastAsia="仿宋_GB2312" w:cs="仿宋_GB2312"/>
          <w:bCs/>
          <w:kern w:val="2"/>
          <w:sz w:val="32"/>
          <w:szCs w:val="32"/>
          <w:lang w:val="en-US" w:eastAsia="zh-CN" w:bidi="ar-SA"/>
        </w:rPr>
        <w:t>加强预算管理，加强财务学习，规范部门预算收支核算，严格控制各项经费的开支，提高经费的使用效率，</w:t>
      </w:r>
      <w:r>
        <w:rPr>
          <w:rFonts w:hint="default" w:ascii="仿宋_GB2312" w:hAnsi="仿宋_GB2312" w:eastAsia="仿宋_GB2312" w:cs="仿宋_GB2312"/>
          <w:bCs/>
          <w:kern w:val="2"/>
          <w:sz w:val="32"/>
          <w:szCs w:val="32"/>
          <w:lang w:val="zh-CN" w:eastAsia="zh-CN" w:bidi="ar-SA"/>
        </w:rPr>
        <w:t>优化</w:t>
      </w:r>
      <w:r>
        <w:rPr>
          <w:rFonts w:hint="eastAsia" w:ascii="仿宋_GB2312" w:hAnsi="仿宋_GB2312" w:eastAsia="仿宋_GB2312" w:cs="仿宋_GB2312"/>
          <w:bCs/>
          <w:kern w:val="2"/>
          <w:sz w:val="32"/>
          <w:szCs w:val="32"/>
          <w:lang w:val="zh-CN" w:eastAsia="zh-CN" w:bidi="ar-SA"/>
        </w:rPr>
        <w:t>预算</w:t>
      </w:r>
      <w:r>
        <w:rPr>
          <w:rFonts w:hint="default" w:ascii="仿宋_GB2312" w:hAnsi="仿宋_GB2312" w:eastAsia="仿宋_GB2312" w:cs="仿宋_GB2312"/>
          <w:bCs/>
          <w:kern w:val="2"/>
          <w:sz w:val="32"/>
          <w:szCs w:val="32"/>
          <w:lang w:val="en-US" w:eastAsia="zh-CN" w:bidi="ar-SA"/>
        </w:rPr>
        <w:t>流程</w:t>
      </w:r>
      <w:r>
        <w:rPr>
          <w:rFonts w:hint="eastAsia" w:ascii="仿宋_GB2312" w:hAnsi="仿宋_GB2312" w:eastAsia="仿宋_GB2312" w:cs="仿宋_GB2312"/>
          <w:bCs/>
          <w:kern w:val="2"/>
          <w:sz w:val="32"/>
          <w:szCs w:val="32"/>
          <w:lang w:val="en-US" w:eastAsia="zh-CN" w:bidi="ar-SA"/>
        </w:rPr>
        <w:t>，做到事前、事中、事后的统一控制。细化预算编制，优先保障固定性的支出项目，进一步提高预算编制的科学性、严谨性和可控性，</w:t>
      </w:r>
      <w:r>
        <w:rPr>
          <w:rFonts w:hint="default" w:ascii="仿宋_GB2312" w:hAnsi="仿宋_GB2312" w:eastAsia="仿宋_GB2312" w:cs="仿宋_GB2312"/>
          <w:bCs/>
          <w:kern w:val="2"/>
          <w:sz w:val="32"/>
          <w:szCs w:val="32"/>
          <w:lang w:val="zh-CN" w:eastAsia="zh-CN" w:bidi="ar-SA"/>
        </w:rPr>
        <w:t>提高绩效目标设置</w:t>
      </w:r>
      <w:r>
        <w:rPr>
          <w:rFonts w:hint="eastAsia" w:ascii="仿宋_GB2312" w:hAnsi="仿宋_GB2312" w:eastAsia="仿宋_GB2312" w:cs="仿宋_GB2312"/>
          <w:bCs/>
          <w:kern w:val="2"/>
          <w:sz w:val="32"/>
          <w:szCs w:val="32"/>
          <w:lang w:val="zh-CN" w:eastAsia="zh-CN" w:bidi="ar-SA"/>
        </w:rPr>
        <w:t>的准确度</w:t>
      </w:r>
      <w:r>
        <w:rPr>
          <w:rFonts w:hint="default" w:ascii="仿宋_GB2312" w:hAnsi="仿宋_GB2312" w:eastAsia="仿宋_GB2312" w:cs="仿宋_GB2312"/>
          <w:bCs/>
          <w:kern w:val="2"/>
          <w:sz w:val="32"/>
          <w:szCs w:val="32"/>
          <w:lang w:val="en-US" w:eastAsia="zh-CN" w:bidi="ar-SA"/>
        </w:rPr>
        <w:t>。</w:t>
      </w:r>
    </w:p>
    <w:p>
      <w:pPr>
        <w:rPr>
          <w:rFonts w:hint="eastAsia" w:eastAsia="宋体"/>
          <w:lang w:val="en-US" w:eastAsia="zh-CN"/>
        </w:rPr>
      </w:pPr>
    </w:p>
    <w:p>
      <w:pPr>
        <w:pStyle w:val="2"/>
        <w:rPr>
          <w:rFonts w:hint="eastAsia" w:eastAsia="宋体"/>
          <w:lang w:val="en-US" w:eastAsia="zh-CN"/>
        </w:rPr>
      </w:pPr>
    </w:p>
    <w:p>
      <w:pPr>
        <w:rPr>
          <w:rFonts w:hint="eastAsia" w:eastAsia="宋体"/>
          <w:lang w:val="en-US" w:eastAsia="zh-CN"/>
        </w:rPr>
      </w:pPr>
    </w:p>
    <w:p>
      <w:pPr>
        <w:pStyle w:val="2"/>
        <w:rPr>
          <w:rFonts w:hint="eastAsia" w:eastAsia="宋体"/>
          <w:lang w:val="en-US" w:eastAsia="zh-CN"/>
        </w:rPr>
      </w:pPr>
    </w:p>
    <w:p>
      <w:pPr>
        <w:rPr>
          <w:rFonts w:hint="eastAsia" w:eastAsia="宋体"/>
          <w:lang w:val="en-US" w:eastAsia="zh-CN"/>
        </w:rPr>
      </w:pPr>
    </w:p>
    <w:p>
      <w:pPr>
        <w:pStyle w:val="2"/>
        <w:rPr>
          <w:rFonts w:hint="eastAsia"/>
          <w:lang w:val="en-US" w:eastAsia="zh-CN"/>
        </w:rPr>
      </w:pPr>
    </w:p>
    <w:p>
      <w:pPr>
        <w:pStyle w:val="2"/>
        <w:rPr>
          <w:rFonts w:hint="eastAsia" w:eastAsia="宋体"/>
          <w:lang w:val="en-US" w:eastAsia="zh-CN"/>
        </w:rPr>
      </w:pPr>
    </w:p>
    <w:p>
      <w:pPr>
        <w:jc w:val="righ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巨鹿县气象局</w:t>
      </w:r>
    </w:p>
    <w:p>
      <w:pPr>
        <w:jc w:val="right"/>
        <w:rPr>
          <w:rFonts w:hint="default"/>
          <w:lang w:val="en-US" w:eastAsia="zh-CN"/>
        </w:rPr>
      </w:pPr>
      <w:r>
        <w:rPr>
          <w:rFonts w:hint="eastAsia" w:ascii="仿宋_GB2312" w:hAnsi="仿宋_GB2312" w:eastAsia="仿宋_GB2312" w:cs="仿宋_GB2312"/>
          <w:bCs/>
          <w:kern w:val="2"/>
          <w:sz w:val="32"/>
          <w:szCs w:val="32"/>
          <w:lang w:val="en-US" w:eastAsia="zh-CN" w:bidi="ar-SA"/>
        </w:rPr>
        <w:t>2026年7月21日</w:t>
      </w:r>
    </w:p>
    <w:sectPr>
      <w:pgSz w:w="11906" w:h="16838"/>
      <w:pgMar w:top="2098" w:right="1418" w:bottom="153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D65985"/>
    <w:multiLevelType w:val="singleLevel"/>
    <w:tmpl w:val="71D6598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6A3"/>
    <w:rsid w:val="0003266D"/>
    <w:rsid w:val="000B5213"/>
    <w:rsid w:val="001627CF"/>
    <w:rsid w:val="00172022"/>
    <w:rsid w:val="00176210"/>
    <w:rsid w:val="001D2D4C"/>
    <w:rsid w:val="00206C22"/>
    <w:rsid w:val="002B509A"/>
    <w:rsid w:val="003444DB"/>
    <w:rsid w:val="00383AC5"/>
    <w:rsid w:val="003A03E0"/>
    <w:rsid w:val="003B412A"/>
    <w:rsid w:val="00432709"/>
    <w:rsid w:val="0047487F"/>
    <w:rsid w:val="00491FCD"/>
    <w:rsid w:val="004E6C05"/>
    <w:rsid w:val="004F6F9F"/>
    <w:rsid w:val="00546BCB"/>
    <w:rsid w:val="005C236C"/>
    <w:rsid w:val="005C5417"/>
    <w:rsid w:val="005E6EC9"/>
    <w:rsid w:val="00665896"/>
    <w:rsid w:val="00693A60"/>
    <w:rsid w:val="006E7D57"/>
    <w:rsid w:val="0071336C"/>
    <w:rsid w:val="0071475B"/>
    <w:rsid w:val="00793214"/>
    <w:rsid w:val="007A651F"/>
    <w:rsid w:val="007D43DA"/>
    <w:rsid w:val="007E50DB"/>
    <w:rsid w:val="007E661D"/>
    <w:rsid w:val="007F4797"/>
    <w:rsid w:val="007F5EE6"/>
    <w:rsid w:val="0081530B"/>
    <w:rsid w:val="008C31C3"/>
    <w:rsid w:val="008E0E58"/>
    <w:rsid w:val="00941865"/>
    <w:rsid w:val="00986803"/>
    <w:rsid w:val="0099577A"/>
    <w:rsid w:val="009F1522"/>
    <w:rsid w:val="00A06D88"/>
    <w:rsid w:val="00A909F6"/>
    <w:rsid w:val="00AB70A8"/>
    <w:rsid w:val="00AF5C06"/>
    <w:rsid w:val="00B0713E"/>
    <w:rsid w:val="00B20499"/>
    <w:rsid w:val="00B27489"/>
    <w:rsid w:val="00B8177D"/>
    <w:rsid w:val="00B86365"/>
    <w:rsid w:val="00BA723B"/>
    <w:rsid w:val="00BE032C"/>
    <w:rsid w:val="00BE07DC"/>
    <w:rsid w:val="00C242EC"/>
    <w:rsid w:val="00CE156F"/>
    <w:rsid w:val="00D23678"/>
    <w:rsid w:val="00D43ED6"/>
    <w:rsid w:val="00DA1AC7"/>
    <w:rsid w:val="00DC2768"/>
    <w:rsid w:val="00DE50A2"/>
    <w:rsid w:val="00DF6FF4"/>
    <w:rsid w:val="00E57322"/>
    <w:rsid w:val="00E841B7"/>
    <w:rsid w:val="00E963F0"/>
    <w:rsid w:val="00ED5E84"/>
    <w:rsid w:val="00EE0B52"/>
    <w:rsid w:val="00EF16A3"/>
    <w:rsid w:val="00F57E52"/>
    <w:rsid w:val="08EA3048"/>
    <w:rsid w:val="0DD50394"/>
    <w:rsid w:val="11656735"/>
    <w:rsid w:val="13520710"/>
    <w:rsid w:val="1867700D"/>
    <w:rsid w:val="200F5369"/>
    <w:rsid w:val="24D10999"/>
    <w:rsid w:val="2E9C1270"/>
    <w:rsid w:val="2F4316EA"/>
    <w:rsid w:val="3C746A90"/>
    <w:rsid w:val="46C35CCE"/>
    <w:rsid w:val="51247E0C"/>
    <w:rsid w:val="5A291CE0"/>
    <w:rsid w:val="5E266F23"/>
    <w:rsid w:val="607A6948"/>
    <w:rsid w:val="61D744B7"/>
    <w:rsid w:val="6EF81B2B"/>
    <w:rsid w:val="6FFC2C90"/>
    <w:rsid w:val="718F1E62"/>
    <w:rsid w:val="72B4398D"/>
    <w:rsid w:val="73304ADA"/>
    <w:rsid w:val="76EC7D53"/>
    <w:rsid w:val="7DB116F7"/>
    <w:rsid w:val="7E610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65</Words>
  <Characters>373</Characters>
  <Lines>3</Lines>
  <Paragraphs>1</Paragraphs>
  <TotalTime>7</TotalTime>
  <ScaleCrop>false</ScaleCrop>
  <LinksUpToDate>false</LinksUpToDate>
  <CharactersWithSpaces>437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2019-11-14T00:58:00Z</dcterms:created>
  <dc:creator>user</dc:creator>
  <cp:lastModifiedBy>徐英飞:排版</cp:lastModifiedBy>
  <cp:lastPrinted>2020-01-06T00:47:00Z</cp:lastPrinted>
  <dcterms:modified xsi:type="dcterms:W3CDTF">2026-07-20T01:55:19Z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3A96FEC672D44A6BA17BCAA7F19EAE79</vt:lpwstr>
  </property>
</Properties>
</file>