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36A040">
      <w:pPr>
        <w:spacing w:line="480" w:lineRule="exact"/>
        <w:jc w:val="center"/>
        <w:rPr>
          <w:rFonts w:hint="eastAsia" w:ascii="宋体" w:hAnsi="宋体"/>
          <w:b/>
          <w:sz w:val="44"/>
          <w:szCs w:val="44"/>
        </w:rPr>
      </w:pPr>
    </w:p>
    <w:p w14:paraId="6D66F2CE">
      <w:pPr>
        <w:spacing w:line="480" w:lineRule="exact"/>
        <w:jc w:val="center"/>
        <w:rPr>
          <w:rFonts w:ascii="仿宋" w:hAnsi="仿宋" w:eastAsia="仿宋" w:cs="仿宋"/>
          <w:sz w:val="32"/>
          <w:szCs w:val="32"/>
        </w:rPr>
      </w:pPr>
      <w:r>
        <w:rPr>
          <w:rFonts w:hint="eastAsia" w:ascii="宋体" w:hAnsi="宋体"/>
          <w:b/>
          <w:sz w:val="44"/>
          <w:szCs w:val="44"/>
        </w:rPr>
        <w:t>部门整体支出绩效评价</w:t>
      </w:r>
      <w:r>
        <w:rPr>
          <w:rFonts w:hint="eastAsia" w:ascii="宋体" w:hAnsi="宋体" w:eastAsia="宋体" w:cs="宋体"/>
          <w:b/>
          <w:color w:val="000000"/>
          <w:kern w:val="0"/>
          <w:sz w:val="44"/>
          <w:szCs w:val="44"/>
          <w:shd w:val="clear" w:color="auto" w:fill="FFFFFF"/>
          <w:lang w:bidi="ar"/>
        </w:rPr>
        <w:t>指标体系评分表</w:t>
      </w:r>
    </w:p>
    <w:tbl>
      <w:tblPr>
        <w:tblStyle w:val="8"/>
        <w:tblW w:w="93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9"/>
        <w:gridCol w:w="743"/>
        <w:gridCol w:w="1275"/>
        <w:gridCol w:w="3436"/>
        <w:gridCol w:w="2373"/>
        <w:gridCol w:w="764"/>
      </w:tblGrid>
      <w:tr w14:paraId="5ECFB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9"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14:paraId="0B6E6964">
            <w:pPr>
              <w:widowControl/>
              <w:spacing w:line="240" w:lineRule="exact"/>
              <w:jc w:val="center"/>
              <w:rPr>
                <w:b/>
              </w:rPr>
            </w:pPr>
            <w:r>
              <w:rPr>
                <w:rFonts w:ascii="仿宋_GB2312" w:hAnsi="新宋体" w:eastAsia="仿宋_GB2312" w:cs="仿宋_GB2312"/>
                <w:b/>
                <w:kern w:val="0"/>
                <w:sz w:val="24"/>
                <w:szCs w:val="24"/>
                <w:lang w:bidi="ar"/>
              </w:rPr>
              <w:t>一级指标</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14:paraId="1B733D45">
            <w:pPr>
              <w:widowControl/>
              <w:spacing w:line="240" w:lineRule="exact"/>
              <w:jc w:val="center"/>
              <w:rPr>
                <w:b/>
              </w:rPr>
            </w:pPr>
            <w:r>
              <w:rPr>
                <w:rFonts w:ascii="仿宋_GB2312" w:hAnsi="新宋体" w:eastAsia="仿宋_GB2312" w:cs="仿宋_GB2312"/>
                <w:b/>
                <w:kern w:val="0"/>
                <w:sz w:val="24"/>
                <w:szCs w:val="24"/>
                <w:lang w:bidi="ar"/>
              </w:rPr>
              <w:t>二级指标</w:t>
            </w:r>
          </w:p>
        </w:tc>
        <w:tc>
          <w:tcPr>
            <w:tcW w:w="4711" w:type="dxa"/>
            <w:gridSpan w:val="2"/>
            <w:tcBorders>
              <w:top w:val="single" w:color="000000" w:sz="4" w:space="0"/>
              <w:left w:val="single" w:color="000000" w:sz="4" w:space="0"/>
              <w:bottom w:val="single" w:color="000000" w:sz="4" w:space="0"/>
              <w:right w:val="single" w:color="auto" w:sz="4" w:space="0"/>
            </w:tcBorders>
            <w:vAlign w:val="center"/>
          </w:tcPr>
          <w:p w14:paraId="7C44A642">
            <w:pPr>
              <w:widowControl/>
              <w:spacing w:line="240" w:lineRule="exact"/>
              <w:jc w:val="center"/>
              <w:rPr>
                <w:b/>
              </w:rPr>
            </w:pPr>
            <w:r>
              <w:rPr>
                <w:rFonts w:ascii="仿宋_GB2312" w:hAnsi="新宋体" w:eastAsia="仿宋_GB2312" w:cs="仿宋_GB2312"/>
                <w:b/>
                <w:kern w:val="0"/>
                <w:sz w:val="24"/>
                <w:szCs w:val="24"/>
                <w:lang w:bidi="ar"/>
              </w:rPr>
              <w:t>三级指标</w:t>
            </w:r>
          </w:p>
        </w:tc>
        <w:tc>
          <w:tcPr>
            <w:tcW w:w="2373" w:type="dxa"/>
            <w:vMerge w:val="restart"/>
            <w:tcBorders>
              <w:top w:val="single" w:color="000000" w:sz="4" w:space="0"/>
              <w:left w:val="single" w:color="auto" w:sz="4" w:space="0"/>
              <w:bottom w:val="single" w:color="000000" w:sz="4" w:space="0"/>
              <w:right w:val="single" w:color="auto" w:sz="4" w:space="0"/>
            </w:tcBorders>
            <w:vAlign w:val="center"/>
          </w:tcPr>
          <w:p w14:paraId="09F73639">
            <w:pPr>
              <w:widowControl/>
              <w:spacing w:line="240" w:lineRule="exact"/>
              <w:jc w:val="center"/>
              <w:rPr>
                <w:b/>
              </w:rPr>
            </w:pPr>
            <w:r>
              <w:rPr>
                <w:rFonts w:ascii="仿宋_GB2312" w:hAnsi="新宋体" w:eastAsia="仿宋_GB2312" w:cs="仿宋_GB2312"/>
                <w:b/>
                <w:kern w:val="0"/>
                <w:sz w:val="24"/>
                <w:szCs w:val="24"/>
                <w:lang w:bidi="ar"/>
              </w:rPr>
              <w:t>评分标准</w:t>
            </w:r>
          </w:p>
        </w:tc>
        <w:tc>
          <w:tcPr>
            <w:tcW w:w="764" w:type="dxa"/>
            <w:vMerge w:val="restart"/>
            <w:tcBorders>
              <w:top w:val="single" w:color="000000" w:sz="4" w:space="0"/>
              <w:left w:val="single" w:color="auto" w:sz="4" w:space="0"/>
              <w:bottom w:val="single" w:color="000000" w:sz="4" w:space="0"/>
              <w:right w:val="single" w:color="auto" w:sz="4" w:space="0"/>
            </w:tcBorders>
            <w:vAlign w:val="center"/>
          </w:tcPr>
          <w:p w14:paraId="50EEA7B2">
            <w:pPr>
              <w:widowControl/>
              <w:spacing w:line="240" w:lineRule="exact"/>
              <w:jc w:val="left"/>
              <w:rPr>
                <w:b/>
              </w:rPr>
            </w:pPr>
            <w:r>
              <w:rPr>
                <w:rFonts w:ascii="仿宋_GB2312" w:hAnsi="新宋体" w:eastAsia="仿宋_GB2312" w:cs="仿宋_GB2312"/>
                <w:b/>
                <w:kern w:val="0"/>
                <w:sz w:val="24"/>
                <w:szCs w:val="24"/>
                <w:lang w:bidi="ar"/>
              </w:rPr>
              <w:t>得分</w:t>
            </w:r>
          </w:p>
        </w:tc>
      </w:tr>
      <w:tr w14:paraId="2A2AF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3FFBBF5A">
            <w:pPr>
              <w:rPr>
                <w:rFonts w:ascii="宋体"/>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58C7155E">
            <w:pPr>
              <w:rPr>
                <w:rFonts w:ascii="宋体"/>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34CFBD79">
            <w:pPr>
              <w:widowControl/>
              <w:spacing w:line="240" w:lineRule="exact"/>
              <w:jc w:val="center"/>
              <w:rPr>
                <w:b/>
              </w:rPr>
            </w:pPr>
            <w:r>
              <w:rPr>
                <w:rFonts w:ascii="仿宋_GB2312" w:hAnsi="新宋体" w:eastAsia="仿宋_GB2312" w:cs="仿宋_GB2312"/>
                <w:b/>
                <w:kern w:val="0"/>
                <w:sz w:val="24"/>
                <w:szCs w:val="24"/>
                <w:lang w:bidi="ar"/>
              </w:rPr>
              <w:t>指标名称</w:t>
            </w:r>
          </w:p>
        </w:tc>
        <w:tc>
          <w:tcPr>
            <w:tcW w:w="3436" w:type="dxa"/>
            <w:tcBorders>
              <w:top w:val="single" w:color="000000" w:sz="4" w:space="0"/>
              <w:left w:val="single" w:color="auto" w:sz="4" w:space="0"/>
              <w:bottom w:val="single" w:color="000000" w:sz="4" w:space="0"/>
              <w:right w:val="single" w:color="auto" w:sz="4" w:space="0"/>
            </w:tcBorders>
            <w:vAlign w:val="center"/>
          </w:tcPr>
          <w:p w14:paraId="73C84761">
            <w:pPr>
              <w:widowControl/>
              <w:spacing w:line="240" w:lineRule="exact"/>
              <w:jc w:val="center"/>
              <w:rPr>
                <w:b/>
              </w:rPr>
            </w:pPr>
            <w:r>
              <w:rPr>
                <w:rFonts w:ascii="仿宋_GB2312" w:hAnsi="新宋体" w:eastAsia="仿宋_GB2312" w:cs="仿宋_GB2312"/>
                <w:b/>
                <w:kern w:val="0"/>
                <w:sz w:val="24"/>
                <w:szCs w:val="24"/>
                <w:lang w:bidi="ar"/>
              </w:rPr>
              <w:t>指标解释说明</w:t>
            </w:r>
          </w:p>
        </w:tc>
        <w:tc>
          <w:tcPr>
            <w:tcW w:w="2373" w:type="dxa"/>
            <w:vMerge w:val="continue"/>
            <w:tcBorders>
              <w:top w:val="single" w:color="000000" w:sz="4" w:space="0"/>
              <w:left w:val="single" w:color="auto" w:sz="4" w:space="0"/>
              <w:bottom w:val="single" w:color="000000" w:sz="4" w:space="0"/>
              <w:right w:val="single" w:color="auto" w:sz="4" w:space="0"/>
            </w:tcBorders>
            <w:vAlign w:val="center"/>
          </w:tcPr>
          <w:p w14:paraId="7F6460C8">
            <w:pPr>
              <w:rPr>
                <w:rFonts w:ascii="宋体"/>
                <w:szCs w:val="21"/>
              </w:rPr>
            </w:pPr>
          </w:p>
        </w:tc>
        <w:tc>
          <w:tcPr>
            <w:tcW w:w="764" w:type="dxa"/>
            <w:vMerge w:val="continue"/>
            <w:tcBorders>
              <w:top w:val="single" w:color="000000" w:sz="4" w:space="0"/>
              <w:left w:val="single" w:color="auto" w:sz="4" w:space="0"/>
              <w:bottom w:val="single" w:color="000000" w:sz="4" w:space="0"/>
              <w:right w:val="single" w:color="auto" w:sz="4" w:space="0"/>
            </w:tcBorders>
            <w:vAlign w:val="center"/>
          </w:tcPr>
          <w:p w14:paraId="37323D04">
            <w:pPr>
              <w:rPr>
                <w:rFonts w:ascii="宋体"/>
                <w:szCs w:val="21"/>
              </w:rPr>
            </w:pPr>
          </w:p>
        </w:tc>
      </w:tr>
      <w:tr w14:paraId="4FCA4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14:paraId="711676C5">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投入（10）</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14:paraId="08C0232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绩效目标设定情况</w:t>
            </w:r>
          </w:p>
          <w:p w14:paraId="7F16671E">
            <w:pPr>
              <w:widowControl/>
              <w:spacing w:line="240" w:lineRule="exact"/>
              <w:jc w:val="left"/>
              <w:rPr>
                <w:rFonts w:hint="eastAsia" w:ascii="仿宋_GB2312" w:hAnsi="仿宋_GB2312" w:eastAsia="仿宋_GB2312" w:cs="仿宋_GB2312"/>
                <w:color w:val="FF0000"/>
                <w:sz w:val="21"/>
                <w:szCs w:val="21"/>
              </w:rPr>
            </w:pPr>
            <w:r>
              <w:rPr>
                <w:rFonts w:hint="eastAsia" w:ascii="仿宋_GB2312" w:hAnsi="仿宋_GB2312" w:eastAsia="仿宋_GB2312" w:cs="仿宋_GB2312"/>
                <w:kern w:val="0"/>
                <w:sz w:val="21"/>
                <w:szCs w:val="21"/>
                <w:lang w:bidi="ar"/>
              </w:rPr>
              <w:t>（5分）</w:t>
            </w:r>
          </w:p>
        </w:tc>
        <w:tc>
          <w:tcPr>
            <w:tcW w:w="1275" w:type="dxa"/>
            <w:tcBorders>
              <w:top w:val="single" w:color="000000" w:sz="4" w:space="0"/>
              <w:left w:val="single" w:color="000000" w:sz="4" w:space="0"/>
              <w:bottom w:val="single" w:color="auto" w:sz="4" w:space="0"/>
              <w:right w:val="single" w:color="auto" w:sz="4" w:space="0"/>
            </w:tcBorders>
            <w:vAlign w:val="center"/>
          </w:tcPr>
          <w:p w14:paraId="45E6DD7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职责明确 （1分）</w:t>
            </w:r>
          </w:p>
        </w:tc>
        <w:tc>
          <w:tcPr>
            <w:tcW w:w="3436" w:type="dxa"/>
            <w:tcBorders>
              <w:top w:val="single" w:color="000000" w:sz="4" w:space="0"/>
              <w:left w:val="single" w:color="auto" w:sz="4" w:space="0"/>
              <w:bottom w:val="single" w:color="auto" w:sz="4" w:space="0"/>
              <w:right w:val="single" w:color="auto" w:sz="4" w:space="0"/>
            </w:tcBorders>
            <w:vAlign w:val="center"/>
          </w:tcPr>
          <w:p w14:paraId="4F879235">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部门的职责设定是否符合“三定”方案中所赋予的职责，用以反映和评价部门工作的目的性与计划性。</w:t>
            </w:r>
          </w:p>
        </w:tc>
        <w:tc>
          <w:tcPr>
            <w:tcW w:w="2373" w:type="dxa"/>
            <w:tcBorders>
              <w:top w:val="single" w:color="000000" w:sz="4" w:space="0"/>
              <w:left w:val="single" w:color="auto" w:sz="4" w:space="0"/>
              <w:bottom w:val="single" w:color="auto" w:sz="4" w:space="0"/>
              <w:right w:val="single" w:color="auto" w:sz="4" w:space="0"/>
            </w:tcBorders>
            <w:vAlign w:val="center"/>
          </w:tcPr>
          <w:p w14:paraId="4346D3F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符合（1）；</w:t>
            </w:r>
          </w:p>
          <w:p w14:paraId="4B71DB7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不符合（0）。</w:t>
            </w:r>
          </w:p>
        </w:tc>
        <w:tc>
          <w:tcPr>
            <w:tcW w:w="764" w:type="dxa"/>
            <w:tcBorders>
              <w:top w:val="single" w:color="000000" w:sz="4" w:space="0"/>
              <w:left w:val="single" w:color="auto" w:sz="4" w:space="0"/>
              <w:bottom w:val="single" w:color="auto" w:sz="4" w:space="0"/>
              <w:right w:val="single" w:color="000000" w:sz="4" w:space="0"/>
            </w:tcBorders>
            <w:vAlign w:val="center"/>
          </w:tcPr>
          <w:p w14:paraId="141D1B51">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r>
      <w:tr w14:paraId="6E1A3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3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7F35B597">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1AD56ABA">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auto" w:sz="4" w:space="0"/>
              <w:right w:val="single" w:color="auto" w:sz="4" w:space="0"/>
            </w:tcBorders>
            <w:vAlign w:val="center"/>
          </w:tcPr>
          <w:p w14:paraId="60FCC3F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活动合规性（2分）</w:t>
            </w:r>
          </w:p>
        </w:tc>
        <w:tc>
          <w:tcPr>
            <w:tcW w:w="3436" w:type="dxa"/>
            <w:tcBorders>
              <w:top w:val="single" w:color="000000" w:sz="4" w:space="0"/>
              <w:left w:val="single" w:color="auto" w:sz="4" w:space="0"/>
              <w:bottom w:val="single" w:color="auto" w:sz="4" w:space="0"/>
              <w:right w:val="single" w:color="auto" w:sz="4" w:space="0"/>
            </w:tcBorders>
            <w:vAlign w:val="center"/>
          </w:tcPr>
          <w:p w14:paraId="08605DA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部门的活动是否在职责范围之内并符合部门中长期规划，用以反映和评价部门活动目标与部门履职、年度工作任务的相符性情况。</w:t>
            </w:r>
          </w:p>
          <w:p w14:paraId="4060159D">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14:paraId="1BC3CA3E">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1.部门活动的设定在部门所确定的职责范围之内；</w:t>
            </w:r>
          </w:p>
          <w:p w14:paraId="3EEBEBC5">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2.部门活动符合市委、市政府的发展规划及本部门的年度工作安排与发展规划。</w:t>
            </w:r>
          </w:p>
        </w:tc>
        <w:tc>
          <w:tcPr>
            <w:tcW w:w="2373" w:type="dxa"/>
            <w:tcBorders>
              <w:top w:val="single" w:color="000000" w:sz="4" w:space="0"/>
              <w:left w:val="single" w:color="auto" w:sz="4" w:space="0"/>
              <w:bottom w:val="single" w:color="auto" w:sz="4" w:space="0"/>
              <w:right w:val="single" w:color="auto" w:sz="4" w:space="0"/>
            </w:tcBorders>
            <w:vAlign w:val="center"/>
          </w:tcPr>
          <w:p w14:paraId="548DBDE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全部符合（2）；</w:t>
            </w:r>
          </w:p>
          <w:p w14:paraId="2C797ECA">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其中一项不符合（0）。</w:t>
            </w:r>
          </w:p>
        </w:tc>
        <w:tc>
          <w:tcPr>
            <w:tcW w:w="764" w:type="dxa"/>
            <w:tcBorders>
              <w:top w:val="single" w:color="000000" w:sz="4" w:space="0"/>
              <w:left w:val="single" w:color="auto" w:sz="4" w:space="0"/>
              <w:bottom w:val="single" w:color="auto" w:sz="4" w:space="0"/>
              <w:right w:val="single" w:color="000000" w:sz="4" w:space="0"/>
            </w:tcBorders>
            <w:vAlign w:val="center"/>
          </w:tcPr>
          <w:p w14:paraId="776094C0">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14:paraId="7FE24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70C27312">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0CB50375">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auto" w:sz="4" w:space="0"/>
              <w:right w:val="single" w:color="auto" w:sz="4" w:space="0"/>
            </w:tcBorders>
            <w:vAlign w:val="center"/>
          </w:tcPr>
          <w:p w14:paraId="2CB75F06">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活动合理性（2分）</w:t>
            </w:r>
          </w:p>
        </w:tc>
        <w:tc>
          <w:tcPr>
            <w:tcW w:w="3436" w:type="dxa"/>
            <w:tcBorders>
              <w:top w:val="single" w:color="000000" w:sz="4" w:space="0"/>
              <w:left w:val="single" w:color="auto" w:sz="4" w:space="0"/>
              <w:bottom w:val="single" w:color="auto" w:sz="4" w:space="0"/>
              <w:right w:val="single" w:color="auto" w:sz="4" w:space="0"/>
            </w:tcBorders>
            <w:vAlign w:val="center"/>
          </w:tcPr>
          <w:p w14:paraId="2747CF6D">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部门所设立的活动是否明确合理、活动的关键性指标设置是否可衡量，用以反映和评价部门活动目标设定的合理性。</w:t>
            </w:r>
          </w:p>
          <w:p w14:paraId="709943C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14:paraId="461457B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1.活动目标的设定是可量化的，可通过清晰、可衡量的关键指标值予以体现；</w:t>
            </w:r>
          </w:p>
          <w:p w14:paraId="2BE6BD36">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2.在活动目标设定时，将关键指标明细分解为具体的达成目标与工作任务。</w:t>
            </w:r>
          </w:p>
        </w:tc>
        <w:tc>
          <w:tcPr>
            <w:tcW w:w="2373" w:type="dxa"/>
            <w:tcBorders>
              <w:top w:val="single" w:color="000000" w:sz="4" w:space="0"/>
              <w:left w:val="single" w:color="auto" w:sz="4" w:space="0"/>
              <w:bottom w:val="single" w:color="auto" w:sz="4" w:space="0"/>
              <w:right w:val="single" w:color="auto" w:sz="4" w:space="0"/>
            </w:tcBorders>
            <w:vAlign w:val="center"/>
          </w:tcPr>
          <w:p w14:paraId="1D22E33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全部符合（2）；</w:t>
            </w:r>
          </w:p>
          <w:p w14:paraId="471DB93A">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其中一项不符合（0）。</w:t>
            </w:r>
          </w:p>
        </w:tc>
        <w:tc>
          <w:tcPr>
            <w:tcW w:w="764" w:type="dxa"/>
            <w:tcBorders>
              <w:top w:val="single" w:color="000000" w:sz="4" w:space="0"/>
              <w:left w:val="single" w:color="auto" w:sz="4" w:space="0"/>
              <w:bottom w:val="single" w:color="auto" w:sz="4" w:space="0"/>
              <w:right w:val="single" w:color="000000" w:sz="4" w:space="0"/>
            </w:tcBorders>
            <w:vAlign w:val="center"/>
          </w:tcPr>
          <w:p w14:paraId="4D6AD4D8">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14:paraId="2FDC5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7FE4D630">
            <w:pPr>
              <w:spacing w:line="240" w:lineRule="exact"/>
              <w:rPr>
                <w:rFonts w:hint="eastAsia" w:ascii="仿宋_GB2312" w:hAnsi="仿宋_GB2312" w:eastAsia="仿宋_GB2312" w:cs="仿宋_GB2312"/>
                <w:sz w:val="21"/>
                <w:szCs w:val="21"/>
              </w:rPr>
            </w:pPr>
          </w:p>
        </w:tc>
        <w:tc>
          <w:tcPr>
            <w:tcW w:w="743" w:type="dxa"/>
            <w:vMerge w:val="restart"/>
            <w:tcBorders>
              <w:top w:val="single" w:color="000000" w:sz="4" w:space="0"/>
              <w:left w:val="single" w:color="000000" w:sz="4" w:space="0"/>
              <w:right w:val="single" w:color="000000" w:sz="4" w:space="0"/>
            </w:tcBorders>
            <w:vAlign w:val="center"/>
          </w:tcPr>
          <w:p w14:paraId="0759649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预算配置情况(5分)</w:t>
            </w:r>
          </w:p>
        </w:tc>
        <w:tc>
          <w:tcPr>
            <w:tcW w:w="1275" w:type="dxa"/>
            <w:tcBorders>
              <w:top w:val="single" w:color="auto" w:sz="4" w:space="0"/>
              <w:left w:val="single" w:color="000000" w:sz="4" w:space="0"/>
              <w:right w:val="single" w:color="auto" w:sz="4" w:space="0"/>
            </w:tcBorders>
            <w:vAlign w:val="center"/>
          </w:tcPr>
          <w:p w14:paraId="0D9C3A5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在职人员控制率（1分）</w:t>
            </w:r>
          </w:p>
        </w:tc>
        <w:tc>
          <w:tcPr>
            <w:tcW w:w="3436" w:type="dxa"/>
            <w:tcBorders>
              <w:top w:val="single" w:color="auto" w:sz="4" w:space="0"/>
              <w:left w:val="single" w:color="auto" w:sz="4" w:space="0"/>
              <w:right w:val="single" w:color="auto" w:sz="4" w:space="0"/>
            </w:tcBorders>
            <w:vAlign w:val="center"/>
          </w:tcPr>
          <w:p w14:paraId="2CD6130E">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部门本年度实际在职人员数与编制数的比率，用以反映和评价部门对人员成本的控制程度。</w:t>
            </w:r>
          </w:p>
          <w:p w14:paraId="0EBDADBF">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在职人员控制率=（在职人员数/编制数）×100%。</w:t>
            </w:r>
          </w:p>
          <w:p w14:paraId="1EB09426">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在职人员数：部门实际在职人数，以财政部确定的部门决算编制口径为准，由编制部门和人劳部门批复同意的临聘人员除外。</w:t>
            </w:r>
          </w:p>
          <w:p w14:paraId="36E7F74B">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编制数：机构编制部门核定批复的部门人员编制数。</w:t>
            </w:r>
          </w:p>
        </w:tc>
        <w:tc>
          <w:tcPr>
            <w:tcW w:w="2373" w:type="dxa"/>
            <w:tcBorders>
              <w:top w:val="single" w:color="auto" w:sz="4" w:space="0"/>
              <w:left w:val="single" w:color="auto" w:sz="4" w:space="0"/>
              <w:right w:val="single" w:color="auto" w:sz="4" w:space="0"/>
            </w:tcBorders>
            <w:vAlign w:val="center"/>
          </w:tcPr>
          <w:p w14:paraId="74D6EFD1">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1.在职人员控制率小于或等于100%的，得满分；</w:t>
            </w:r>
          </w:p>
          <w:p w14:paraId="1EDEBC8F">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2.在职人员控制率大于或等于115%的，得0分；</w:t>
            </w:r>
          </w:p>
          <w:p w14:paraId="2814B42E">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3.在职人员控制率在100%-115%之间的，在0分和满分之间计算确定：</w:t>
            </w:r>
          </w:p>
          <w:p w14:paraId="435F9C9E">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得分=[max（在职人员控制率）－某部门在职人员控制率]/[max（在职人员控制率）－min（在职人员控制率）]×该指标分值。</w:t>
            </w:r>
          </w:p>
        </w:tc>
        <w:tc>
          <w:tcPr>
            <w:tcW w:w="764" w:type="dxa"/>
            <w:tcBorders>
              <w:top w:val="single" w:color="auto" w:sz="4" w:space="0"/>
              <w:left w:val="single" w:color="auto" w:sz="4" w:space="0"/>
              <w:bottom w:val="single" w:color="000000" w:sz="4" w:space="0"/>
              <w:right w:val="single" w:color="000000" w:sz="4" w:space="0"/>
            </w:tcBorders>
            <w:vAlign w:val="center"/>
          </w:tcPr>
          <w:p w14:paraId="651A88DC">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r>
      <w:tr w14:paraId="0B5A8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79" w:type="dxa"/>
            <w:vMerge w:val="restart"/>
            <w:tcBorders>
              <w:top w:val="single" w:color="000000" w:sz="4" w:space="0"/>
              <w:left w:val="single" w:color="000000" w:sz="4" w:space="0"/>
              <w:right w:val="single" w:color="000000" w:sz="4" w:space="0"/>
            </w:tcBorders>
            <w:vAlign w:val="center"/>
          </w:tcPr>
          <w:p w14:paraId="5A8574AA">
            <w:pPr>
              <w:spacing w:line="240" w:lineRule="exact"/>
              <w:rPr>
                <w:rFonts w:hint="eastAsia" w:ascii="仿宋_GB2312" w:hAnsi="仿宋_GB2312" w:eastAsia="仿宋_GB2312" w:cs="仿宋_GB2312"/>
                <w:sz w:val="21"/>
                <w:szCs w:val="21"/>
              </w:rPr>
            </w:pPr>
          </w:p>
        </w:tc>
        <w:tc>
          <w:tcPr>
            <w:tcW w:w="743" w:type="dxa"/>
            <w:vMerge w:val="continue"/>
            <w:tcBorders>
              <w:left w:val="single" w:color="000000" w:sz="4" w:space="0"/>
              <w:right w:val="single" w:color="000000" w:sz="4" w:space="0"/>
            </w:tcBorders>
            <w:vAlign w:val="center"/>
          </w:tcPr>
          <w:p w14:paraId="1AF0021C">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auto" w:sz="4" w:space="0"/>
              <w:left w:val="single" w:color="000000" w:sz="4" w:space="0"/>
              <w:right w:val="single" w:color="auto" w:sz="4" w:space="0"/>
            </w:tcBorders>
            <w:vAlign w:val="center"/>
          </w:tcPr>
          <w:p w14:paraId="753E05AC">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“三公经费”变动率（2分）</w:t>
            </w:r>
          </w:p>
        </w:tc>
        <w:tc>
          <w:tcPr>
            <w:tcW w:w="3436" w:type="dxa"/>
            <w:tcBorders>
              <w:top w:val="single" w:color="auto" w:sz="4" w:space="0"/>
              <w:left w:val="single" w:color="auto" w:sz="4" w:space="0"/>
              <w:right w:val="single" w:color="auto" w:sz="4" w:space="0"/>
            </w:tcBorders>
            <w:vAlign w:val="center"/>
          </w:tcPr>
          <w:p w14:paraId="5D772ADE">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部门本年度“三公经费”预算数与上年度“三公经费”预算数的变动比率，用以反映和考核部门对控制重点行政成本的努力程度。“三公经费”变动率=[（本年度“三公经费”总额-上年度“三公经费”总额）/上年度“三公经费”总额]×100%。</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“三公经费”：年度预算安排的因公出国（境）费、公务车辆购置及运行费和公务招待费。</w:t>
            </w:r>
          </w:p>
        </w:tc>
        <w:tc>
          <w:tcPr>
            <w:tcW w:w="2373" w:type="dxa"/>
            <w:tcBorders>
              <w:top w:val="single" w:color="auto" w:sz="4" w:space="0"/>
              <w:left w:val="single" w:color="auto" w:sz="4" w:space="0"/>
              <w:right w:val="single" w:color="auto" w:sz="4" w:space="0"/>
            </w:tcBorders>
            <w:vAlign w:val="center"/>
          </w:tcPr>
          <w:p w14:paraId="03F268C2">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小于或等于-5%的，得满分；</w:t>
            </w:r>
          </w:p>
          <w:p w14:paraId="40269DB7">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大于或等于10%的，得0分；</w:t>
            </w:r>
          </w:p>
          <w:p w14:paraId="3B28BFCE">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3.在职人员控制率在-5%-10%之间的，在0分和满分之间计算确定：</w:t>
            </w:r>
          </w:p>
          <w:p w14:paraId="0E38C276">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得分=[max（</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]/[max（</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）－min（</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）]×该指标分值。</w:t>
            </w:r>
          </w:p>
        </w:tc>
        <w:tc>
          <w:tcPr>
            <w:tcW w:w="764" w:type="dxa"/>
            <w:tcBorders>
              <w:top w:val="single" w:color="auto" w:sz="4" w:space="0"/>
              <w:left w:val="single" w:color="auto" w:sz="4" w:space="0"/>
              <w:bottom w:val="single" w:color="000000" w:sz="4" w:space="0"/>
              <w:right w:val="single" w:color="000000" w:sz="4" w:space="0"/>
            </w:tcBorders>
            <w:vAlign w:val="center"/>
          </w:tcPr>
          <w:p w14:paraId="7DCA298A">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14:paraId="488C4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79" w:type="dxa"/>
            <w:vMerge w:val="continue"/>
            <w:tcBorders>
              <w:left w:val="single" w:color="000000" w:sz="4" w:space="0"/>
              <w:bottom w:val="single" w:color="000000" w:sz="4" w:space="0"/>
              <w:right w:val="single" w:color="000000" w:sz="4" w:space="0"/>
            </w:tcBorders>
            <w:vAlign w:val="center"/>
          </w:tcPr>
          <w:p w14:paraId="2F44113C">
            <w:pPr>
              <w:spacing w:line="240" w:lineRule="exact"/>
              <w:rPr>
                <w:rFonts w:hint="eastAsia" w:ascii="仿宋_GB2312" w:hAnsi="仿宋_GB2312" w:eastAsia="仿宋_GB2312" w:cs="仿宋_GB2312"/>
                <w:sz w:val="21"/>
                <w:szCs w:val="21"/>
              </w:rPr>
            </w:pPr>
          </w:p>
        </w:tc>
        <w:tc>
          <w:tcPr>
            <w:tcW w:w="743" w:type="dxa"/>
            <w:vMerge w:val="continue"/>
            <w:tcBorders>
              <w:left w:val="single" w:color="000000" w:sz="4" w:space="0"/>
              <w:bottom w:val="single" w:color="000000" w:sz="4" w:space="0"/>
              <w:right w:val="single" w:color="000000" w:sz="4" w:space="0"/>
            </w:tcBorders>
            <w:vAlign w:val="center"/>
          </w:tcPr>
          <w:p w14:paraId="140287D1">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auto" w:sz="4" w:space="0"/>
              <w:left w:val="single" w:color="000000" w:sz="4" w:space="0"/>
              <w:right w:val="single" w:color="auto" w:sz="4" w:space="0"/>
            </w:tcBorders>
            <w:vAlign w:val="center"/>
          </w:tcPr>
          <w:p w14:paraId="3E0C6EE5">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重点支出安排率（2分）</w:t>
            </w:r>
          </w:p>
        </w:tc>
        <w:tc>
          <w:tcPr>
            <w:tcW w:w="3436" w:type="dxa"/>
            <w:tcBorders>
              <w:top w:val="single" w:color="auto" w:sz="4" w:space="0"/>
              <w:left w:val="single" w:color="auto" w:sz="4" w:space="0"/>
              <w:right w:val="single" w:color="auto" w:sz="4" w:space="0"/>
            </w:tcBorders>
            <w:vAlign w:val="center"/>
          </w:tcPr>
          <w:p w14:paraId="7F9E7081">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部门本年度预算安排的重点项目支出与部门项目总支出的比率，用以反映和考核部门对履行主要职责或完成重点任务的保障程度。重点支出安排率=（重点项目支出/项目总支出）×100%。</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重点项目支出：部门（单位）年度预算安排的，与本部门履职和发展密切相关、具有明显社会和经济影响、党委政府关心或社会比较关注的项目支出总额。</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项目总支出：部门（单位）年度预算安排的项目支出总额。</w:t>
            </w:r>
          </w:p>
        </w:tc>
        <w:tc>
          <w:tcPr>
            <w:tcW w:w="2373" w:type="dxa"/>
            <w:tcBorders>
              <w:top w:val="single" w:color="auto" w:sz="4" w:space="0"/>
              <w:left w:val="single" w:color="auto" w:sz="4" w:space="0"/>
              <w:right w:val="single" w:color="auto" w:sz="4" w:space="0"/>
            </w:tcBorders>
            <w:vAlign w:val="center"/>
          </w:tcPr>
          <w:p w14:paraId="0F5D7FAC">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大于或等于95%的，得满分；</w:t>
            </w:r>
          </w:p>
          <w:p w14:paraId="3F1F985C">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小于或等于85%的，得0分；</w:t>
            </w:r>
          </w:p>
          <w:p w14:paraId="32081353">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在85%-95%之间的，在0分和满分之间计算确定：</w:t>
            </w:r>
          </w:p>
          <w:p w14:paraId="5B2EC6F2">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得分=[某部门</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-min（</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）]/[max（</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）－min（</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）]×该指标分值。</w:t>
            </w:r>
          </w:p>
        </w:tc>
        <w:tc>
          <w:tcPr>
            <w:tcW w:w="764" w:type="dxa"/>
            <w:tcBorders>
              <w:top w:val="single" w:color="auto" w:sz="4" w:space="0"/>
              <w:left w:val="single" w:color="auto" w:sz="4" w:space="0"/>
              <w:bottom w:val="single" w:color="000000" w:sz="4" w:space="0"/>
              <w:right w:val="single" w:color="000000" w:sz="4" w:space="0"/>
            </w:tcBorders>
            <w:vAlign w:val="center"/>
          </w:tcPr>
          <w:p w14:paraId="7377C09D">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14:paraId="4B2A3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14:paraId="596C40A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过程(45分)</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14:paraId="0B86513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预算执行情况(25分)</w:t>
            </w:r>
          </w:p>
        </w:tc>
        <w:tc>
          <w:tcPr>
            <w:tcW w:w="1275" w:type="dxa"/>
            <w:tcBorders>
              <w:top w:val="single" w:color="000000" w:sz="4" w:space="0"/>
              <w:left w:val="single" w:color="000000" w:sz="4" w:space="0"/>
              <w:bottom w:val="single" w:color="000000" w:sz="4" w:space="0"/>
              <w:right w:val="single" w:color="auto" w:sz="4" w:space="0"/>
            </w:tcBorders>
            <w:vAlign w:val="center"/>
          </w:tcPr>
          <w:p w14:paraId="52607C7C">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预算完成率（5分）</w:t>
            </w:r>
          </w:p>
        </w:tc>
        <w:tc>
          <w:tcPr>
            <w:tcW w:w="3436" w:type="dxa"/>
            <w:tcBorders>
              <w:top w:val="single" w:color="000000" w:sz="4" w:space="0"/>
              <w:left w:val="single" w:color="auto" w:sz="4" w:space="0"/>
              <w:bottom w:val="single" w:color="000000" w:sz="4" w:space="0"/>
              <w:right w:val="single" w:color="auto" w:sz="4" w:space="0"/>
            </w:tcBorders>
            <w:vAlign w:val="center"/>
          </w:tcPr>
          <w:p w14:paraId="07E52056">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通过对部门本年度预算完成数与预算数的比较，反映和评价部门预算的完成程度。</w:t>
            </w:r>
          </w:p>
          <w:p w14:paraId="30B3245E">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预算完成率=（预算完成数/预算数）×100%。</w:t>
            </w:r>
          </w:p>
        </w:tc>
        <w:tc>
          <w:tcPr>
            <w:tcW w:w="2373" w:type="dxa"/>
            <w:tcBorders>
              <w:top w:val="single" w:color="000000" w:sz="4" w:space="0"/>
              <w:left w:val="single" w:color="auto" w:sz="4" w:space="0"/>
              <w:bottom w:val="single" w:color="000000" w:sz="4" w:space="0"/>
              <w:right w:val="single" w:color="auto" w:sz="4" w:space="0"/>
            </w:tcBorders>
            <w:vAlign w:val="center"/>
          </w:tcPr>
          <w:p w14:paraId="4DEFF962">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1.预算完成率大于或等于95%的，得满分；</w:t>
            </w:r>
          </w:p>
          <w:p w14:paraId="2FA4C94D">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2.预算完成率小于或等于85%的，得0分；</w:t>
            </w:r>
          </w:p>
          <w:p w14:paraId="3165F5DE">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3.预算完成率在85%-95%之间的，在0分和满分之间计算确定：</w:t>
            </w:r>
          </w:p>
          <w:p w14:paraId="509240BF">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得分=[某部门预算完成率-min（预算完成率）]/[max（预算完成率）－min（预算完成率）]×该指标分值。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14:paraId="4C6752F8">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14:paraId="0BC5D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542FB187">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727D54B5">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6CA4004C">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预算调整率（3分）</w:t>
            </w:r>
          </w:p>
        </w:tc>
        <w:tc>
          <w:tcPr>
            <w:tcW w:w="3436" w:type="dxa"/>
            <w:tcBorders>
              <w:top w:val="single" w:color="000000" w:sz="4" w:space="0"/>
              <w:left w:val="single" w:color="auto" w:sz="4" w:space="0"/>
              <w:bottom w:val="single" w:color="000000" w:sz="4" w:space="0"/>
              <w:right w:val="single" w:color="auto" w:sz="4" w:space="0"/>
            </w:tcBorders>
            <w:vAlign w:val="center"/>
          </w:tcPr>
          <w:p w14:paraId="0B9947F6">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部门本年度预算调整数与预算数的比率，用以反映和评价部门预算的调整程度。</w:t>
            </w:r>
          </w:p>
          <w:p w14:paraId="6CA28AA6">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预算调整率=（预算调整数/预算数）×100%。</w:t>
            </w:r>
          </w:p>
        </w:tc>
        <w:tc>
          <w:tcPr>
            <w:tcW w:w="2373" w:type="dxa"/>
            <w:tcBorders>
              <w:top w:val="single" w:color="000000" w:sz="4" w:space="0"/>
              <w:left w:val="single" w:color="auto" w:sz="4" w:space="0"/>
              <w:bottom w:val="single" w:color="000000" w:sz="4" w:space="0"/>
              <w:right w:val="single" w:color="auto" w:sz="4" w:space="0"/>
            </w:tcBorders>
            <w:vAlign w:val="center"/>
          </w:tcPr>
          <w:p w14:paraId="31419A3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 xml:space="preserve">1.预算调整率等于0的，得满分； </w:t>
            </w:r>
          </w:p>
          <w:p w14:paraId="7EC67C1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2.预算调整率大于或等于10%的，得0分；</w:t>
            </w:r>
          </w:p>
          <w:p w14:paraId="285E316C">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3.预算调整率在0-10%之间的，在0分和满分之间确定：</w:t>
            </w:r>
          </w:p>
          <w:p w14:paraId="013C3131">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得分=［max（预算调整率）-某部门预算调整率］/［max（预算调整率）-min（预算调整率）］×该指标分值。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14:paraId="0835FF52">
            <w:pPr>
              <w:widowControl/>
              <w:spacing w:line="240" w:lineRule="exact"/>
              <w:jc w:val="left"/>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0</w:t>
            </w:r>
          </w:p>
        </w:tc>
      </w:tr>
      <w:tr w14:paraId="24C9F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054B1F55">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253B89D3">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0FB988E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支付进度率</w:t>
            </w:r>
            <w:r>
              <w:rPr>
                <w:rFonts w:hint="eastAsia" w:ascii="仿宋_GB2312" w:hAnsi="仿宋_GB2312" w:eastAsia="仿宋_GB2312" w:cs="仿宋_GB2312"/>
                <w:kern w:val="0"/>
                <w:sz w:val="21"/>
                <w:szCs w:val="21"/>
                <w:lang w:bidi="ar"/>
              </w:rPr>
              <w:t>（5分）</w:t>
            </w:r>
          </w:p>
        </w:tc>
        <w:tc>
          <w:tcPr>
            <w:tcW w:w="3436" w:type="dxa"/>
            <w:tcBorders>
              <w:top w:val="single" w:color="000000" w:sz="4" w:space="0"/>
              <w:left w:val="single" w:color="auto" w:sz="4" w:space="0"/>
              <w:bottom w:val="single" w:color="000000" w:sz="4" w:space="0"/>
              <w:right w:val="single" w:color="auto" w:sz="4" w:space="0"/>
            </w:tcBorders>
            <w:vAlign w:val="center"/>
          </w:tcPr>
          <w:p w14:paraId="3E0C3D2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部门年度支付数与年度任务数的比率，用以反映和评价部门预算执行的及时和均衡程度。</w:t>
            </w:r>
          </w:p>
          <w:p w14:paraId="3BE6B88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支付进度率=（年度支付数/年度任务数）×100%。</w:t>
            </w:r>
          </w:p>
        </w:tc>
        <w:tc>
          <w:tcPr>
            <w:tcW w:w="2373" w:type="dxa"/>
            <w:tcBorders>
              <w:top w:val="single" w:color="000000" w:sz="4" w:space="0"/>
              <w:left w:val="single" w:color="auto" w:sz="4" w:space="0"/>
              <w:bottom w:val="single" w:color="000000" w:sz="4" w:space="0"/>
              <w:right w:val="single" w:color="auto" w:sz="4" w:space="0"/>
            </w:tcBorders>
            <w:vAlign w:val="center"/>
          </w:tcPr>
          <w:p w14:paraId="58EAD14C">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按年度的执行情况进行打分。得分=年度支付数/年度任务数×该指标分值。</w:t>
            </w:r>
          </w:p>
          <w:p w14:paraId="086B2759">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p>
        </w:tc>
        <w:tc>
          <w:tcPr>
            <w:tcW w:w="764" w:type="dxa"/>
            <w:tcBorders>
              <w:top w:val="single" w:color="000000" w:sz="4" w:space="0"/>
              <w:left w:val="single" w:color="auto" w:sz="4" w:space="0"/>
              <w:bottom w:val="single" w:color="000000" w:sz="4" w:space="0"/>
              <w:right w:val="single" w:color="000000" w:sz="4" w:space="0"/>
            </w:tcBorders>
            <w:vAlign w:val="center"/>
          </w:tcPr>
          <w:p w14:paraId="7CDB61BB">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14:paraId="0E431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57B65416">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6B5DE650">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089AF68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结转结余率（4分）</w:t>
            </w:r>
          </w:p>
        </w:tc>
        <w:tc>
          <w:tcPr>
            <w:tcW w:w="3436" w:type="dxa"/>
            <w:tcBorders>
              <w:top w:val="single" w:color="000000" w:sz="4" w:space="0"/>
              <w:left w:val="single" w:color="auto" w:sz="4" w:space="0"/>
              <w:bottom w:val="single" w:color="000000" w:sz="4" w:space="0"/>
              <w:right w:val="single" w:color="auto" w:sz="4" w:space="0"/>
            </w:tcBorders>
            <w:vAlign w:val="center"/>
          </w:tcPr>
          <w:p w14:paraId="7D68664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通过对部门本年度结转结余总额与支出预算数的比较，反映和评价部门对本年度结转结余资金的实际控制程度。</w:t>
            </w:r>
          </w:p>
          <w:p w14:paraId="114BC98E">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结转结余率=（结转结余总额/支出预算数）×100%。</w:t>
            </w:r>
          </w:p>
        </w:tc>
        <w:tc>
          <w:tcPr>
            <w:tcW w:w="2373" w:type="dxa"/>
            <w:tcBorders>
              <w:top w:val="single" w:color="000000" w:sz="4" w:space="0"/>
              <w:left w:val="single" w:color="auto" w:sz="4" w:space="0"/>
              <w:bottom w:val="single" w:color="000000" w:sz="4" w:space="0"/>
              <w:right w:val="single" w:color="auto" w:sz="4" w:space="0"/>
            </w:tcBorders>
            <w:vAlign w:val="center"/>
          </w:tcPr>
          <w:p w14:paraId="11DE7E46">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1.结转结余率等于0的，得满分；</w:t>
            </w:r>
          </w:p>
          <w:p w14:paraId="48CC9F1A">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2.结转结余率大于或等于50%的，得0分；</w:t>
            </w:r>
          </w:p>
          <w:p w14:paraId="09CDA72B">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3.结转结余率在0-50%之间的，在0和满分之间计算确定：</w:t>
            </w:r>
          </w:p>
          <w:p w14:paraId="70A692F3">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得分=[max（结转结余率）－某部门结转结余率]/[max（结转结余率）－min（结转结余率）]×该指标分值。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14:paraId="0EA2389A">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r>
      <w:tr w14:paraId="45FCC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0"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0FC9F820">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323DFFF7">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31EA182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公用经费控制率（4分）</w:t>
            </w:r>
          </w:p>
        </w:tc>
        <w:tc>
          <w:tcPr>
            <w:tcW w:w="3436" w:type="dxa"/>
            <w:tcBorders>
              <w:top w:val="single" w:color="000000" w:sz="4" w:space="0"/>
              <w:left w:val="single" w:color="auto" w:sz="4" w:space="0"/>
              <w:bottom w:val="single" w:color="000000" w:sz="4" w:space="0"/>
              <w:right w:val="single" w:color="auto" w:sz="4" w:space="0"/>
            </w:tcBorders>
            <w:vAlign w:val="center"/>
          </w:tcPr>
          <w:p w14:paraId="1EB3B9B7">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通过对部门本年度实际支出的公用经费总额与预算安排的公用经费总额的比率，反映和评价部门对机构运转成本的实际控制程度。</w:t>
            </w:r>
          </w:p>
          <w:p w14:paraId="6E85FAFE">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公用经费控制率=（实际支出公用经费总额/预算安排公用经费总额）×100%。</w:t>
            </w:r>
          </w:p>
        </w:tc>
        <w:tc>
          <w:tcPr>
            <w:tcW w:w="2373" w:type="dxa"/>
            <w:tcBorders>
              <w:top w:val="single" w:color="000000" w:sz="4" w:space="0"/>
              <w:left w:val="single" w:color="auto" w:sz="4" w:space="0"/>
              <w:bottom w:val="single" w:color="000000" w:sz="4" w:space="0"/>
              <w:right w:val="single" w:color="auto" w:sz="4" w:space="0"/>
            </w:tcBorders>
            <w:vAlign w:val="center"/>
          </w:tcPr>
          <w:p w14:paraId="7C7A7D82">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1.公用经费控制率小于或等于100%的，得满分；</w:t>
            </w:r>
          </w:p>
          <w:p w14:paraId="4EBA74C1">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2.公用经费控制率大于或等于105%的，得0分；</w:t>
            </w:r>
          </w:p>
          <w:p w14:paraId="0DD5336C">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3.公用经费控制率在100%-105%之间的，在0和满分之间计算确定：</w:t>
            </w:r>
          </w:p>
          <w:p w14:paraId="7BA95F2D">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得分=［max（公用经费控制率）-某部门公用经费控制率］/［max（公用经费控制率）-min（公用经费控制率）］×该指标分值。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14:paraId="01B523F9">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r>
      <w:tr w14:paraId="419FC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3AC98ACC">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7EDE2306">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7F5D5D0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政府采购执行率（4分）</w:t>
            </w:r>
          </w:p>
        </w:tc>
        <w:tc>
          <w:tcPr>
            <w:tcW w:w="3436" w:type="dxa"/>
            <w:tcBorders>
              <w:top w:val="single" w:color="000000" w:sz="4" w:space="0"/>
              <w:left w:val="single" w:color="auto" w:sz="4" w:space="0"/>
              <w:bottom w:val="single" w:color="000000" w:sz="4" w:space="0"/>
              <w:right w:val="single" w:color="auto" w:sz="4" w:space="0"/>
            </w:tcBorders>
            <w:vAlign w:val="center"/>
          </w:tcPr>
          <w:p w14:paraId="5F482EDF">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通过对部门本年度实际政府采购预算项目个数与政府采购预算项目个数的比较，反映和评价部门政府采购预算执行情况。</w:t>
            </w:r>
          </w:p>
          <w:p w14:paraId="5FFC9985">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政府采购执行率=（实际政府采购预算项目个数/政府采购预算项目个数）×100%。</w:t>
            </w:r>
          </w:p>
          <w:p w14:paraId="2DAF4B48">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政府采购项目中非预算内安排的项目除外。</w:t>
            </w:r>
          </w:p>
        </w:tc>
        <w:tc>
          <w:tcPr>
            <w:tcW w:w="2373" w:type="dxa"/>
            <w:tcBorders>
              <w:top w:val="single" w:color="000000" w:sz="4" w:space="0"/>
              <w:left w:val="single" w:color="auto" w:sz="4" w:space="0"/>
              <w:bottom w:val="single" w:color="000000" w:sz="4" w:space="0"/>
              <w:right w:val="single" w:color="auto" w:sz="4" w:space="0"/>
            </w:tcBorders>
            <w:vAlign w:val="center"/>
          </w:tcPr>
          <w:p w14:paraId="797B7F45">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1.政府采购执行率等于100%的，得满分；</w:t>
            </w:r>
          </w:p>
          <w:p w14:paraId="204CCC95">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2.政府采购执行率小于或等于90%的，0分；</w:t>
            </w:r>
          </w:p>
          <w:p w14:paraId="4C2FCF12">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3.政府采购执行率在90%-100%之间的，在0和满分之间计算确定：</w:t>
            </w:r>
          </w:p>
          <w:p w14:paraId="3DABEC0F">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得分=［某部门政府采购执行率-min（政府采购执行率）］/［max（政府采购执行率）-min（政府采购执行率）］×该指标分值。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14:paraId="2BCBEA93">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r>
      <w:tr w14:paraId="0563B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55414047">
            <w:pPr>
              <w:spacing w:line="240" w:lineRule="exact"/>
              <w:rPr>
                <w:rFonts w:hint="eastAsia" w:ascii="仿宋_GB2312" w:hAnsi="仿宋_GB2312" w:eastAsia="仿宋_GB2312" w:cs="仿宋_GB2312"/>
                <w:sz w:val="21"/>
                <w:szCs w:val="21"/>
              </w:rPr>
            </w:pP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14:paraId="0A437E4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预算管理情况</w:t>
            </w:r>
          </w:p>
          <w:p w14:paraId="38B9111E">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（15）</w:t>
            </w:r>
          </w:p>
        </w:tc>
        <w:tc>
          <w:tcPr>
            <w:tcW w:w="1275" w:type="dxa"/>
            <w:tcBorders>
              <w:top w:val="single" w:color="000000" w:sz="4" w:space="0"/>
              <w:left w:val="single" w:color="000000" w:sz="4" w:space="0"/>
              <w:bottom w:val="single" w:color="000000" w:sz="4" w:space="0"/>
              <w:right w:val="single" w:color="auto" w:sz="4" w:space="0"/>
            </w:tcBorders>
            <w:vAlign w:val="center"/>
          </w:tcPr>
          <w:p w14:paraId="63A5F42A">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资金使用合规性（8分）</w:t>
            </w:r>
          </w:p>
        </w:tc>
        <w:tc>
          <w:tcPr>
            <w:tcW w:w="3436" w:type="dxa"/>
            <w:tcBorders>
              <w:top w:val="single" w:color="000000" w:sz="4" w:space="0"/>
              <w:left w:val="single" w:color="auto" w:sz="4" w:space="0"/>
              <w:bottom w:val="single" w:color="000000" w:sz="4" w:space="0"/>
              <w:right w:val="single" w:color="auto" w:sz="4" w:space="0"/>
            </w:tcBorders>
            <w:vAlign w:val="center"/>
          </w:tcPr>
          <w:p w14:paraId="52E5643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部门使用预算资金是否符合相关的预算财务管理制度的规定，反映和评价部门预算资金的规范运行情况。</w:t>
            </w:r>
          </w:p>
          <w:p w14:paraId="5B37EC0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14:paraId="1A151C66">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1.符合国家财经法规和财务管理制度规定以及有关部门资金管理办法的规定；</w:t>
            </w:r>
          </w:p>
          <w:p w14:paraId="07F9B8DD">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2.资金的拨付有完整的审批过程和手续；</w:t>
            </w:r>
          </w:p>
          <w:p w14:paraId="185A143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3.项目的重大开支经过评估论证；</w:t>
            </w:r>
          </w:p>
          <w:p w14:paraId="6D24A887">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4.符合部门预算批复的用途；</w:t>
            </w:r>
          </w:p>
          <w:p w14:paraId="24CA3E5E">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5.不存在截留情况；</w:t>
            </w:r>
          </w:p>
          <w:p w14:paraId="268237CD">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6.不存在挤占情况；</w:t>
            </w:r>
          </w:p>
          <w:p w14:paraId="29082ED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7.不存在挪用情况；</w:t>
            </w:r>
          </w:p>
          <w:p w14:paraId="4765965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8.不存在虚列支出情况。</w:t>
            </w:r>
          </w:p>
        </w:tc>
        <w:tc>
          <w:tcPr>
            <w:tcW w:w="2373" w:type="dxa"/>
            <w:tcBorders>
              <w:top w:val="single" w:color="000000" w:sz="4" w:space="0"/>
              <w:left w:val="single" w:color="auto" w:sz="4" w:space="0"/>
              <w:bottom w:val="single" w:color="000000" w:sz="4" w:space="0"/>
              <w:right w:val="single" w:color="auto" w:sz="4" w:space="0"/>
            </w:tcBorders>
            <w:vAlign w:val="center"/>
          </w:tcPr>
          <w:p w14:paraId="6134907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全部符合（8）；</w:t>
            </w:r>
          </w:p>
          <w:p w14:paraId="30F147DE">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符合其中七项（6）；</w:t>
            </w:r>
          </w:p>
          <w:p w14:paraId="5BC8EE1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符合其中六项（4）；</w:t>
            </w:r>
          </w:p>
          <w:p w14:paraId="630A3C0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符合其中五项（2）；</w:t>
            </w:r>
          </w:p>
          <w:p w14:paraId="2BAFD9FD">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符合其中四项及以下（0）。</w:t>
            </w:r>
          </w:p>
        </w:tc>
        <w:tc>
          <w:tcPr>
            <w:tcW w:w="764" w:type="dxa"/>
            <w:tcBorders>
              <w:top w:val="single" w:color="000000" w:sz="4" w:space="0"/>
              <w:left w:val="single" w:color="auto" w:sz="4" w:space="0"/>
              <w:bottom w:val="single" w:color="000000" w:sz="4" w:space="0"/>
              <w:right w:val="single" w:color="000000" w:sz="4" w:space="0"/>
            </w:tcBorders>
            <w:vAlign w:val="center"/>
          </w:tcPr>
          <w:p w14:paraId="5749D1F8">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8</w:t>
            </w:r>
          </w:p>
        </w:tc>
      </w:tr>
      <w:tr w14:paraId="1A3B8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26CC2D5D">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228F1BFB">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5908438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预决算信息公开性（3分）</w:t>
            </w:r>
          </w:p>
        </w:tc>
        <w:tc>
          <w:tcPr>
            <w:tcW w:w="3436" w:type="dxa"/>
            <w:tcBorders>
              <w:top w:val="single" w:color="000000" w:sz="4" w:space="0"/>
              <w:left w:val="single" w:color="auto" w:sz="4" w:space="0"/>
              <w:bottom w:val="single" w:color="000000" w:sz="4" w:space="0"/>
              <w:right w:val="single" w:color="auto" w:sz="4" w:space="0"/>
            </w:tcBorders>
            <w:vAlign w:val="center"/>
          </w:tcPr>
          <w:p w14:paraId="602D853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部门是否按照政府信息公开有关规定公开相关预决算信息，用以反映和评价部门预决算管理的公开透明情况。</w:t>
            </w:r>
          </w:p>
          <w:p w14:paraId="10DEB0B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预决算信息是指与部门预算、执行、决算、监督、绩效等管理相关的信息。</w:t>
            </w:r>
          </w:p>
          <w:p w14:paraId="68B2720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14:paraId="0510A37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1.公开预决算信息；</w:t>
            </w:r>
          </w:p>
          <w:p w14:paraId="6D8F094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2.按规定内容公开预决算信息；</w:t>
            </w:r>
          </w:p>
          <w:p w14:paraId="4149A6DD">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3.按规定时限公开预决算信息。</w:t>
            </w:r>
          </w:p>
        </w:tc>
        <w:tc>
          <w:tcPr>
            <w:tcW w:w="2373" w:type="dxa"/>
            <w:tcBorders>
              <w:top w:val="single" w:color="000000" w:sz="4" w:space="0"/>
              <w:left w:val="single" w:color="auto" w:sz="4" w:space="0"/>
              <w:bottom w:val="single" w:color="000000" w:sz="4" w:space="0"/>
              <w:right w:val="single" w:color="auto" w:sz="4" w:space="0"/>
            </w:tcBorders>
            <w:vAlign w:val="center"/>
          </w:tcPr>
          <w:p w14:paraId="03EC44A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全部符合（3）；</w:t>
            </w:r>
          </w:p>
          <w:p w14:paraId="6DB5634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符合其中两项（2）</w:t>
            </w:r>
          </w:p>
          <w:p w14:paraId="5A20C075">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符合其中一项及以下（0）。</w:t>
            </w:r>
          </w:p>
        </w:tc>
        <w:tc>
          <w:tcPr>
            <w:tcW w:w="764" w:type="dxa"/>
            <w:tcBorders>
              <w:top w:val="single" w:color="000000" w:sz="4" w:space="0"/>
              <w:left w:val="single" w:color="auto" w:sz="4" w:space="0"/>
              <w:bottom w:val="single" w:color="000000" w:sz="4" w:space="0"/>
              <w:right w:val="single" w:color="000000" w:sz="4" w:space="0"/>
            </w:tcBorders>
            <w:vAlign w:val="center"/>
          </w:tcPr>
          <w:p w14:paraId="2969D63B">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r>
      <w:tr w14:paraId="2B0EB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13562F3A">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12DC6DA2">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2D77595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基础信息完善性</w:t>
            </w:r>
            <w:r>
              <w:rPr>
                <w:rFonts w:hint="eastAsia" w:ascii="仿宋_GB2312" w:hAnsi="仿宋_GB2312" w:eastAsia="仿宋_GB2312" w:cs="仿宋_GB2312"/>
                <w:kern w:val="0"/>
                <w:sz w:val="21"/>
                <w:szCs w:val="21"/>
                <w:lang w:bidi="ar"/>
              </w:rPr>
              <w:t>（4分）</w:t>
            </w:r>
          </w:p>
        </w:tc>
        <w:tc>
          <w:tcPr>
            <w:tcW w:w="3436" w:type="dxa"/>
            <w:tcBorders>
              <w:top w:val="single" w:color="000000" w:sz="4" w:space="0"/>
              <w:left w:val="single" w:color="auto" w:sz="4" w:space="0"/>
              <w:bottom w:val="single" w:color="000000" w:sz="4" w:space="0"/>
              <w:right w:val="single" w:color="auto" w:sz="4" w:space="0"/>
            </w:tcBorders>
            <w:vAlign w:val="center"/>
          </w:tcPr>
          <w:p w14:paraId="11776CD5">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部门基础信息是否完善，用以反映和评价基础信息对预算管理工作的支撑情况。</w:t>
            </w:r>
          </w:p>
          <w:p w14:paraId="61CE5A1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14:paraId="1083B88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1.基本财务管理制度健全；</w:t>
            </w:r>
          </w:p>
          <w:p w14:paraId="0671654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2.基础数据信息和会计信息资料真实；</w:t>
            </w:r>
          </w:p>
          <w:p w14:paraId="7DA63AC5">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3.基础数据信息和会计信息资料完整；</w:t>
            </w:r>
          </w:p>
          <w:p w14:paraId="4A2DA22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4.基础数据信息和会计信息资料准确。</w:t>
            </w:r>
          </w:p>
        </w:tc>
        <w:tc>
          <w:tcPr>
            <w:tcW w:w="2373" w:type="dxa"/>
            <w:tcBorders>
              <w:top w:val="single" w:color="000000" w:sz="4" w:space="0"/>
              <w:left w:val="single" w:color="auto" w:sz="4" w:space="0"/>
              <w:bottom w:val="single" w:color="000000" w:sz="4" w:space="0"/>
              <w:right w:val="single" w:color="auto" w:sz="4" w:space="0"/>
            </w:tcBorders>
            <w:vAlign w:val="center"/>
          </w:tcPr>
          <w:p w14:paraId="7A8ED75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符合全部四项（4）；</w:t>
            </w:r>
          </w:p>
          <w:p w14:paraId="1495154C">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符合其中三项（2）；</w:t>
            </w:r>
          </w:p>
          <w:p w14:paraId="2596DABD">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符合其中两项（1）；</w:t>
            </w:r>
          </w:p>
          <w:p w14:paraId="7EDB570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符合其中一项及以下（0）。</w:t>
            </w:r>
          </w:p>
        </w:tc>
        <w:tc>
          <w:tcPr>
            <w:tcW w:w="764" w:type="dxa"/>
            <w:tcBorders>
              <w:top w:val="single" w:color="000000" w:sz="4" w:space="0"/>
              <w:left w:val="single" w:color="auto" w:sz="4" w:space="0"/>
              <w:bottom w:val="single" w:color="000000" w:sz="4" w:space="0"/>
              <w:right w:val="single" w:color="000000" w:sz="4" w:space="0"/>
            </w:tcBorders>
            <w:vAlign w:val="center"/>
          </w:tcPr>
          <w:p w14:paraId="00F2188A">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r>
      <w:tr w14:paraId="4FEFE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255623CA">
            <w:pPr>
              <w:spacing w:line="240" w:lineRule="exact"/>
              <w:rPr>
                <w:rFonts w:hint="eastAsia" w:ascii="仿宋_GB2312" w:hAnsi="仿宋_GB2312" w:eastAsia="仿宋_GB2312" w:cs="仿宋_GB2312"/>
                <w:sz w:val="21"/>
                <w:szCs w:val="21"/>
              </w:rPr>
            </w:pP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14:paraId="0AEC88D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资产管理情况（5分）</w:t>
            </w:r>
          </w:p>
        </w:tc>
        <w:tc>
          <w:tcPr>
            <w:tcW w:w="1275" w:type="dxa"/>
            <w:tcBorders>
              <w:top w:val="single" w:color="auto" w:sz="4" w:space="0"/>
              <w:left w:val="single" w:color="000000" w:sz="4" w:space="0"/>
              <w:bottom w:val="single" w:color="000000" w:sz="4" w:space="0"/>
              <w:right w:val="single" w:color="auto" w:sz="4" w:space="0"/>
            </w:tcBorders>
            <w:vAlign w:val="center"/>
          </w:tcPr>
          <w:p w14:paraId="2457B0D6">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资产管理完整性（2分）</w:t>
            </w:r>
          </w:p>
        </w:tc>
        <w:tc>
          <w:tcPr>
            <w:tcW w:w="3436" w:type="dxa"/>
            <w:tcBorders>
              <w:top w:val="single" w:color="auto" w:sz="4" w:space="0"/>
              <w:left w:val="single" w:color="auto" w:sz="4" w:space="0"/>
              <w:bottom w:val="single" w:color="000000" w:sz="4" w:space="0"/>
              <w:right w:val="single" w:color="auto" w:sz="4" w:space="0"/>
            </w:tcBorders>
            <w:vAlign w:val="center"/>
          </w:tcPr>
          <w:p w14:paraId="00A2E267">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部门的资产是否保存完整、使用合规、收入及时足额上缴，用以反映和评价部门资产运行情况。</w:t>
            </w:r>
          </w:p>
          <w:p w14:paraId="6E191A1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14:paraId="664990D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1.资产保存完整；</w:t>
            </w:r>
          </w:p>
          <w:p w14:paraId="14E4E66E">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2.资产账务管理是否合规，帐实相符；</w:t>
            </w:r>
          </w:p>
          <w:p w14:paraId="1BB7455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3.资产有偿使用及处置收入及时足额上缴。</w:t>
            </w:r>
          </w:p>
        </w:tc>
        <w:tc>
          <w:tcPr>
            <w:tcW w:w="2373" w:type="dxa"/>
            <w:tcBorders>
              <w:top w:val="single" w:color="auto" w:sz="4" w:space="0"/>
              <w:left w:val="single" w:color="auto" w:sz="4" w:space="0"/>
              <w:bottom w:val="single" w:color="000000" w:sz="4" w:space="0"/>
              <w:right w:val="single" w:color="auto" w:sz="4" w:space="0"/>
            </w:tcBorders>
            <w:vAlign w:val="center"/>
          </w:tcPr>
          <w:p w14:paraId="6E11A8B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符合全部三项（3）；</w:t>
            </w:r>
          </w:p>
          <w:p w14:paraId="5E16603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符合其中两项（2）；</w:t>
            </w:r>
          </w:p>
          <w:p w14:paraId="0B304E9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符合其中一项（1）；</w:t>
            </w:r>
          </w:p>
          <w:p w14:paraId="3EE4A219">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符合零项（0）。</w:t>
            </w:r>
          </w:p>
        </w:tc>
        <w:tc>
          <w:tcPr>
            <w:tcW w:w="764" w:type="dxa"/>
            <w:tcBorders>
              <w:top w:val="single" w:color="auto" w:sz="4" w:space="0"/>
              <w:left w:val="single" w:color="auto" w:sz="4" w:space="0"/>
              <w:bottom w:val="single" w:color="000000" w:sz="4" w:space="0"/>
              <w:right w:val="single" w:color="000000" w:sz="4" w:space="0"/>
            </w:tcBorders>
            <w:vAlign w:val="center"/>
          </w:tcPr>
          <w:p w14:paraId="57130A3C">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14:paraId="1DFA3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23CE277C">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40E6AA5E">
            <w:pPr>
              <w:spacing w:line="240" w:lineRule="exact"/>
              <w:rPr>
                <w:rFonts w:hint="eastAsia" w:ascii="仿宋_GB2312" w:hAnsi="仿宋_GB2312" w:eastAsia="仿宋_GB2312" w:cs="仿宋_GB2312"/>
                <w:sz w:val="21"/>
                <w:szCs w:val="21"/>
              </w:rPr>
            </w:pPr>
          </w:p>
        </w:tc>
        <w:tc>
          <w:tcPr>
            <w:tcW w:w="1275" w:type="dxa"/>
            <w:tcBorders>
              <w:top w:val="single" w:color="auto" w:sz="4" w:space="0"/>
              <w:left w:val="single" w:color="000000" w:sz="4" w:space="0"/>
              <w:bottom w:val="single" w:color="000000" w:sz="4" w:space="0"/>
              <w:right w:val="single" w:color="auto" w:sz="4" w:space="0"/>
            </w:tcBorders>
            <w:vAlign w:val="center"/>
          </w:tcPr>
          <w:p w14:paraId="528F8BFD">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固定资产利用率（3分）</w:t>
            </w:r>
          </w:p>
        </w:tc>
        <w:tc>
          <w:tcPr>
            <w:tcW w:w="3436" w:type="dxa"/>
            <w:tcBorders>
              <w:top w:val="single" w:color="auto" w:sz="4" w:space="0"/>
              <w:left w:val="single" w:color="auto" w:sz="4" w:space="0"/>
              <w:bottom w:val="single" w:color="000000" w:sz="4" w:space="0"/>
              <w:right w:val="single" w:color="auto" w:sz="4" w:space="0"/>
            </w:tcBorders>
            <w:vAlign w:val="center"/>
          </w:tcPr>
          <w:p w14:paraId="59790A1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部门实际在用固定资产总额与所有固定资产总额的比率，用以反映和评价部门固定资产使用效率。</w:t>
            </w:r>
          </w:p>
          <w:p w14:paraId="561A2B7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固定资产利用率=（实际在用固定资产总额/所有固定资产总额）×100%。</w:t>
            </w:r>
          </w:p>
        </w:tc>
        <w:tc>
          <w:tcPr>
            <w:tcW w:w="2373" w:type="dxa"/>
            <w:tcBorders>
              <w:top w:val="single" w:color="auto" w:sz="4" w:space="0"/>
              <w:left w:val="single" w:color="auto" w:sz="4" w:space="0"/>
              <w:bottom w:val="single" w:color="000000" w:sz="4" w:space="0"/>
              <w:right w:val="single" w:color="auto" w:sz="4" w:space="0"/>
            </w:tcBorders>
            <w:vAlign w:val="center"/>
          </w:tcPr>
          <w:p w14:paraId="7C2DF261">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1.固定资产利用率大于或等于95%的，得满分；</w:t>
            </w:r>
          </w:p>
          <w:p w14:paraId="7A549E00">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2.固定资产利用率小于或等于85%的，得0分；</w:t>
            </w:r>
          </w:p>
          <w:p w14:paraId="09786970">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3.固定资产利用率在85%-95%之间的，在0和满分之间计算确定：</w:t>
            </w:r>
          </w:p>
          <w:p w14:paraId="276334E0">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得分=［某部门固定资产利用率-min（固定资产利用率）］/［max（固定资产利用率）-min（固定资产利用率）］×该指标分值。</w:t>
            </w:r>
          </w:p>
        </w:tc>
        <w:tc>
          <w:tcPr>
            <w:tcW w:w="764" w:type="dxa"/>
            <w:tcBorders>
              <w:top w:val="single" w:color="auto" w:sz="4" w:space="0"/>
              <w:left w:val="single" w:color="auto" w:sz="4" w:space="0"/>
              <w:bottom w:val="single" w:color="000000" w:sz="4" w:space="0"/>
              <w:right w:val="single" w:color="000000" w:sz="4" w:space="0"/>
            </w:tcBorders>
            <w:vAlign w:val="center"/>
          </w:tcPr>
          <w:p w14:paraId="3C3E885D">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r>
      <w:tr w14:paraId="41875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14:paraId="0B6158F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产出(25分)</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14:paraId="0166A427">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职责履行情况（25）</w:t>
            </w:r>
          </w:p>
        </w:tc>
        <w:tc>
          <w:tcPr>
            <w:tcW w:w="1275" w:type="dxa"/>
            <w:tcBorders>
              <w:top w:val="single" w:color="000000" w:sz="4" w:space="0"/>
              <w:left w:val="single" w:color="000000" w:sz="4" w:space="0"/>
              <w:bottom w:val="single" w:color="auto" w:sz="4" w:space="0"/>
              <w:right w:val="single" w:color="auto" w:sz="4" w:space="0"/>
            </w:tcBorders>
            <w:vAlign w:val="center"/>
          </w:tcPr>
          <w:p w14:paraId="4D2E42CC">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履职完成情况（10分）</w:t>
            </w:r>
          </w:p>
        </w:tc>
        <w:tc>
          <w:tcPr>
            <w:tcW w:w="3436" w:type="dxa"/>
            <w:tcBorders>
              <w:top w:val="single" w:color="000000" w:sz="4" w:space="0"/>
              <w:left w:val="single" w:color="auto" w:sz="4" w:space="0"/>
              <w:bottom w:val="single" w:color="auto" w:sz="4" w:space="0"/>
              <w:right w:val="single" w:color="auto" w:sz="4" w:space="0"/>
            </w:tcBorders>
            <w:vAlign w:val="center"/>
          </w:tcPr>
          <w:p w14:paraId="7B2A5916">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根据年度主要任务分解表的的具体任务，逐项评价任务量化指标完成情况、实施效果和责任制建立情况。用以反映和考核部门（单位）履职工作任务目标的完成情况。评价要点：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 xml:space="preserve">1.每项任务是否已制定了明确、具体、可量化、可衡量的绩效指标；           </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2.每项任务绩效指标的完成情况，是全部完成、基本完成、未完成，还是未实施；</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3.每项任务实施效果情况，是优秀、良好、一般，还是无效果；</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4.每项任务是否建立了目标责任制，是否落实到具体部门和人员负责。</w:t>
            </w:r>
          </w:p>
        </w:tc>
        <w:tc>
          <w:tcPr>
            <w:tcW w:w="2373" w:type="dxa"/>
            <w:tcBorders>
              <w:top w:val="single" w:color="000000" w:sz="4" w:space="0"/>
              <w:left w:val="single" w:color="auto" w:sz="4" w:space="0"/>
              <w:bottom w:val="single" w:color="auto" w:sz="4" w:space="0"/>
              <w:right w:val="single" w:color="auto" w:sz="4" w:space="0"/>
            </w:tcBorders>
            <w:vAlign w:val="center"/>
          </w:tcPr>
          <w:p w14:paraId="7BFF1E57">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根据不同部门履职的内容和特点，具体测算部门履职工作任务目标的完成情况。</w:t>
            </w:r>
          </w:p>
        </w:tc>
        <w:tc>
          <w:tcPr>
            <w:tcW w:w="764" w:type="dxa"/>
            <w:tcBorders>
              <w:top w:val="single" w:color="000000" w:sz="4" w:space="0"/>
              <w:left w:val="single" w:color="auto" w:sz="4" w:space="0"/>
              <w:bottom w:val="single" w:color="auto" w:sz="4" w:space="0"/>
              <w:right w:val="single" w:color="000000" w:sz="4" w:space="0"/>
            </w:tcBorders>
            <w:vAlign w:val="center"/>
          </w:tcPr>
          <w:p w14:paraId="152D5ACD">
            <w:pPr>
              <w:widowControl/>
              <w:spacing w:line="240" w:lineRule="exact"/>
              <w:jc w:val="left"/>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10</w:t>
            </w:r>
          </w:p>
        </w:tc>
      </w:tr>
      <w:tr w14:paraId="4129E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0"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74E68B67">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60B2A9B0">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right w:val="single" w:color="auto" w:sz="4" w:space="0"/>
            </w:tcBorders>
            <w:vAlign w:val="center"/>
          </w:tcPr>
          <w:p w14:paraId="6816F62E">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项目完成质量达标率（15）</w:t>
            </w:r>
          </w:p>
        </w:tc>
        <w:tc>
          <w:tcPr>
            <w:tcW w:w="3436" w:type="dxa"/>
            <w:tcBorders>
              <w:top w:val="single" w:color="000000" w:sz="4" w:space="0"/>
              <w:left w:val="single" w:color="auto" w:sz="4" w:space="0"/>
              <w:right w:val="single" w:color="auto" w:sz="4" w:space="0"/>
            </w:tcBorders>
            <w:vAlign w:val="center"/>
          </w:tcPr>
          <w:p w14:paraId="01D8D764">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部门已完成项目中质量达标项目个数占已完成项目个数的比率,用以反映和评价部门履职质量目标的实现程度。</w:t>
            </w:r>
          </w:p>
          <w:p w14:paraId="3FD5C6FC">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项目质量达标率=（已完成项目中质量达标项目个数/已完成项目个数）×100%。</w:t>
            </w:r>
          </w:p>
          <w:p w14:paraId="423A910F">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项目质量达标是指项目决算验收合格。</w:t>
            </w:r>
          </w:p>
        </w:tc>
        <w:tc>
          <w:tcPr>
            <w:tcW w:w="2373" w:type="dxa"/>
            <w:tcBorders>
              <w:top w:val="single" w:color="000000" w:sz="4" w:space="0"/>
              <w:left w:val="single" w:color="auto" w:sz="4" w:space="0"/>
              <w:right w:val="single" w:color="auto" w:sz="4" w:space="0"/>
            </w:tcBorders>
            <w:vAlign w:val="center"/>
          </w:tcPr>
          <w:p w14:paraId="6C5C9556">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1.项目质量达标率等于100%的，得满分；</w:t>
            </w:r>
          </w:p>
          <w:p w14:paraId="59060A04">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2.项目质量达标率小于或等于99%的，得0分；</w:t>
            </w:r>
          </w:p>
          <w:p w14:paraId="130470D6">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 xml:space="preserve">3.项目质量达标率在99%-100%之间的，在0和满分之间计算确定： </w:t>
            </w:r>
          </w:p>
          <w:p w14:paraId="795A8070">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得分=［某部门项目质量达标率-min（项目质量达标率）］/［max（项目质量达标率）-min（项目质量达标率）］×该指标分值。</w:t>
            </w:r>
          </w:p>
        </w:tc>
        <w:tc>
          <w:tcPr>
            <w:tcW w:w="764" w:type="dxa"/>
            <w:tcBorders>
              <w:top w:val="single" w:color="000000" w:sz="4" w:space="0"/>
              <w:left w:val="single" w:color="auto" w:sz="4" w:space="0"/>
              <w:bottom w:val="single" w:color="auto" w:sz="4" w:space="0"/>
              <w:right w:val="single" w:color="000000" w:sz="4" w:space="0"/>
            </w:tcBorders>
            <w:vAlign w:val="center"/>
          </w:tcPr>
          <w:p w14:paraId="23DD5D00">
            <w:pPr>
              <w:widowControl/>
              <w:spacing w:line="240" w:lineRule="exact"/>
              <w:jc w:val="left"/>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15</w:t>
            </w:r>
          </w:p>
        </w:tc>
      </w:tr>
      <w:tr w14:paraId="139DD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14:paraId="1803776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效果（20分）</w:t>
            </w:r>
          </w:p>
        </w:tc>
        <w:tc>
          <w:tcPr>
            <w:tcW w:w="743" w:type="dxa"/>
            <w:vMerge w:val="restart"/>
            <w:tcBorders>
              <w:top w:val="single" w:color="auto" w:sz="4" w:space="0"/>
              <w:left w:val="single" w:color="000000" w:sz="4" w:space="0"/>
              <w:right w:val="single" w:color="000000" w:sz="4" w:space="0"/>
            </w:tcBorders>
            <w:vAlign w:val="center"/>
          </w:tcPr>
          <w:p w14:paraId="073DFD30">
            <w:pPr>
              <w:widowControl/>
              <w:spacing w:line="240" w:lineRule="exact"/>
              <w:jc w:val="left"/>
              <w:rPr>
                <w:rFonts w:hint="eastAsia" w:ascii="仿宋_GB2312" w:hAnsi="仿宋_GB2312" w:eastAsia="仿宋_GB2312" w:cs="仿宋_GB2312"/>
                <w:kern w:val="0"/>
                <w:sz w:val="21"/>
                <w:szCs w:val="21"/>
                <w:lang w:bidi="ar"/>
              </w:rPr>
            </w:pPr>
          </w:p>
          <w:p w14:paraId="50B2C866">
            <w:pPr>
              <w:widowControl/>
              <w:spacing w:line="240" w:lineRule="exact"/>
              <w:jc w:val="left"/>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履职效益情况</w:t>
            </w:r>
          </w:p>
          <w:p w14:paraId="44B2B1B6">
            <w:pPr>
              <w:widowControl/>
              <w:spacing w:line="240" w:lineRule="exact"/>
              <w:jc w:val="left"/>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（20分）</w:t>
            </w:r>
          </w:p>
        </w:tc>
        <w:tc>
          <w:tcPr>
            <w:tcW w:w="1275" w:type="dxa"/>
            <w:tcBorders>
              <w:top w:val="single" w:color="000000" w:sz="4" w:space="0"/>
              <w:left w:val="single" w:color="000000" w:sz="4" w:space="0"/>
              <w:bottom w:val="single" w:color="000000" w:sz="4" w:space="0"/>
              <w:right w:val="single" w:color="auto" w:sz="4" w:space="0"/>
            </w:tcBorders>
            <w:vAlign w:val="center"/>
          </w:tcPr>
          <w:p w14:paraId="786A7FBC">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经济效益</w:t>
            </w:r>
            <w:r>
              <w:rPr>
                <w:rFonts w:hint="eastAsia" w:ascii="仿宋_GB2312" w:hAnsi="仿宋_GB2312" w:eastAsia="仿宋_GB2312" w:cs="仿宋_GB2312"/>
                <w:kern w:val="0"/>
                <w:sz w:val="21"/>
                <w:szCs w:val="21"/>
                <w:lang w:bidi="ar"/>
              </w:rPr>
              <w:t>（5分）</w:t>
            </w:r>
          </w:p>
        </w:tc>
        <w:tc>
          <w:tcPr>
            <w:tcW w:w="3436" w:type="dxa"/>
            <w:tcBorders>
              <w:top w:val="single" w:color="000000" w:sz="4" w:space="0"/>
              <w:left w:val="single" w:color="auto" w:sz="4" w:space="0"/>
              <w:bottom w:val="single" w:color="000000" w:sz="4" w:space="0"/>
              <w:right w:val="single" w:color="auto" w:sz="4" w:space="0"/>
            </w:tcBorders>
            <w:vAlign w:val="center"/>
          </w:tcPr>
          <w:p w14:paraId="2037F31A">
            <w:pPr>
              <w:widowControl/>
              <w:spacing w:line="240" w:lineRule="exact"/>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部门及所属二级单位通过履行职责和预算安排支出项目的实施，对我市带来的经济影响。</w:t>
            </w:r>
          </w:p>
          <w:p w14:paraId="1B9EB1D7">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 xml:space="preserve">1.通过部门所属企事业单位改革，促进了企事业单位效益增长情况；          </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2.通过预算支出项目的实施，促进了行业生产能力增长，从而带动行业经济效益增长；</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3.通过预算支出项目的实施，有效提高劳动效率，节约成本费用；</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4.通过预算支出项目的实施，降低了损耗，从而提高了生产效益；</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5.通过预算支出项目的实施，完善了突发情况的监测预警，保障了生产安全，降低了生产损失。</w:t>
            </w:r>
          </w:p>
        </w:tc>
        <w:tc>
          <w:tcPr>
            <w:tcW w:w="2373" w:type="dxa"/>
            <w:tcBorders>
              <w:top w:val="single" w:color="000000" w:sz="4" w:space="0"/>
              <w:left w:val="single" w:color="auto" w:sz="4" w:space="0"/>
              <w:bottom w:val="single" w:color="000000" w:sz="4" w:space="0"/>
              <w:right w:val="single" w:color="auto" w:sz="4" w:space="0"/>
            </w:tcBorders>
            <w:vAlign w:val="center"/>
          </w:tcPr>
          <w:p w14:paraId="3E2BB7A7">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根据不同部门履职的内容和特点，具体测算部门履职产生的经济效益。</w:t>
            </w:r>
          </w:p>
        </w:tc>
        <w:tc>
          <w:tcPr>
            <w:tcW w:w="764" w:type="dxa"/>
            <w:tcBorders>
              <w:top w:val="single" w:color="000000" w:sz="4" w:space="0"/>
              <w:left w:val="single" w:color="auto" w:sz="4" w:space="0"/>
              <w:bottom w:val="single" w:color="000000" w:sz="4" w:space="0"/>
              <w:right w:val="single" w:color="000000" w:sz="4" w:space="0"/>
            </w:tcBorders>
            <w:vAlign w:val="center"/>
          </w:tcPr>
          <w:p w14:paraId="588B0F53">
            <w:pPr>
              <w:widowControl/>
              <w:spacing w:line="240" w:lineRule="exact"/>
              <w:jc w:val="left"/>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14:paraId="70309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left w:val="single" w:color="000000" w:sz="4" w:space="0"/>
              <w:right w:val="single" w:color="000000" w:sz="4" w:space="0"/>
            </w:tcBorders>
            <w:vAlign w:val="center"/>
          </w:tcPr>
          <w:p w14:paraId="0B36DC0B">
            <w:pPr>
              <w:widowControl/>
              <w:spacing w:line="240" w:lineRule="exact"/>
              <w:jc w:val="left"/>
              <w:rPr>
                <w:rFonts w:hint="eastAsia" w:ascii="仿宋_GB2312" w:hAnsi="仿宋_GB2312" w:eastAsia="仿宋_GB2312" w:cs="仿宋_GB2312"/>
                <w:kern w:val="0"/>
                <w:sz w:val="21"/>
                <w:szCs w:val="21"/>
                <w:lang w:bidi="ar"/>
              </w:rPr>
            </w:pPr>
          </w:p>
        </w:tc>
        <w:tc>
          <w:tcPr>
            <w:tcW w:w="743" w:type="dxa"/>
            <w:vMerge w:val="continue"/>
            <w:tcBorders>
              <w:left w:val="single" w:color="000000" w:sz="4" w:space="0"/>
              <w:right w:val="single" w:color="000000" w:sz="4" w:space="0"/>
            </w:tcBorders>
            <w:vAlign w:val="center"/>
          </w:tcPr>
          <w:p w14:paraId="19254F85">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0A272C06">
            <w:pPr>
              <w:widowControl/>
              <w:spacing w:line="240" w:lineRule="exac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社会效益（5分）</w:t>
            </w:r>
          </w:p>
        </w:tc>
        <w:tc>
          <w:tcPr>
            <w:tcW w:w="3436" w:type="dxa"/>
            <w:tcBorders>
              <w:top w:val="single" w:color="000000" w:sz="4" w:space="0"/>
              <w:left w:val="single" w:color="auto" w:sz="4" w:space="0"/>
              <w:bottom w:val="single" w:color="000000" w:sz="4" w:space="0"/>
              <w:right w:val="single" w:color="auto" w:sz="4" w:space="0"/>
            </w:tcBorders>
            <w:vAlign w:val="center"/>
          </w:tcPr>
          <w:p w14:paraId="104B4F30">
            <w:pPr>
              <w:widowControl/>
              <w:spacing w:line="240" w:lineRule="exac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部门及所属二级单位履行职责对社会发展所带来的直接或间接影响。</w:t>
            </w:r>
          </w:p>
          <w:p w14:paraId="77B6537A">
            <w:pPr>
              <w:widowControl/>
              <w:spacing w:line="240" w:lineRule="exac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 xml:space="preserve">1.通过部门所属企事业单位的改革，促进了企事业单位可持续发展，带动就业增长情况；          </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2.通过预算支出项目的实施，是否明显促进了行业精神文明建设；</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3.通过部门履职是否明显提高城乡居民生活水平，满足了人们日益增长的物质与文化生活需求；</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4.通过预算项目的实施，是否提高了劳动生产率，降低了劳动强度，促进了劳动人民的身心健康；</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5.通过部门履职行业形象是否得到了大大提升了，增强了部门影响力。</w:t>
            </w:r>
          </w:p>
        </w:tc>
        <w:tc>
          <w:tcPr>
            <w:tcW w:w="2373" w:type="dxa"/>
            <w:tcBorders>
              <w:top w:val="single" w:color="000000" w:sz="4" w:space="0"/>
              <w:left w:val="single" w:color="auto" w:sz="4" w:space="0"/>
              <w:bottom w:val="single" w:color="000000" w:sz="4" w:space="0"/>
              <w:right w:val="single" w:color="auto" w:sz="4" w:space="0"/>
            </w:tcBorders>
            <w:vAlign w:val="center"/>
          </w:tcPr>
          <w:p w14:paraId="17AC19AB">
            <w:pPr>
              <w:widowControl/>
              <w:spacing w:line="240" w:lineRule="exac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根据不同部门履职的内容和特点，具体测算部门履职产生的社会效益。</w:t>
            </w:r>
          </w:p>
        </w:tc>
        <w:tc>
          <w:tcPr>
            <w:tcW w:w="764" w:type="dxa"/>
            <w:tcBorders>
              <w:top w:val="single" w:color="000000" w:sz="4" w:space="0"/>
              <w:left w:val="single" w:color="auto" w:sz="4" w:space="0"/>
              <w:bottom w:val="single" w:color="000000" w:sz="4" w:space="0"/>
              <w:right w:val="single" w:color="000000" w:sz="4" w:space="0"/>
            </w:tcBorders>
            <w:vAlign w:val="center"/>
          </w:tcPr>
          <w:p w14:paraId="77C2BA95">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14:paraId="2B5B5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left w:val="single" w:color="000000" w:sz="4" w:space="0"/>
              <w:right w:val="single" w:color="000000" w:sz="4" w:space="0"/>
            </w:tcBorders>
            <w:vAlign w:val="center"/>
          </w:tcPr>
          <w:p w14:paraId="1E6A9886">
            <w:pPr>
              <w:widowControl/>
              <w:spacing w:line="240" w:lineRule="exact"/>
              <w:jc w:val="left"/>
              <w:rPr>
                <w:rFonts w:hint="eastAsia" w:ascii="仿宋_GB2312" w:hAnsi="仿宋_GB2312" w:eastAsia="仿宋_GB2312" w:cs="仿宋_GB2312"/>
                <w:kern w:val="0"/>
                <w:sz w:val="21"/>
                <w:szCs w:val="21"/>
                <w:lang w:bidi="ar"/>
              </w:rPr>
            </w:pPr>
          </w:p>
        </w:tc>
        <w:tc>
          <w:tcPr>
            <w:tcW w:w="743" w:type="dxa"/>
            <w:vMerge w:val="continue"/>
            <w:tcBorders>
              <w:left w:val="single" w:color="000000" w:sz="4" w:space="0"/>
              <w:right w:val="single" w:color="000000" w:sz="4" w:space="0"/>
            </w:tcBorders>
            <w:vAlign w:val="center"/>
          </w:tcPr>
          <w:p w14:paraId="0CD51144">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678EEDC2">
            <w:pPr>
              <w:widowControl/>
              <w:spacing w:line="240" w:lineRule="exact"/>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生态效益（5分）</w:t>
            </w:r>
          </w:p>
        </w:tc>
        <w:tc>
          <w:tcPr>
            <w:tcW w:w="3436" w:type="dxa"/>
            <w:tcBorders>
              <w:top w:val="single" w:color="000000" w:sz="4" w:space="0"/>
              <w:left w:val="single" w:color="auto" w:sz="4" w:space="0"/>
              <w:bottom w:val="single" w:color="000000" w:sz="4" w:space="0"/>
              <w:right w:val="single" w:color="auto" w:sz="4" w:space="0"/>
            </w:tcBorders>
            <w:vAlign w:val="center"/>
          </w:tcPr>
          <w:p w14:paraId="776782C3">
            <w:pPr>
              <w:widowControl/>
              <w:spacing w:line="240" w:lineRule="exact"/>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部门及所属二级单位履行职责对生态环境所带来的直接或间接影响。</w:t>
            </w:r>
          </w:p>
          <w:p w14:paraId="13336DCC">
            <w:pPr>
              <w:widowControl/>
              <w:spacing w:line="240" w:lineRule="exact"/>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1.通过预算支出项目的实施，绿色、节能环保新技术的应用和推广，明显带动各环节的节能减排，也具有一定的环境效益；</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2.通过履职有效地控制虚假、伪劣、霉变等劣质产品进入市场，影响了人民生活质量，净化地市场环境；</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3.通过预算支出项目的实施，是否达到减少污染物排放；</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4.通过预算支出项目的实施，周围环境得到了整治，面貌得到了改善。</w:t>
            </w:r>
          </w:p>
        </w:tc>
        <w:tc>
          <w:tcPr>
            <w:tcW w:w="2373" w:type="dxa"/>
            <w:tcBorders>
              <w:top w:val="single" w:color="000000" w:sz="4" w:space="0"/>
              <w:left w:val="single" w:color="auto" w:sz="4" w:space="0"/>
              <w:bottom w:val="single" w:color="000000" w:sz="4" w:space="0"/>
              <w:right w:val="single" w:color="auto" w:sz="4" w:space="0"/>
            </w:tcBorders>
            <w:vAlign w:val="center"/>
          </w:tcPr>
          <w:p w14:paraId="7F01CE4F">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根据不同部门履职的内容和特点，具体测算部门履职产生的生态效益。</w:t>
            </w:r>
          </w:p>
        </w:tc>
        <w:tc>
          <w:tcPr>
            <w:tcW w:w="764" w:type="dxa"/>
            <w:tcBorders>
              <w:top w:val="single" w:color="000000" w:sz="4" w:space="0"/>
              <w:left w:val="single" w:color="auto" w:sz="4" w:space="0"/>
              <w:bottom w:val="single" w:color="000000" w:sz="4" w:space="0"/>
              <w:right w:val="single" w:color="000000" w:sz="4" w:space="0"/>
            </w:tcBorders>
            <w:vAlign w:val="center"/>
          </w:tcPr>
          <w:p w14:paraId="65A56C8E">
            <w:pPr>
              <w:widowControl/>
              <w:spacing w:line="240" w:lineRule="exact"/>
              <w:jc w:val="left"/>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14:paraId="2C4E6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6CDC42B4">
            <w:pPr>
              <w:spacing w:line="240" w:lineRule="exact"/>
              <w:rPr>
                <w:rFonts w:hint="eastAsia" w:ascii="仿宋_GB2312" w:hAnsi="仿宋_GB2312" w:eastAsia="仿宋_GB2312" w:cs="仿宋_GB2312"/>
                <w:sz w:val="21"/>
                <w:szCs w:val="21"/>
              </w:rPr>
            </w:pPr>
          </w:p>
        </w:tc>
        <w:tc>
          <w:tcPr>
            <w:tcW w:w="743" w:type="dxa"/>
            <w:vMerge w:val="continue"/>
            <w:tcBorders>
              <w:left w:val="single" w:color="000000" w:sz="4" w:space="0"/>
              <w:right w:val="single" w:color="000000" w:sz="4" w:space="0"/>
            </w:tcBorders>
            <w:vAlign w:val="center"/>
          </w:tcPr>
          <w:p w14:paraId="567A5020">
            <w:pPr>
              <w:widowControl/>
              <w:spacing w:line="240" w:lineRule="exact"/>
              <w:jc w:val="lef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221F906D">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服务对象满意度（5）</w:t>
            </w:r>
          </w:p>
        </w:tc>
        <w:tc>
          <w:tcPr>
            <w:tcW w:w="3436" w:type="dxa"/>
            <w:tcBorders>
              <w:top w:val="single" w:color="000000" w:sz="4" w:space="0"/>
              <w:left w:val="single" w:color="auto" w:sz="4" w:space="0"/>
              <w:bottom w:val="single" w:color="000000" w:sz="4" w:space="0"/>
              <w:right w:val="single" w:color="auto" w:sz="4" w:space="0"/>
            </w:tcBorders>
            <w:vAlign w:val="center"/>
          </w:tcPr>
          <w:p w14:paraId="498E30BE">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通过对部门（单位）的服务对象对部门履职效果的满意程度调查，反映和考核社会公众或服务对象对部门履职的满意度。</w:t>
            </w:r>
          </w:p>
        </w:tc>
        <w:tc>
          <w:tcPr>
            <w:tcW w:w="2373" w:type="dxa"/>
            <w:tcBorders>
              <w:top w:val="single" w:color="000000" w:sz="4" w:space="0"/>
              <w:left w:val="single" w:color="auto" w:sz="4" w:space="0"/>
              <w:bottom w:val="single" w:color="000000" w:sz="4" w:space="0"/>
              <w:right w:val="single" w:color="auto" w:sz="4" w:space="0"/>
            </w:tcBorders>
            <w:vAlign w:val="center"/>
          </w:tcPr>
          <w:p w14:paraId="5D8B8650">
            <w:pPr>
              <w:widowControl/>
              <w:spacing w:line="2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按照满意度调查的优秀、良好、合格、不合格给予该项指标打分：</w:t>
            </w:r>
          </w:p>
          <w:p w14:paraId="70BA2083">
            <w:pPr>
              <w:widowControl/>
              <w:spacing w:line="240" w:lineRule="exac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rPr>
              <w:t>优秀（5）；良好（3）；合格（1）；不合格（0）。</w:t>
            </w:r>
          </w:p>
        </w:tc>
        <w:tc>
          <w:tcPr>
            <w:tcW w:w="764" w:type="dxa"/>
            <w:tcBorders>
              <w:top w:val="single" w:color="000000" w:sz="4" w:space="0"/>
              <w:left w:val="single" w:color="auto" w:sz="4" w:space="0"/>
              <w:bottom w:val="single" w:color="000000" w:sz="4" w:space="0"/>
              <w:right w:val="single" w:color="000000" w:sz="4" w:space="0"/>
            </w:tcBorders>
            <w:vAlign w:val="center"/>
          </w:tcPr>
          <w:p w14:paraId="5B860622">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14:paraId="06DF8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4" w:hRule="atLeast"/>
        </w:trPr>
        <w:tc>
          <w:tcPr>
            <w:tcW w:w="779" w:type="dxa"/>
            <w:tcBorders>
              <w:top w:val="single" w:color="000000" w:sz="4" w:space="0"/>
              <w:left w:val="single" w:color="000000" w:sz="4" w:space="0"/>
              <w:bottom w:val="single" w:color="000000" w:sz="4" w:space="0"/>
              <w:right w:val="single" w:color="000000" w:sz="4" w:space="0"/>
            </w:tcBorders>
            <w:vAlign w:val="center"/>
          </w:tcPr>
          <w:p w14:paraId="4D5976BE">
            <w:pPr>
              <w:spacing w:line="240" w:lineRule="exac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合计</w:t>
            </w:r>
          </w:p>
        </w:tc>
        <w:tc>
          <w:tcPr>
            <w:tcW w:w="743" w:type="dxa"/>
            <w:tcBorders>
              <w:left w:val="single" w:color="000000" w:sz="4" w:space="0"/>
              <w:bottom w:val="single" w:color="auto" w:sz="4" w:space="0"/>
              <w:right w:val="single" w:color="000000" w:sz="4" w:space="0"/>
            </w:tcBorders>
            <w:vAlign w:val="center"/>
          </w:tcPr>
          <w:p w14:paraId="7F781BA3">
            <w:pPr>
              <w:widowControl/>
              <w:spacing w:line="240" w:lineRule="exact"/>
              <w:jc w:val="lef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1FC28E92">
            <w:pPr>
              <w:widowControl/>
              <w:spacing w:line="240" w:lineRule="exact"/>
              <w:jc w:val="left"/>
              <w:rPr>
                <w:rFonts w:hint="eastAsia" w:ascii="仿宋_GB2312" w:hAnsi="仿宋_GB2312" w:eastAsia="仿宋_GB2312" w:cs="仿宋_GB2312"/>
                <w:kern w:val="0"/>
                <w:sz w:val="21"/>
                <w:szCs w:val="21"/>
                <w:lang w:bidi="ar"/>
              </w:rPr>
            </w:pPr>
          </w:p>
        </w:tc>
        <w:tc>
          <w:tcPr>
            <w:tcW w:w="3436" w:type="dxa"/>
            <w:tcBorders>
              <w:top w:val="single" w:color="000000" w:sz="4" w:space="0"/>
              <w:left w:val="single" w:color="auto" w:sz="4" w:space="0"/>
              <w:bottom w:val="single" w:color="000000" w:sz="4" w:space="0"/>
              <w:right w:val="single" w:color="auto" w:sz="4" w:space="0"/>
            </w:tcBorders>
            <w:vAlign w:val="center"/>
          </w:tcPr>
          <w:p w14:paraId="518CC9A3">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kern w:val="0"/>
                <w:sz w:val="21"/>
                <w:szCs w:val="21"/>
                <w:lang w:bidi="ar"/>
              </w:rPr>
            </w:pPr>
          </w:p>
        </w:tc>
        <w:tc>
          <w:tcPr>
            <w:tcW w:w="2373" w:type="dxa"/>
            <w:tcBorders>
              <w:top w:val="single" w:color="000000" w:sz="4" w:space="0"/>
              <w:left w:val="single" w:color="auto" w:sz="4" w:space="0"/>
              <w:bottom w:val="single" w:color="000000" w:sz="4" w:space="0"/>
              <w:right w:val="single" w:color="auto" w:sz="4" w:space="0"/>
            </w:tcBorders>
            <w:vAlign w:val="center"/>
          </w:tcPr>
          <w:p w14:paraId="4570880D">
            <w:pPr>
              <w:widowControl/>
              <w:spacing w:line="240" w:lineRule="exact"/>
              <w:rPr>
                <w:rFonts w:hint="eastAsia" w:ascii="仿宋_GB2312" w:hAnsi="仿宋_GB2312" w:eastAsia="仿宋_GB2312" w:cs="仿宋_GB2312"/>
                <w:kern w:val="0"/>
                <w:sz w:val="21"/>
                <w:szCs w:val="21"/>
              </w:rPr>
            </w:pPr>
          </w:p>
        </w:tc>
        <w:tc>
          <w:tcPr>
            <w:tcW w:w="764" w:type="dxa"/>
            <w:tcBorders>
              <w:top w:val="single" w:color="000000" w:sz="4" w:space="0"/>
              <w:left w:val="single" w:color="auto" w:sz="4" w:space="0"/>
              <w:bottom w:val="single" w:color="000000" w:sz="4" w:space="0"/>
              <w:right w:val="single" w:color="000000" w:sz="4" w:space="0"/>
            </w:tcBorders>
            <w:vAlign w:val="center"/>
          </w:tcPr>
          <w:p w14:paraId="1AA194E1">
            <w:pPr>
              <w:widowControl/>
              <w:spacing w:line="240" w:lineRule="exact"/>
              <w:jc w:val="left"/>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97</w:t>
            </w:r>
            <w:bookmarkStart w:id="0" w:name="_GoBack"/>
            <w:bookmarkEnd w:id="0"/>
          </w:p>
        </w:tc>
      </w:tr>
    </w:tbl>
    <w:p w14:paraId="5BA6584B">
      <w:pPr>
        <w:spacing w:line="240" w:lineRule="exact"/>
        <w:rPr>
          <w:rFonts w:ascii="仿宋" w:hAnsi="仿宋" w:eastAsia="仿宋" w:cs="仿宋"/>
          <w:sz w:val="32"/>
          <w:szCs w:val="32"/>
        </w:rPr>
      </w:pPr>
    </w:p>
    <w:p w14:paraId="62128CAA">
      <w:pPr>
        <w:spacing w:line="240" w:lineRule="exact"/>
        <w:rPr>
          <w:rFonts w:ascii="仿宋" w:hAnsi="仿宋" w:eastAsia="仿宋" w:cs="仿宋"/>
          <w:sz w:val="32"/>
          <w:szCs w:val="32"/>
        </w:rPr>
      </w:pPr>
    </w:p>
    <w:p w14:paraId="32E22DB8">
      <w:pPr>
        <w:spacing w:line="240" w:lineRule="exact"/>
        <w:rPr>
          <w:rFonts w:hint="eastAsia" w:ascii="仿宋" w:hAnsi="仿宋" w:eastAsia="仿宋" w:cs="仿宋"/>
          <w:sz w:val="32"/>
          <w:szCs w:val="32"/>
          <w:lang w:val="en-US" w:eastAsia="zh-CN"/>
        </w:rPr>
      </w:pPr>
    </w:p>
    <w:sectPr>
      <w:footerReference r:id="rId3" w:type="default"/>
      <w:footerReference r:id="rId4" w:type="even"/>
      <w:pgSz w:w="11906" w:h="16838"/>
      <w:pgMar w:top="1985" w:right="1418" w:bottom="1985" w:left="1418" w:header="851" w:footer="1701" w:gutter="0"/>
      <w:cols w:space="425" w:num="1"/>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4FBE0">
    <w:pPr>
      <w:pStyle w:val="5"/>
      <w:framePr w:wrap="around" w:vAnchor="text" w:hAnchor="margin" w:xAlign="outside" w:y="1"/>
      <w:rPr>
        <w:rStyle w:val="11"/>
        <w:rFonts w:ascii="宋体" w:hAnsi="宋体" w:eastAsia="宋体"/>
        <w:sz w:val="28"/>
        <w:szCs w:val="28"/>
      </w:rPr>
    </w:pPr>
    <w:r>
      <w:rPr>
        <w:rStyle w:val="11"/>
        <w:rFonts w:hint="eastAsia" w:ascii="宋体" w:hAnsi="宋体" w:eastAsia="宋体"/>
        <w:sz w:val="28"/>
        <w:szCs w:val="28"/>
      </w:rPr>
      <w:t>-</w:t>
    </w:r>
    <w:r>
      <w:rPr>
        <w:rStyle w:val="11"/>
        <w:rFonts w:ascii="宋体" w:hAnsi="宋体" w:eastAsia="宋体"/>
        <w:sz w:val="28"/>
        <w:szCs w:val="28"/>
      </w:rPr>
      <w:fldChar w:fldCharType="begin"/>
    </w:r>
    <w:r>
      <w:rPr>
        <w:rStyle w:val="11"/>
        <w:rFonts w:ascii="宋体" w:hAnsi="宋体" w:eastAsia="宋体"/>
        <w:sz w:val="28"/>
        <w:szCs w:val="28"/>
      </w:rPr>
      <w:instrText xml:space="preserve">PAGE  </w:instrText>
    </w:r>
    <w:r>
      <w:rPr>
        <w:rStyle w:val="11"/>
        <w:rFonts w:ascii="宋体" w:hAnsi="宋体" w:eastAsia="宋体"/>
        <w:sz w:val="28"/>
        <w:szCs w:val="28"/>
      </w:rPr>
      <w:fldChar w:fldCharType="separate"/>
    </w:r>
    <w:r>
      <w:rPr>
        <w:rStyle w:val="11"/>
        <w:rFonts w:ascii="宋体" w:hAnsi="宋体" w:eastAsia="宋体"/>
        <w:sz w:val="28"/>
        <w:szCs w:val="28"/>
      </w:rPr>
      <w:t>6</w:t>
    </w:r>
    <w:r>
      <w:rPr>
        <w:rStyle w:val="11"/>
        <w:rFonts w:ascii="宋体" w:hAnsi="宋体" w:eastAsia="宋体"/>
        <w:sz w:val="28"/>
        <w:szCs w:val="28"/>
      </w:rPr>
      <w:fldChar w:fldCharType="end"/>
    </w:r>
    <w:r>
      <w:rPr>
        <w:rStyle w:val="11"/>
        <w:rFonts w:hint="eastAsia" w:ascii="宋体" w:hAnsi="宋体" w:eastAsia="宋体"/>
        <w:sz w:val="28"/>
        <w:szCs w:val="28"/>
      </w:rPr>
      <w:t>-</w:t>
    </w:r>
  </w:p>
  <w:p w14:paraId="455A4399">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2B1D9">
    <w:pPr>
      <w:pStyle w:val="5"/>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14:paraId="74FAF933">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31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933"/>
    <w:rsid w:val="00002F2C"/>
    <w:rsid w:val="000070A8"/>
    <w:rsid w:val="00016CA4"/>
    <w:rsid w:val="000324AE"/>
    <w:rsid w:val="00042933"/>
    <w:rsid w:val="0008033E"/>
    <w:rsid w:val="0008759D"/>
    <w:rsid w:val="00094F2B"/>
    <w:rsid w:val="000B0A83"/>
    <w:rsid w:val="000B6322"/>
    <w:rsid w:val="000C2CC1"/>
    <w:rsid w:val="000E4A5A"/>
    <w:rsid w:val="00103547"/>
    <w:rsid w:val="0017068B"/>
    <w:rsid w:val="00185A3C"/>
    <w:rsid w:val="00192D5A"/>
    <w:rsid w:val="001C59B3"/>
    <w:rsid w:val="001E0886"/>
    <w:rsid w:val="001F7E31"/>
    <w:rsid w:val="002071BC"/>
    <w:rsid w:val="00225AE6"/>
    <w:rsid w:val="00235F0F"/>
    <w:rsid w:val="00255783"/>
    <w:rsid w:val="00290BA1"/>
    <w:rsid w:val="002A6AEA"/>
    <w:rsid w:val="002F2268"/>
    <w:rsid w:val="003C50C2"/>
    <w:rsid w:val="0041099F"/>
    <w:rsid w:val="00436A1D"/>
    <w:rsid w:val="004379D7"/>
    <w:rsid w:val="004A68B1"/>
    <w:rsid w:val="004B64F3"/>
    <w:rsid w:val="004E3B64"/>
    <w:rsid w:val="005020C5"/>
    <w:rsid w:val="00567FE6"/>
    <w:rsid w:val="0058162A"/>
    <w:rsid w:val="005B3616"/>
    <w:rsid w:val="005E12FA"/>
    <w:rsid w:val="00683167"/>
    <w:rsid w:val="006A5056"/>
    <w:rsid w:val="006E64C9"/>
    <w:rsid w:val="007048FF"/>
    <w:rsid w:val="00712100"/>
    <w:rsid w:val="0071700D"/>
    <w:rsid w:val="00742652"/>
    <w:rsid w:val="00772600"/>
    <w:rsid w:val="007D5D41"/>
    <w:rsid w:val="007F01F9"/>
    <w:rsid w:val="00856BA1"/>
    <w:rsid w:val="00867620"/>
    <w:rsid w:val="008709E0"/>
    <w:rsid w:val="008A6A10"/>
    <w:rsid w:val="008A6A31"/>
    <w:rsid w:val="00904AF4"/>
    <w:rsid w:val="00905542"/>
    <w:rsid w:val="00917700"/>
    <w:rsid w:val="00956F74"/>
    <w:rsid w:val="009B0B5F"/>
    <w:rsid w:val="009C04DA"/>
    <w:rsid w:val="009C4C62"/>
    <w:rsid w:val="009E3627"/>
    <w:rsid w:val="009F53E7"/>
    <w:rsid w:val="00A11BF8"/>
    <w:rsid w:val="00A14A33"/>
    <w:rsid w:val="00A6449D"/>
    <w:rsid w:val="00A768DB"/>
    <w:rsid w:val="00AA09C8"/>
    <w:rsid w:val="00AD5F30"/>
    <w:rsid w:val="00B0681D"/>
    <w:rsid w:val="00B9023F"/>
    <w:rsid w:val="00BC1FDC"/>
    <w:rsid w:val="00BD0FD8"/>
    <w:rsid w:val="00C44804"/>
    <w:rsid w:val="00C6362A"/>
    <w:rsid w:val="00C81363"/>
    <w:rsid w:val="00CB27A5"/>
    <w:rsid w:val="00CD55ED"/>
    <w:rsid w:val="00CD63C0"/>
    <w:rsid w:val="00CE62A0"/>
    <w:rsid w:val="00D21F0C"/>
    <w:rsid w:val="00D366C1"/>
    <w:rsid w:val="00D877F7"/>
    <w:rsid w:val="00DB2D43"/>
    <w:rsid w:val="00E266F1"/>
    <w:rsid w:val="00EB16A8"/>
    <w:rsid w:val="00EC7904"/>
    <w:rsid w:val="00F72E93"/>
    <w:rsid w:val="00F87A11"/>
    <w:rsid w:val="00FB7E01"/>
    <w:rsid w:val="00FE5F4C"/>
    <w:rsid w:val="00FF39F6"/>
    <w:rsid w:val="05374814"/>
    <w:rsid w:val="0C8F0285"/>
    <w:rsid w:val="0F8F6BFC"/>
    <w:rsid w:val="107166F3"/>
    <w:rsid w:val="144D4E5A"/>
    <w:rsid w:val="1C841DE7"/>
    <w:rsid w:val="3791647A"/>
    <w:rsid w:val="455969D8"/>
    <w:rsid w:val="459C69A1"/>
    <w:rsid w:val="48725571"/>
    <w:rsid w:val="4BDB04ED"/>
    <w:rsid w:val="526A3656"/>
    <w:rsid w:val="53CD5365"/>
    <w:rsid w:val="5C540594"/>
    <w:rsid w:val="5D643D56"/>
    <w:rsid w:val="64283056"/>
    <w:rsid w:val="69BD0A47"/>
    <w:rsid w:val="71A911C9"/>
    <w:rsid w:val="7793669D"/>
    <w:rsid w:val="7CCC213E"/>
    <w:rsid w:val="7D1E2A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spacing w:before="100" w:beforeAutospacing="1" w:after="100" w:afterAutospacing="1"/>
      <w:jc w:val="left"/>
      <w:outlineLvl w:val="0"/>
    </w:pPr>
    <w:rPr>
      <w:rFonts w:hint="eastAsia" w:ascii="宋体" w:hAnsi="宋体" w:eastAsia="宋体" w:cs="宋体"/>
      <w:b/>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99"/>
    <w:pPr>
      <w:autoSpaceDE w:val="0"/>
      <w:autoSpaceDN w:val="0"/>
      <w:adjustRightInd w:val="0"/>
      <w:snapToGrid w:val="0"/>
      <w:spacing w:line="588" w:lineRule="atLeast"/>
    </w:pPr>
    <w:rPr>
      <w:rFonts w:ascii="宋体" w:hAnsi="宋体" w:eastAsia="仿宋_GB2312"/>
      <w:spacing w:val="-2"/>
      <w:sz w:val="32"/>
      <w:szCs w:val="24"/>
    </w:rPr>
  </w:style>
  <w:style w:type="paragraph" w:styleId="4">
    <w:name w:val="Plain Text"/>
    <w:basedOn w:val="1"/>
    <w:link w:val="14"/>
    <w:qFormat/>
    <w:uiPriority w:val="0"/>
    <w:rPr>
      <w:rFonts w:ascii="宋体" w:hAnsi="Courier New" w:eastAsia="宋体" w:cs="Courier New"/>
      <w:szCs w:val="21"/>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page number"/>
    <w:basedOn w:val="9"/>
    <w:semiHidden/>
    <w:unhideWhenUsed/>
    <w:qFormat/>
    <w:uiPriority w:val="99"/>
  </w:style>
  <w:style w:type="character" w:customStyle="1" w:styleId="12">
    <w:name w:val="页眉 Char"/>
    <w:basedOn w:val="9"/>
    <w:link w:val="6"/>
    <w:qFormat/>
    <w:uiPriority w:val="99"/>
    <w:rPr>
      <w:sz w:val="18"/>
      <w:szCs w:val="18"/>
    </w:rPr>
  </w:style>
  <w:style w:type="character" w:customStyle="1" w:styleId="13">
    <w:name w:val="页脚 Char"/>
    <w:basedOn w:val="9"/>
    <w:link w:val="5"/>
    <w:qFormat/>
    <w:uiPriority w:val="99"/>
    <w:rPr>
      <w:sz w:val="18"/>
      <w:szCs w:val="18"/>
    </w:rPr>
  </w:style>
  <w:style w:type="character" w:customStyle="1" w:styleId="14">
    <w:name w:val="纯文本 Char"/>
    <w:basedOn w:val="9"/>
    <w:link w:val="4"/>
    <w:qFormat/>
    <w:uiPriority w:val="0"/>
    <w:rPr>
      <w:rFonts w:ascii="宋体" w:hAnsi="Courier New" w:eastAsia="宋体" w:cs="Courier New"/>
      <w:szCs w:val="21"/>
    </w:rPr>
  </w:style>
  <w:style w:type="character" w:customStyle="1" w:styleId="15">
    <w:name w:val="标题 1 Char"/>
    <w:basedOn w:val="9"/>
    <w:link w:val="2"/>
    <w:qFormat/>
    <w:uiPriority w:val="9"/>
    <w:rPr>
      <w:rFonts w:ascii="宋体" w:hAnsi="宋体" w:eastAsia="宋体" w:cs="宋体"/>
      <w:b/>
      <w:kern w:val="44"/>
      <w:sz w:val="48"/>
      <w:szCs w:val="48"/>
    </w:rPr>
  </w:style>
  <w:style w:type="character" w:customStyle="1" w:styleId="16">
    <w:name w:val="font31"/>
    <w:basedOn w:val="9"/>
    <w:qFormat/>
    <w:uiPriority w:val="0"/>
    <w:rPr>
      <w:rFonts w:hint="eastAsia" w:ascii="宋体" w:hAnsi="宋体" w:eastAsia="宋体" w:cs="宋体"/>
      <w:b/>
      <w:color w:val="000000"/>
      <w:sz w:val="36"/>
      <w:szCs w:val="3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4708</Words>
  <Characters>5026</Characters>
  <Lines>37</Lines>
  <Paragraphs>10</Paragraphs>
  <TotalTime>68</TotalTime>
  <ScaleCrop>false</ScaleCrop>
  <LinksUpToDate>false</LinksUpToDate>
  <CharactersWithSpaces>5060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2016-02-22T07:07:00Z</dcterms:created>
  <dc:creator>Administrator</dc:creator>
  <cp:lastModifiedBy>醉生梦死，一夜知秋</cp:lastModifiedBy>
  <cp:lastPrinted>2018-11-29T03:23:00Z</cp:lastPrinted>
  <dcterms:modified xsi:type="dcterms:W3CDTF">2026-07-24T04:00:10Z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4588E0390E3B41418FF4298B98D5919E</vt:lpwstr>
  </property>
  <property fmtid="{D5CDD505-2E9C-101B-9397-08002B2CF9AE}" pid="4" name="KSOTemplateDocerSaveRecord">
    <vt:lpwstr>eyJoZGlkIjoiODYxZWY5Y2UxOWU1ZjVmZGNjNDU0ZmQ5ZjJmZDBmZGYiLCJ1c2VySWQiOiIxMDU5NjcwOTQ4In0=</vt:lpwstr>
  </property>
</Properties>
</file>