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70F378">
      <w:pPr>
        <w:snapToGrid w:val="0"/>
        <w:spacing w:line="580" w:lineRule="exact"/>
        <w:rPr>
          <w:rFonts w:hint="eastAsia" w:ascii="Times New Roman" w:hAnsi="Times New Roman" w:eastAsia="黑体" w:cs="Times New Roman"/>
          <w:kern w:val="0"/>
          <w:sz w:val="30"/>
          <w:szCs w:val="30"/>
          <w:lang w:val="en-US" w:eastAsia="zh-CN"/>
        </w:rPr>
      </w:pPr>
      <w:r>
        <w:rPr>
          <w:rFonts w:hint="default" w:ascii="Times New Roman" w:hAnsi="Times New Roman" w:eastAsia="黑体" w:cs="Times New Roman"/>
          <w:sz w:val="30"/>
          <w:szCs w:val="30"/>
        </w:rPr>
        <w:t>附件</w:t>
      </w:r>
      <w:r>
        <w:rPr>
          <w:rFonts w:hint="eastAsia" w:eastAsia="黑体" w:cs="Times New Roman"/>
          <w:sz w:val="30"/>
          <w:szCs w:val="30"/>
          <w:lang w:val="en-US" w:eastAsia="zh-CN"/>
        </w:rPr>
        <w:t>3</w:t>
      </w:r>
    </w:p>
    <w:p w14:paraId="5A538057">
      <w:pPr>
        <w:snapToGrid w:val="0"/>
        <w:spacing w:line="580" w:lineRule="exact"/>
        <w:jc w:val="center"/>
        <w:rPr>
          <w:rFonts w:hint="eastAsia" w:ascii="方正小标宋_GBK" w:hAnsi="宋体" w:eastAsia="方正小标宋_GBK" w:cs="Tahoma"/>
          <w:kern w:val="0"/>
          <w:sz w:val="44"/>
          <w:szCs w:val="44"/>
          <w:lang w:eastAsia="zh-CN"/>
        </w:rPr>
      </w:pPr>
      <w:r>
        <w:rPr>
          <w:rFonts w:hint="eastAsia" w:ascii="方正小标宋_GBK" w:hAnsi="宋体" w:eastAsia="方正小标宋_GBK" w:cs="Tahoma"/>
          <w:kern w:val="0"/>
          <w:sz w:val="44"/>
          <w:szCs w:val="44"/>
        </w:rPr>
        <w:t>202</w:t>
      </w:r>
      <w:r>
        <w:rPr>
          <w:rFonts w:hint="eastAsia" w:ascii="方正小标宋_GBK" w:hAnsi="宋体" w:eastAsia="方正小标宋_GBK" w:cs="Tahoma"/>
          <w:kern w:val="0"/>
          <w:sz w:val="44"/>
          <w:szCs w:val="44"/>
          <w:lang w:val="en-US" w:eastAsia="zh-CN"/>
        </w:rPr>
        <w:t>5</w:t>
      </w:r>
      <w:r>
        <w:rPr>
          <w:rFonts w:hint="eastAsia" w:ascii="方正小标宋_GBK" w:hAnsi="宋体" w:eastAsia="方正小标宋_GBK" w:cs="Tahoma"/>
          <w:kern w:val="0"/>
          <w:sz w:val="44"/>
          <w:szCs w:val="44"/>
        </w:rPr>
        <w:t>年度</w:t>
      </w:r>
      <w:r>
        <w:rPr>
          <w:rFonts w:hint="eastAsia" w:ascii="方正小标宋_GBK" w:hAnsi="宋体" w:eastAsia="方正小标宋_GBK" w:cs="Tahoma"/>
          <w:kern w:val="0"/>
          <w:sz w:val="44"/>
          <w:szCs w:val="44"/>
          <w:lang w:eastAsia="zh-CN"/>
        </w:rPr>
        <w:t>巨鹿县住房和城乡建设局</w:t>
      </w:r>
    </w:p>
    <w:p w14:paraId="303F7586">
      <w:pPr>
        <w:snapToGrid w:val="0"/>
        <w:spacing w:line="580" w:lineRule="exact"/>
        <w:jc w:val="center"/>
        <w:rPr>
          <w:rFonts w:ascii="方正小标宋_GBK" w:hAnsi="宋体" w:eastAsia="方正小标宋_GBK"/>
          <w:sz w:val="44"/>
          <w:szCs w:val="44"/>
        </w:rPr>
      </w:pPr>
      <w:r>
        <w:rPr>
          <w:rFonts w:hint="eastAsia" w:ascii="方正小标宋_GBK" w:hAnsi="宋体" w:eastAsia="方正小标宋_GBK" w:cs="Tahoma"/>
          <w:kern w:val="0"/>
          <w:sz w:val="44"/>
          <w:szCs w:val="44"/>
        </w:rPr>
        <w:t>整体</w:t>
      </w:r>
      <w:r>
        <w:rPr>
          <w:rFonts w:hint="eastAsia" w:ascii="方正小标宋_GBK" w:hAnsi="宋体" w:eastAsia="方正小标宋_GBK"/>
          <w:sz w:val="44"/>
          <w:szCs w:val="44"/>
        </w:rPr>
        <w:t>绩效自评工作报告</w:t>
      </w:r>
    </w:p>
    <w:p w14:paraId="5B432482">
      <w:pPr>
        <w:keepNext w:val="0"/>
        <w:keepLines w:val="0"/>
        <w:pageBreakBefore w:val="0"/>
        <w:widowControl w:val="0"/>
        <w:kinsoku/>
        <w:wordWrap/>
        <w:overflowPunct/>
        <w:topLinePunct w:val="0"/>
        <w:autoSpaceDE/>
        <w:autoSpaceDN/>
        <w:bidi w:val="0"/>
        <w:adjustRightInd/>
        <w:snapToGrid w:val="0"/>
        <w:spacing w:line="320" w:lineRule="exact"/>
        <w:ind w:firstLine="634" w:firstLineChars="200"/>
        <w:textAlignment w:val="auto"/>
        <w:rPr>
          <w:rFonts w:hint="default" w:ascii="Times New Roman" w:hAnsi="Times New Roman" w:eastAsia="仿宋_GB2312" w:cs="Times New Roman"/>
          <w:b/>
          <w:sz w:val="32"/>
          <w:szCs w:val="32"/>
        </w:rPr>
      </w:pPr>
    </w:p>
    <w:p w14:paraId="55A61DDD">
      <w:pPr>
        <w:keepNext w:val="0"/>
        <w:keepLines w:val="0"/>
        <w:pageBreakBefore w:val="0"/>
        <w:widowControl w:val="0"/>
        <w:kinsoku/>
        <w:wordWrap/>
        <w:overflowPunct/>
        <w:topLinePunct w:val="0"/>
        <w:autoSpaceDE/>
        <w:autoSpaceDN/>
        <w:bidi w:val="0"/>
        <w:adjustRightInd/>
        <w:snapToGrid w:val="0"/>
        <w:spacing w:line="320" w:lineRule="exact"/>
        <w:ind w:firstLine="634" w:firstLineChars="200"/>
        <w:textAlignment w:val="auto"/>
        <w:rPr>
          <w:rFonts w:hint="default" w:ascii="Times New Roman" w:hAnsi="Times New Roman" w:eastAsia="仿宋_GB2312" w:cs="Times New Roman"/>
          <w:b/>
          <w:sz w:val="32"/>
          <w:szCs w:val="32"/>
        </w:rPr>
      </w:pPr>
    </w:p>
    <w:p w14:paraId="7D7F58F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206" w:lef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一、</w:t>
      </w:r>
      <w:r>
        <w:rPr>
          <w:rFonts w:hint="eastAsia" w:ascii="黑体" w:hAnsi="黑体" w:eastAsia="黑体" w:cs="黑体"/>
          <w:sz w:val="32"/>
          <w:szCs w:val="32"/>
        </w:rPr>
        <w:t>绩效自评工作组织开展情况</w:t>
      </w:r>
    </w:p>
    <w:p w14:paraId="0539C88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4"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（一）评价对象绩效目标</w:t>
      </w:r>
    </w:p>
    <w:p w14:paraId="260F9C90">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住建局坚持以习近平新时代中国特色社会主义思想为指导，深入贯彻党的二十大精神，根据部门绩效目标考核的要求，在绩效目标的设定上严格按照“三定方案”所赋予的职责设定部门职责，科学合理设定绩效目标，按照部门职责及县委、县政府及部门工作计划开展活动，制定工作目标，合理开展部门活动。</w:t>
      </w:r>
    </w:p>
    <w:p w14:paraId="7DF887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（二）绩效指标</w:t>
      </w:r>
    </w:p>
    <w:p w14:paraId="4FECE061">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1.数量指标：</w:t>
      </w:r>
      <w:r>
        <w:rPr>
          <w:rFonts w:hint="eastAsia" w:ascii="仿宋_GB2312" w:hAnsi="仿宋_GB2312" w:eastAsia="仿宋_GB2312" w:cs="仿宋_GB2312"/>
          <w:color w:val="auto"/>
          <w:sz w:val="32"/>
          <w:szCs w:val="32"/>
          <w:lang w:val="en-US" w:eastAsia="zh-CN"/>
        </w:rPr>
        <w:t>项目个数</w:t>
      </w:r>
      <w:r>
        <w:rPr>
          <w:rFonts w:hint="eastAsia" w:ascii="仿宋_GB2312" w:hAnsi="仿宋_GB2312" w:eastAsia="仿宋_GB2312" w:cs="仿宋_GB2312"/>
          <w:sz w:val="32"/>
          <w:szCs w:val="32"/>
          <w:lang w:val="en-US" w:eastAsia="zh-CN"/>
        </w:rPr>
        <w:t>≥42个；2.质量指标：项目经费完成率≥100%；3.成本指标：所有项目经费≤5729.670502万元；4.时效指标：是否按时完成所有项目支出=100%；5.社会效益指标：工作完成率=100%。</w:t>
      </w:r>
    </w:p>
    <w:p w14:paraId="368DAF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（三）评价标准和评价方法</w:t>
      </w:r>
    </w:p>
    <w:p w14:paraId="6FEF2724">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中央部门预算绩效目标管理办法》（财预〔2015〕88号）要求，各个项目支出按投入、过程、产出、效果四个维度拟定绩效自评指标体系。评价指标体系设置了各级指标的权重，制定了相应的评分标准。评价满分为100分，≥90分为优、80≤得分＜90为良，60≤得分＜80为中，得分＜60为差。</w:t>
      </w:r>
    </w:p>
    <w:p w14:paraId="460073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（四）预算管理情况</w:t>
      </w:r>
    </w:p>
    <w:p w14:paraId="015DA9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kern w:val="2"/>
          <w:sz w:val="32"/>
          <w:szCs w:val="32"/>
          <w:lang w:val="en-US" w:eastAsia="zh-CN" w:bidi="ar-SA"/>
        </w:rPr>
        <w:t xml:space="preserve">在预算管理资金的使用上，我单位通过强化预算执行的刚性约束、加强内部制度建设等方式严格资金的拨付、使用和审批，严格资金的使用范围，做到专款专用，严格按照国家财经法规和财务管理制度支出资金，杜绝挤占、挪用、截留资金、虚列支出，对10000元以上金额的支出需经党组会研究通过后方能形成实际支出；在预决算公开上，我单位及时按照上级要求在规定的时限内按规定的内容公开预决算信息；在基础信息完善性上，我单位基本财务管理制度健全，基础数据信息和会计信息资料真实、完整、准确。                                </w:t>
      </w:r>
      <w:r>
        <w:rPr>
          <w:rFonts w:hint="eastAsia" w:ascii="仿宋_GB2312" w:hAnsi="仿宋_GB2312" w:eastAsia="仿宋_GB2312" w:cs="仿宋_GB2312"/>
          <w:sz w:val="32"/>
          <w:szCs w:val="32"/>
          <w:lang w:val="en-US" w:eastAsia="zh-CN"/>
        </w:rPr>
        <w:t xml:space="preserve">    </w:t>
      </w:r>
    </w:p>
    <w:p w14:paraId="1ABE16BE">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绩效目标实现情况</w:t>
      </w:r>
    </w:p>
    <w:p w14:paraId="12EE35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（一）预算执行情况</w:t>
      </w:r>
    </w:p>
    <w:p w14:paraId="00D7AF46">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2025年巨鹿县住建局年初预算为 38844.982302万元，支出数为24425.717694</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万元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（其中人员经费和公用经费合计支出462.929126万元；项目支出23962.788568万元）</w:t>
      </w:r>
    </w:p>
    <w:p w14:paraId="294696D6">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通过项目的实施，我单位在2025年工作中取得了新的成绩。以下是各项工作亮点纷呈：</w:t>
      </w:r>
    </w:p>
    <w:p w14:paraId="131BD42C">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34"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住房保障工</w:t>
      </w:r>
      <w:r>
        <w:rPr>
          <w:rFonts w:hint="eastAsia" w:ascii="仿宋_GB2312" w:hAnsi="仿宋_GB2312" w:eastAsia="仿宋_GB2312" w:cs="仿宋_GB2312"/>
          <w:b/>
          <w:bCs/>
          <w:sz w:val="32"/>
          <w:szCs w:val="32"/>
          <w:lang w:eastAsia="zh-CN"/>
        </w:rPr>
        <w:t>作：</w:t>
      </w:r>
      <w:r>
        <w:rPr>
          <w:rFonts w:hint="eastAsia" w:ascii="仿宋_GB2312" w:hAnsi="仿宋_GB2312" w:eastAsia="仿宋_GB2312" w:cs="仿宋_GB2312"/>
          <w:b w:val="0"/>
          <w:bCs w:val="0"/>
          <w:sz w:val="32"/>
          <w:szCs w:val="32"/>
          <w:lang w:eastAsia="zh-CN"/>
        </w:rPr>
        <w:t>一是发放1</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lang w:eastAsia="zh-CN"/>
        </w:rPr>
        <w:t>户城镇低收入住房困难家庭租赁补贴</w:t>
      </w:r>
      <w:r>
        <w:rPr>
          <w:rFonts w:hint="eastAsia" w:ascii="仿宋_GB2312" w:hAnsi="仿宋_GB2312" w:eastAsia="仿宋_GB2312" w:cs="仿宋_GB2312"/>
          <w:b w:val="0"/>
          <w:bCs w:val="0"/>
          <w:sz w:val="32"/>
          <w:szCs w:val="32"/>
          <w:lang w:val="en-US" w:eastAsia="zh-CN"/>
        </w:rPr>
        <w:t>0.792</w:t>
      </w:r>
      <w:r>
        <w:rPr>
          <w:rFonts w:hint="eastAsia" w:ascii="仿宋_GB2312" w:hAnsi="仿宋_GB2312" w:eastAsia="仿宋_GB2312" w:cs="仿宋_GB2312"/>
          <w:b w:val="0"/>
          <w:bCs w:val="0"/>
          <w:sz w:val="32"/>
          <w:szCs w:val="32"/>
          <w:lang w:eastAsia="zh-CN"/>
        </w:rPr>
        <w:t>万元。二是完成</w:t>
      </w:r>
      <w:r>
        <w:rPr>
          <w:rFonts w:hint="eastAsia" w:ascii="仿宋_GB2312" w:hAnsi="仿宋_GB2312" w:eastAsia="仿宋_GB2312" w:cs="仿宋_GB2312"/>
          <w:b w:val="0"/>
          <w:bCs w:val="0"/>
          <w:sz w:val="32"/>
          <w:szCs w:val="32"/>
          <w:lang w:val="en-US" w:eastAsia="zh-CN"/>
        </w:rPr>
        <w:t>2025年保障房租金缴纳工作。</w:t>
      </w:r>
    </w:p>
    <w:p w14:paraId="6226FE49">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34"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sz w:val="32"/>
          <w:szCs w:val="32"/>
          <w:lang w:val="en-US" w:eastAsia="zh-CN"/>
        </w:rPr>
        <w:t>农村住房安全保障工作：</w:t>
      </w:r>
      <w:r>
        <w:rPr>
          <w:rFonts w:hint="eastAsia" w:ascii="仿宋_GB2312" w:hAnsi="仿宋_GB2312" w:eastAsia="仿宋_GB2312" w:cs="仿宋_GB2312"/>
          <w:sz w:val="32"/>
          <w:szCs w:val="32"/>
          <w:lang w:val="en-US" w:eastAsia="zh-CN"/>
        </w:rPr>
        <w:t>组织各乡镇、社区积极开展自建房安全隐患大排查等工作。2025年完成危房改造6处，装配式建设农房20处。</w:t>
      </w:r>
      <w:r>
        <w:rPr>
          <w:rFonts w:hint="eastAsia" w:ascii="仿宋_GB2312" w:hAnsi="仿宋_GB2312" w:eastAsia="仿宋_GB2312" w:cs="仿宋_GB2312"/>
          <w:color w:val="auto"/>
          <w:sz w:val="32"/>
          <w:szCs w:val="32"/>
          <w:lang w:val="en-US" w:eastAsia="zh-CN"/>
        </w:rPr>
        <w:t>目前已全部完成改造，资金已发放到位。</w:t>
      </w:r>
    </w:p>
    <w:p w14:paraId="4DCF8714">
      <w:pPr>
        <w:keepNext w:val="0"/>
        <w:keepLines w:val="0"/>
        <w:pageBreakBefore w:val="0"/>
        <w:widowControl w:val="0"/>
        <w:kinsoku/>
        <w:wordWrap/>
        <w:overflowPunct/>
        <w:topLinePunct w:val="0"/>
        <w:autoSpaceDE/>
        <w:autoSpaceDN/>
        <w:bidi w:val="0"/>
        <w:adjustRightInd/>
        <w:snapToGrid/>
        <w:spacing w:line="560" w:lineRule="exact"/>
        <w:ind w:right="0" w:rightChars="0" w:firstLine="634"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sz w:val="32"/>
          <w:szCs w:val="32"/>
          <w:lang w:val="en-US" w:eastAsia="zh-CN"/>
        </w:rPr>
        <w:t>3、“双代”燃气安全监管：</w:t>
      </w:r>
      <w:r>
        <w:rPr>
          <w:rFonts w:hint="eastAsia" w:ascii="仿宋_GB2312" w:hAnsi="仿宋_GB2312" w:eastAsia="仿宋_GB2312" w:cs="仿宋_GB2312"/>
          <w:sz w:val="32"/>
          <w:szCs w:val="32"/>
          <w:lang w:val="en-US" w:eastAsia="zh-CN"/>
        </w:rPr>
        <w:t>一是开展燃气安全“百日攻坚”行动，累计出动20183人次，排查11万余个点位，整改各类隐患453处。排查液化气使用商家272家，整改隐患74条。对燃气企业开展专项督导，发现并整改培训记录、巡线记录等问题180条。聘请专家排查6家燃气企业并完成全部问题整改。此外，全面整治燃气管网及周边线缆隐患，累计整改28487处，收缴废旧液化气钢瓶2029个，实现隐患整治见底清零；二是组织开展燃气安全法律法规培训暨警示教育会2场，参训人员达620人；开展“全国消防日”等宣传活动27场，发放宣传资料25000余份，解答群众疑问2200余条，切实提升从业人员监管能力和群众安全用气意识；</w:t>
      </w:r>
      <w:r>
        <w:rPr>
          <w:rFonts w:hint="eastAsia" w:ascii="仿宋_GB2312" w:hAnsi="仿宋_GB2312" w:eastAsia="仿宋_GB2312" w:cs="仿宋_GB2312"/>
          <w:b w:val="0"/>
          <w:bCs w:val="0"/>
          <w:sz w:val="32"/>
          <w:szCs w:val="32"/>
          <w:lang w:val="en-US" w:eastAsia="zh-CN"/>
        </w:rPr>
        <w:t>2025年取暖季结束后我办组织各乡镇社区、燃气公司、供电公司对历年双代户用量进行抄表核对并计算补贴金额，并于2025年6月底累计发放10个乡镇及1个社区63636户的运行补贴资金1078.22万元。</w:t>
      </w:r>
    </w:p>
    <w:p w14:paraId="2614F6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34"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4、基础设施建设：</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sz w:val="32"/>
          <w:szCs w:val="32"/>
          <w:lang w:val="en-US" w:eastAsia="zh-CN"/>
        </w:rPr>
        <w:t>冀财债2024年44号2024年第十批新增政府债券资金（专项）-定魏大街（南外环至一行大道）市政排水项目：全长7250米，边沟片石砌筑、过村段埋设雨污管道，工程已完工。</w:t>
      </w:r>
    </w:p>
    <w:p w14:paraId="221E92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5" w:firstLineChars="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2.巨鹿县北部新区地下综合管廊及配套道路建设项目：鲁班路、西园街、兴泽路建设地下综合管廊及配套道路工程，埋设雨污管道、安装路灯等，部分路段已完工，并达到通车条件。</w:t>
      </w:r>
    </w:p>
    <w:p w14:paraId="2CDEBF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5" w:firstLineChars="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3.巨鹿县康源街（一行大道-杨官线）挖补盖被项目：该段长约4900米，主路面宽约22.5米，将病害处进行挖补处理、整体铣刨沥青盖被等，工程已完工。</w:t>
      </w:r>
    </w:p>
    <w:p w14:paraId="69ED45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5" w:firstLineChars="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巨鹿县老旧小区燃气管网更新改造项目：对巨鹿县运行15年以上的12个小区庭院管网、立管及4525户内智能化物联燃气设施进行更新改造。加装可远程控制的燃气报警切断安全信息化装置，铺设庭院中高压管道5000米，庭院低压管道14241.2米，拆除并安装智能化调压器12套，加装户内及立管报警切断装置4525套，工程已完工。</w:t>
      </w:r>
    </w:p>
    <w:p w14:paraId="0ED659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绩效目标设定质量情况</w:t>
      </w:r>
    </w:p>
    <w:p w14:paraId="660D289D">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目前绩效管理还不是很完善,对预算绩效管理工作在思想认识上有待进一步提高；在与相关股（室）的沟通协调有所欠缺，导致预算编制的准确性有待进一步加强；在预算执行进度上个别项目比较缓慢，未达到支出进度。</w:t>
      </w:r>
    </w:p>
    <w:p w14:paraId="5853C5E2">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四、整改措施及结果应用</w:t>
      </w:r>
    </w:p>
    <w:p w14:paraId="4F5FC1DF">
      <w:pPr>
        <w:keepNext w:val="0"/>
        <w:keepLines w:val="0"/>
        <w:pageBreakBefore w:val="0"/>
        <w:widowControl w:val="0"/>
        <w:kinsoku/>
        <w:wordWrap/>
        <w:overflowPunct/>
        <w:topLinePunct w:val="0"/>
        <w:autoSpaceDE/>
        <w:autoSpaceDN/>
        <w:bidi w:val="0"/>
        <w:adjustRightInd/>
        <w:snapToGrid w:val="0"/>
        <w:spacing w:line="560" w:lineRule="exact"/>
        <w:ind w:firstLine="63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000000"/>
          <w:spacing w:val="0"/>
          <w:sz w:val="32"/>
          <w:szCs w:val="32"/>
          <w:shd w:val="clear" w:color="auto" w:fill="FFFFFF"/>
          <w:lang w:val="en-US" w:eastAsia="zh-CN"/>
        </w:rPr>
        <w:t>为进一步规范和加强预算资金，提高财政资金使用效益，</w:t>
      </w:r>
      <w:r>
        <w:rPr>
          <w:rFonts w:hint="eastAsia" w:ascii="仿宋_GB2312" w:hAnsi="仿宋_GB2312" w:eastAsia="仿宋_GB2312" w:cs="仿宋_GB2312"/>
          <w:kern w:val="0"/>
          <w:sz w:val="32"/>
          <w:szCs w:val="32"/>
          <w:shd w:val="clear" w:color="auto" w:fill="FFFFFF"/>
        </w:rPr>
        <w:t>我</w:t>
      </w:r>
      <w:r>
        <w:rPr>
          <w:rFonts w:hint="eastAsia" w:ascii="仿宋_GB2312" w:hAnsi="仿宋_GB2312" w:eastAsia="仿宋_GB2312" w:cs="仿宋_GB2312"/>
          <w:kern w:val="0"/>
          <w:sz w:val="32"/>
          <w:szCs w:val="32"/>
          <w:shd w:val="clear" w:color="auto" w:fill="FFFFFF"/>
          <w:lang w:eastAsia="zh-CN"/>
        </w:rPr>
        <w:t>单位</w:t>
      </w:r>
      <w:r>
        <w:rPr>
          <w:rFonts w:hint="eastAsia" w:ascii="仿宋_GB2312" w:hAnsi="仿宋_GB2312" w:eastAsia="仿宋_GB2312" w:cs="仿宋_GB2312"/>
          <w:kern w:val="0"/>
          <w:sz w:val="32"/>
          <w:szCs w:val="32"/>
          <w:shd w:val="clear" w:color="auto" w:fill="FFFFFF"/>
        </w:rPr>
        <w:t>将继续坚持</w:t>
      </w:r>
      <w:r>
        <w:rPr>
          <w:rFonts w:hint="eastAsia" w:ascii="仿宋_GB2312" w:hAnsi="仿宋_GB2312" w:eastAsia="仿宋_GB2312" w:cs="仿宋_GB2312"/>
          <w:kern w:val="0"/>
          <w:sz w:val="32"/>
          <w:szCs w:val="32"/>
          <w:shd w:val="clear" w:color="auto" w:fill="FFFFFF"/>
          <w:lang w:val="en-US" w:eastAsia="zh-CN"/>
        </w:rPr>
        <w:t>严格</w:t>
      </w:r>
      <w:r>
        <w:rPr>
          <w:rFonts w:hint="eastAsia" w:ascii="仿宋_GB2312" w:hAnsi="仿宋_GB2312" w:eastAsia="仿宋_GB2312" w:cs="仿宋_GB2312"/>
          <w:kern w:val="0"/>
          <w:sz w:val="32"/>
          <w:szCs w:val="32"/>
          <w:shd w:val="clear" w:color="auto" w:fill="FFFFFF"/>
        </w:rPr>
        <w:t>规范自己</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遵循先有预算、后有支出的原则，加强财务管理和内部控制监督。严禁超预算和无预算安排支出，严格开支范围和标准，严格支出报销审核，不报销任何超范围、超标准的费用</w:t>
      </w:r>
      <w:r>
        <w:rPr>
          <w:rFonts w:hint="eastAsia" w:ascii="仿宋_GB2312" w:hAnsi="仿宋_GB2312" w:eastAsia="仿宋_GB2312" w:cs="仿宋_GB2312"/>
          <w:kern w:val="0"/>
          <w:sz w:val="32"/>
          <w:szCs w:val="32"/>
          <w:shd w:val="clear" w:color="auto" w:fill="FFFFFF"/>
          <w:lang w:val="en-US" w:eastAsia="zh-CN"/>
        </w:rPr>
        <w:t>；</w:t>
      </w:r>
      <w:r>
        <w:rPr>
          <w:rFonts w:hint="eastAsia" w:ascii="仿宋_GB2312" w:hAnsi="仿宋_GB2312" w:eastAsia="仿宋_GB2312" w:cs="仿宋_GB2312"/>
          <w:i w:val="0"/>
          <w:caps w:val="0"/>
          <w:color w:val="000000"/>
          <w:spacing w:val="0"/>
          <w:sz w:val="32"/>
          <w:szCs w:val="32"/>
          <w:shd w:val="clear" w:color="auto" w:fill="FFFFFF"/>
        </w:rPr>
        <w:t>通过集中学习和个人自学</w:t>
      </w:r>
      <w:r>
        <w:rPr>
          <w:rFonts w:hint="eastAsia" w:ascii="仿宋_GB2312" w:hAnsi="仿宋_GB2312" w:eastAsia="仿宋_GB2312" w:cs="仿宋_GB2312"/>
          <w:i w:val="0"/>
          <w:caps w:val="0"/>
          <w:color w:val="000000"/>
          <w:spacing w:val="0"/>
          <w:sz w:val="32"/>
          <w:szCs w:val="32"/>
          <w:shd w:val="clear" w:color="auto" w:fill="FFFFFF"/>
          <w:lang w:eastAsia="zh-CN"/>
        </w:rPr>
        <w:t>相结合的方式学习预算绩效管理的相关知识</w:t>
      </w:r>
      <w:r>
        <w:rPr>
          <w:rFonts w:hint="eastAsia" w:ascii="仿宋_GB2312" w:hAnsi="仿宋_GB2312" w:eastAsia="仿宋_GB2312" w:cs="仿宋_GB2312"/>
          <w:i w:val="0"/>
          <w:caps w:val="0"/>
          <w:color w:val="000000"/>
          <w:spacing w:val="0"/>
          <w:sz w:val="32"/>
          <w:szCs w:val="32"/>
          <w:shd w:val="clear" w:color="auto" w:fill="FFFFFF"/>
        </w:rPr>
        <w:t>，</w:t>
      </w:r>
      <w:r>
        <w:rPr>
          <w:rFonts w:hint="eastAsia" w:ascii="仿宋_GB2312" w:hAnsi="仿宋_GB2312" w:eastAsia="仿宋_GB2312" w:cs="仿宋_GB2312"/>
          <w:i w:val="0"/>
          <w:caps w:val="0"/>
          <w:color w:val="000000"/>
          <w:spacing w:val="0"/>
          <w:sz w:val="32"/>
          <w:szCs w:val="32"/>
          <w:shd w:val="clear" w:color="auto" w:fill="FFFFFF"/>
          <w:lang w:eastAsia="zh-CN"/>
        </w:rPr>
        <w:t>吃透上级关于预算绩效管理要求，</w:t>
      </w:r>
      <w:r>
        <w:rPr>
          <w:rFonts w:hint="eastAsia" w:ascii="仿宋_GB2312" w:hAnsi="仿宋_GB2312" w:eastAsia="仿宋_GB2312" w:cs="仿宋_GB2312"/>
          <w:i w:val="0"/>
          <w:caps w:val="0"/>
          <w:color w:val="000000"/>
          <w:spacing w:val="0"/>
          <w:sz w:val="32"/>
          <w:szCs w:val="32"/>
          <w:shd w:val="clear" w:color="auto" w:fill="FFFFFF"/>
        </w:rPr>
        <w:t>全面了解预算绩效管理工作的意义和作用，形成较好的绩效管理意识，</w:t>
      </w:r>
      <w:r>
        <w:rPr>
          <w:rFonts w:hint="eastAsia" w:ascii="仿宋_GB2312" w:hAnsi="仿宋_GB2312" w:eastAsia="仿宋_GB2312" w:cs="仿宋_GB2312"/>
          <w:i w:val="0"/>
          <w:caps w:val="0"/>
          <w:color w:val="323232"/>
          <w:spacing w:val="0"/>
          <w:sz w:val="32"/>
          <w:szCs w:val="32"/>
          <w:shd w:val="clear" w:color="auto" w:fill="FFFFFF"/>
        </w:rPr>
        <w:t>从而提高工作效率和水平</w:t>
      </w:r>
      <w:r>
        <w:rPr>
          <w:rFonts w:hint="eastAsia" w:ascii="仿宋_GB2312" w:hAnsi="仿宋_GB2312" w:eastAsia="仿宋_GB2312" w:cs="仿宋_GB2312"/>
          <w:i w:val="0"/>
          <w:caps w:val="0"/>
          <w:color w:val="323232"/>
          <w:spacing w:val="0"/>
          <w:sz w:val="32"/>
          <w:szCs w:val="32"/>
          <w:shd w:val="clear" w:color="auto" w:fill="FFFFFF"/>
          <w:lang w:eastAsia="zh-CN"/>
        </w:rPr>
        <w:t>；</w:t>
      </w:r>
      <w:r>
        <w:rPr>
          <w:rFonts w:hint="eastAsia" w:ascii="仿宋_GB2312" w:hAnsi="仿宋_GB2312" w:eastAsia="仿宋_GB2312" w:cs="仿宋_GB2312"/>
          <w:i w:val="0"/>
          <w:caps w:val="0"/>
          <w:color w:val="000000"/>
          <w:spacing w:val="0"/>
          <w:sz w:val="32"/>
          <w:szCs w:val="32"/>
          <w:shd w:val="clear" w:color="auto" w:fill="FFFFFF"/>
          <w:lang w:eastAsia="zh-CN"/>
        </w:rPr>
        <w:t>进一步加强与相关股（室）的沟通协调，一方面进一步增强预算编制的科学性、合理性，量入为出，按需编制预算；另一方面督促指导各相关股（室）对照各项绩效目标合理支出，按进度支出。</w:t>
      </w:r>
    </w:p>
    <w:p w14:paraId="5085AFCA">
      <w:pPr>
        <w:keepNext w:val="0"/>
        <w:keepLines w:val="0"/>
        <w:pageBreakBefore w:val="0"/>
        <w:widowControl w:val="0"/>
        <w:kinsoku/>
        <w:wordWrap/>
        <w:overflowPunct/>
        <w:topLinePunct w:val="0"/>
        <w:autoSpaceDE/>
        <w:autoSpaceDN/>
        <w:bidi w:val="0"/>
        <w:adjustRightInd/>
        <w:snapToGrid w:val="0"/>
        <w:spacing w:line="560" w:lineRule="exact"/>
        <w:ind w:firstLine="634" w:firstLineChars="200"/>
        <w:textAlignment w:val="auto"/>
        <w:rPr>
          <w:rFonts w:hint="eastAsia" w:ascii="仿宋_GB2312" w:hAnsi="仿宋_GB2312" w:eastAsia="仿宋_GB2312" w:cs="仿宋_GB2312"/>
          <w:sz w:val="32"/>
          <w:szCs w:val="32"/>
        </w:rPr>
      </w:pPr>
    </w:p>
    <w:p w14:paraId="00AD7203">
      <w:pPr>
        <w:keepNext w:val="0"/>
        <w:keepLines w:val="0"/>
        <w:pageBreakBefore w:val="0"/>
        <w:widowControl w:val="0"/>
        <w:kinsoku/>
        <w:wordWrap/>
        <w:overflowPunct/>
        <w:topLinePunct w:val="0"/>
        <w:autoSpaceDE/>
        <w:autoSpaceDN/>
        <w:bidi w:val="0"/>
        <w:adjustRightInd/>
        <w:snapToGrid w:val="0"/>
        <w:spacing w:line="560" w:lineRule="exact"/>
        <w:ind w:firstLine="634" w:firstLineChars="200"/>
        <w:textAlignment w:val="auto"/>
        <w:rPr>
          <w:rFonts w:hint="eastAsia" w:ascii="仿宋_GB2312" w:hAnsi="仿宋_GB2312" w:eastAsia="仿宋_GB2312" w:cs="仿宋_GB2312"/>
          <w:sz w:val="32"/>
          <w:szCs w:val="32"/>
        </w:rPr>
      </w:pPr>
    </w:p>
    <w:p w14:paraId="35CE92E9">
      <w:pPr>
        <w:keepNext w:val="0"/>
        <w:keepLines w:val="0"/>
        <w:pageBreakBefore w:val="0"/>
        <w:widowControl w:val="0"/>
        <w:kinsoku/>
        <w:wordWrap/>
        <w:overflowPunct/>
        <w:topLinePunct w:val="0"/>
        <w:autoSpaceDE/>
        <w:autoSpaceDN/>
        <w:bidi w:val="0"/>
        <w:adjustRightInd/>
        <w:snapToGrid w:val="0"/>
        <w:spacing w:line="560" w:lineRule="exact"/>
        <w:ind w:firstLine="634"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lang w:val="en-US" w:eastAsia="zh-CN"/>
        </w:rPr>
        <w:t xml:space="preserve"> 2026年7月30日</w:t>
      </w:r>
    </w:p>
    <w:p w14:paraId="26D110D9">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sz w:val="32"/>
          <w:szCs w:val="32"/>
        </w:rPr>
      </w:pPr>
    </w:p>
    <w:sectPr>
      <w:headerReference r:id="rId3" w:type="default"/>
      <w:footerReference r:id="rId4" w:type="default"/>
      <w:pgSz w:w="11906" w:h="16838"/>
      <w:pgMar w:top="1587" w:right="1474" w:bottom="1531" w:left="1587" w:header="851" w:footer="1417" w:gutter="0"/>
      <w:cols w:space="0" w:num="1"/>
      <w:rtlGutter w:val="0"/>
      <w:docGrid w:type="linesAndChars" w:linePitch="615" w:charSpace="-7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4EA4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A6D879">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1A6D87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8B45E">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111888"/>
    <w:multiLevelType w:val="singleLevel"/>
    <w:tmpl w:val="DA111888"/>
    <w:lvl w:ilvl="0" w:tentative="0">
      <w:start w:val="1"/>
      <w:numFmt w:val="decimal"/>
      <w:suff w:val="nothing"/>
      <w:lvlText w:val="%1、"/>
      <w:lvlJc w:val="left"/>
      <w:rPr>
        <w:rFonts w:hint="default"/>
        <w:b/>
        <w:bCs/>
      </w:rPr>
    </w:lvl>
  </w:abstractNum>
  <w:abstractNum w:abstractNumId="1">
    <w:nsid w:val="F30A7EB5"/>
    <w:multiLevelType w:val="singleLevel"/>
    <w:tmpl w:val="F30A7EB5"/>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lNjRiNWYxMDFmNTRkOWVjNDdlODQ1Y2QwNWQ0M2MifQ=="/>
  </w:docVars>
  <w:rsids>
    <w:rsidRoot w:val="00000000"/>
    <w:rsid w:val="01AA4444"/>
    <w:rsid w:val="028E3199"/>
    <w:rsid w:val="03A44537"/>
    <w:rsid w:val="03E2379C"/>
    <w:rsid w:val="068A1C09"/>
    <w:rsid w:val="07597EEE"/>
    <w:rsid w:val="081D2FF5"/>
    <w:rsid w:val="1232769D"/>
    <w:rsid w:val="18295170"/>
    <w:rsid w:val="1A11228E"/>
    <w:rsid w:val="1C981F6B"/>
    <w:rsid w:val="200F3AFC"/>
    <w:rsid w:val="2308295B"/>
    <w:rsid w:val="269E6B78"/>
    <w:rsid w:val="2A722643"/>
    <w:rsid w:val="2CC969F8"/>
    <w:rsid w:val="328B113D"/>
    <w:rsid w:val="32FD05B3"/>
    <w:rsid w:val="332D5F33"/>
    <w:rsid w:val="3872263A"/>
    <w:rsid w:val="38D76214"/>
    <w:rsid w:val="396A2670"/>
    <w:rsid w:val="39E96E69"/>
    <w:rsid w:val="3CE04016"/>
    <w:rsid w:val="3ED41E38"/>
    <w:rsid w:val="3F2160CD"/>
    <w:rsid w:val="3FE16BDA"/>
    <w:rsid w:val="41DF2D56"/>
    <w:rsid w:val="440363FC"/>
    <w:rsid w:val="47157619"/>
    <w:rsid w:val="4AF14365"/>
    <w:rsid w:val="4EE94FAC"/>
    <w:rsid w:val="53902320"/>
    <w:rsid w:val="53ED19FE"/>
    <w:rsid w:val="54F620D0"/>
    <w:rsid w:val="56914979"/>
    <w:rsid w:val="5B965946"/>
    <w:rsid w:val="611E7AD7"/>
    <w:rsid w:val="61B77AC1"/>
    <w:rsid w:val="64C03C61"/>
    <w:rsid w:val="66A2509E"/>
    <w:rsid w:val="6F084B83"/>
    <w:rsid w:val="701B5D1E"/>
    <w:rsid w:val="730E4732"/>
    <w:rsid w:val="74602D6B"/>
    <w:rsid w:val="74E354F5"/>
    <w:rsid w:val="77FE5AF6"/>
    <w:rsid w:val="782D565A"/>
    <w:rsid w:val="7836400B"/>
    <w:rsid w:val="7A4C5587"/>
    <w:rsid w:val="7AE90C0C"/>
    <w:rsid w:val="7F91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6"/>
    <w:basedOn w:val="1"/>
    <w:next w:val="1"/>
    <w:autoRedefine/>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2018</Words>
  <Characters>2208</Characters>
  <Lines>0</Lines>
  <Paragraphs>0</Paragraphs>
  <TotalTime>1368</TotalTime>
  <ScaleCrop>false</ScaleCrop>
  <LinksUpToDate>false</LinksUpToDate>
  <CharactersWithSpaces>2245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2024-05-07T00:16:00Z</dcterms:created>
  <dc:creator>hy</dc:creator>
  <cp:lastModifiedBy>蕙</cp:lastModifiedBy>
  <cp:lastPrinted>2026-07-30T07:00:25Z</cp:lastPrinted>
  <dcterms:modified xsi:type="dcterms:W3CDTF">2026-07-30T07:13:33Z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4E1EF1DA28BE4C13A56770D8B769E9BD_12</vt:lpwstr>
  </property>
  <property fmtid="{D5CDD505-2E9C-101B-9397-08002B2CF9AE}" pid="4" name="KSOTemplateDocerSaveRecord">
    <vt:lpwstr>eyJoZGlkIjoiMTJlNjRiNWYxMDFmNTRkOWVjNDdlODQ1Y2QwNWQ0M2MiLCJ1c2VySWQiOiIxMjMyMzY4MzExIn0=</vt:lpwstr>
  </property>
</Properties>
</file>