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B8B22">
      <w:pPr>
        <w:pageBreakBefore w:val="0"/>
        <w:kinsoku/>
        <w:wordWrap/>
        <w:overflowPunct/>
        <w:topLinePunct w:val="0"/>
        <w:autoSpaceDE/>
        <w:autoSpaceDN/>
        <w:bidi w:val="0"/>
        <w:adjustRightInd/>
        <w:snapToGrid/>
        <w:spacing w:line="560" w:lineRule="exact"/>
        <w:jc w:val="both"/>
        <w:textAlignment w:val="bottom"/>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附件4：</w:t>
      </w:r>
    </w:p>
    <w:p w14:paraId="7362A4F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color w:val="auto"/>
          <w:spacing w:val="0"/>
          <w:sz w:val="40"/>
          <w:szCs w:val="48"/>
          <w:lang w:val="en-US" w:eastAsia="zh-CN"/>
        </w:rPr>
      </w:pPr>
    </w:p>
    <w:p w14:paraId="1BF038B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color w:val="auto"/>
          <w:spacing w:val="0"/>
          <w:sz w:val="40"/>
          <w:szCs w:val="40"/>
          <w:lang w:val="en-US" w:eastAsia="zh-CN"/>
        </w:rPr>
      </w:pPr>
      <w:r>
        <w:rPr>
          <w:rFonts w:hint="eastAsia" w:ascii="方正小标宋简体" w:hAnsi="方正小标宋简体" w:eastAsia="方正小标宋简体" w:cs="方正小标宋简体"/>
          <w:b/>
          <w:bCs/>
          <w:color w:val="auto"/>
          <w:spacing w:val="0"/>
          <w:sz w:val="40"/>
          <w:szCs w:val="40"/>
          <w:lang w:val="en-US" w:eastAsia="zh-CN"/>
        </w:rPr>
        <w:t>冀财资环2023年98号提前下达2024年中央大气污染防治资金（农村地区清洁取暖任务运营补贴）</w:t>
      </w:r>
    </w:p>
    <w:p w14:paraId="3352919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color w:val="auto"/>
          <w:sz w:val="40"/>
          <w:szCs w:val="40"/>
        </w:rPr>
      </w:pPr>
      <w:r>
        <w:rPr>
          <w:rFonts w:hint="eastAsia" w:ascii="方正小标宋简体" w:hAnsi="方正小标宋简体" w:eastAsia="方正小标宋简体" w:cs="方正小标宋简体"/>
          <w:b/>
          <w:bCs/>
          <w:color w:val="auto"/>
          <w:spacing w:val="0"/>
          <w:sz w:val="40"/>
          <w:szCs w:val="40"/>
          <w:lang w:val="en-US" w:eastAsia="zh-CN"/>
        </w:rPr>
        <w:t>重点</w:t>
      </w:r>
      <w:r>
        <w:rPr>
          <w:rFonts w:hint="eastAsia" w:ascii="方正小标宋简体" w:hAnsi="方正小标宋简体" w:eastAsia="方正小标宋简体" w:cs="方正小标宋简体"/>
          <w:b/>
          <w:bCs/>
          <w:color w:val="auto"/>
          <w:sz w:val="40"/>
          <w:szCs w:val="40"/>
        </w:rPr>
        <w:t>绩效</w:t>
      </w:r>
      <w:r>
        <w:rPr>
          <w:rFonts w:hint="eastAsia" w:ascii="方正小标宋简体" w:hAnsi="方正小标宋简体" w:eastAsia="方正小标宋简体" w:cs="方正小标宋简体"/>
          <w:b/>
          <w:bCs/>
          <w:color w:val="auto"/>
          <w:spacing w:val="0"/>
          <w:sz w:val="40"/>
          <w:szCs w:val="40"/>
          <w:lang w:val="en-US" w:eastAsia="zh-CN"/>
        </w:rPr>
        <w:t>自评</w:t>
      </w:r>
      <w:r>
        <w:rPr>
          <w:rFonts w:hint="eastAsia" w:ascii="方正小标宋简体" w:hAnsi="方正小标宋简体" w:eastAsia="方正小标宋简体" w:cs="方正小标宋简体"/>
          <w:b/>
          <w:bCs/>
          <w:color w:val="auto"/>
          <w:sz w:val="40"/>
          <w:szCs w:val="40"/>
        </w:rPr>
        <w:t>报告</w:t>
      </w:r>
    </w:p>
    <w:p w14:paraId="7403C152">
      <w:pPr>
        <w:rPr>
          <w:rFonts w:hint="eastAsia" w:ascii="仿宋_GB2312" w:hAnsi="仿宋_GB2312" w:eastAsia="仿宋_GB2312" w:cs="仿宋_GB2312"/>
          <w:color w:val="auto"/>
          <w:sz w:val="40"/>
          <w:szCs w:val="40"/>
          <w:lang w:val="en-US" w:eastAsia="zh-CN"/>
        </w:rPr>
      </w:pPr>
      <w:r>
        <w:rPr>
          <w:rFonts w:hint="eastAsia" w:ascii="仿宋_GB2312" w:hAnsi="仿宋_GB2312" w:eastAsia="仿宋_GB2312" w:cs="仿宋_GB2312"/>
          <w:color w:val="auto"/>
          <w:sz w:val="40"/>
          <w:szCs w:val="40"/>
          <w:lang w:val="en-US" w:eastAsia="zh-CN"/>
        </w:rPr>
        <w:t xml:space="preserve">                               </w:t>
      </w:r>
    </w:p>
    <w:p w14:paraId="70965BE3">
      <w:pPr>
        <w:rPr>
          <w:rFonts w:hint="eastAsia" w:ascii="仿宋_GB2312" w:hAnsi="仿宋_GB2312" w:eastAsia="仿宋_GB2312" w:cs="仿宋_GB2312"/>
          <w:color w:val="auto"/>
        </w:rPr>
      </w:pPr>
    </w:p>
    <w:p w14:paraId="2CE4A6C0">
      <w:pPr>
        <w:rPr>
          <w:rFonts w:hint="eastAsia" w:ascii="仿宋_GB2312" w:hAnsi="仿宋_GB2312" w:eastAsia="仿宋_GB2312" w:cs="仿宋_GB2312"/>
          <w:color w:val="auto"/>
        </w:rPr>
      </w:pPr>
    </w:p>
    <w:p w14:paraId="3EDDE1C2">
      <w:pPr>
        <w:rPr>
          <w:rFonts w:hint="eastAsia" w:ascii="仿宋_GB2312" w:hAnsi="仿宋_GB2312" w:eastAsia="仿宋_GB2312" w:cs="仿宋_GB2312"/>
          <w:color w:val="auto"/>
        </w:rPr>
      </w:pPr>
    </w:p>
    <w:p w14:paraId="3843F7C9">
      <w:pPr>
        <w:rPr>
          <w:rFonts w:hint="eastAsia" w:ascii="仿宋_GB2312" w:hAnsi="仿宋_GB2312" w:eastAsia="仿宋_GB2312" w:cs="仿宋_GB2312"/>
          <w:color w:val="auto"/>
        </w:rPr>
      </w:pPr>
    </w:p>
    <w:p w14:paraId="01822D58">
      <w:pPr>
        <w:rPr>
          <w:rFonts w:hint="eastAsia" w:ascii="仿宋_GB2312" w:hAnsi="仿宋_GB2312" w:eastAsia="仿宋_GB2312" w:cs="仿宋_GB2312"/>
          <w:color w:val="auto"/>
        </w:rPr>
      </w:pPr>
    </w:p>
    <w:p w14:paraId="7E4406E3">
      <w:pPr>
        <w:rPr>
          <w:rFonts w:hint="eastAsia" w:ascii="仿宋_GB2312" w:hAnsi="仿宋_GB2312" w:eastAsia="仿宋_GB2312" w:cs="仿宋_GB2312"/>
          <w:color w:val="auto"/>
        </w:rPr>
      </w:pPr>
    </w:p>
    <w:p w14:paraId="0942BD04">
      <w:pPr>
        <w:rPr>
          <w:rFonts w:hint="eastAsia" w:ascii="仿宋_GB2312" w:hAnsi="仿宋_GB2312" w:eastAsia="仿宋_GB2312" w:cs="仿宋_GB2312"/>
          <w:color w:val="auto"/>
        </w:rPr>
      </w:pPr>
    </w:p>
    <w:p w14:paraId="183009C2">
      <w:pPr>
        <w:rPr>
          <w:rFonts w:hint="eastAsia" w:ascii="仿宋_GB2312" w:hAnsi="仿宋_GB2312" w:eastAsia="仿宋_GB2312" w:cs="仿宋_GB2312"/>
          <w:color w:val="auto"/>
        </w:rPr>
      </w:pPr>
    </w:p>
    <w:p w14:paraId="177106C0">
      <w:pPr>
        <w:rPr>
          <w:rFonts w:hint="eastAsia" w:ascii="仿宋_GB2312" w:hAnsi="仿宋_GB2312" w:eastAsia="仿宋_GB2312" w:cs="仿宋_GB2312"/>
          <w:color w:val="auto"/>
        </w:rPr>
      </w:pPr>
    </w:p>
    <w:p w14:paraId="35F54072">
      <w:pPr>
        <w:rPr>
          <w:rFonts w:hint="eastAsia" w:ascii="仿宋_GB2312" w:hAnsi="仿宋_GB2312" w:eastAsia="仿宋_GB2312" w:cs="仿宋_GB2312"/>
          <w:color w:val="auto"/>
        </w:rPr>
      </w:pPr>
    </w:p>
    <w:p w14:paraId="4088218B">
      <w:pPr>
        <w:keepNext w:val="0"/>
        <w:keepLines w:val="0"/>
        <w:pageBreakBefore w:val="0"/>
        <w:widowControl w:val="0"/>
        <w:kinsoku/>
        <w:wordWrap/>
        <w:overflowPunct/>
        <w:topLinePunct w:val="0"/>
        <w:autoSpaceDE/>
        <w:autoSpaceDN/>
        <w:bidi w:val="0"/>
        <w:adjustRightInd/>
        <w:snapToGrid/>
        <w:spacing w:line="760" w:lineRule="exact"/>
        <w:textAlignment w:val="auto"/>
        <w:rPr>
          <w:rFonts w:hint="default" w:ascii="仿宋_GB2312" w:hAnsi="仿宋_GB2312" w:eastAsia="仿宋_GB2312" w:cs="仿宋_GB2312"/>
          <w:color w:val="auto"/>
          <w:spacing w:val="-20"/>
          <w:sz w:val="28"/>
          <w:szCs w:val="28"/>
          <w:u w:val="single"/>
          <w:lang w:val="en-US"/>
        </w:rPr>
      </w:pPr>
      <w:r>
        <w:rPr>
          <w:rFonts w:hint="eastAsia" w:ascii="仿宋_GB2312" w:hAnsi="仿宋_GB2312" w:eastAsia="仿宋_GB2312" w:cs="仿宋_GB2312"/>
          <w:color w:val="auto"/>
          <w:spacing w:val="11"/>
          <w:sz w:val="28"/>
          <w:szCs w:val="28"/>
          <w:u w:val="none"/>
        </w:rPr>
        <w:t>项</w:t>
      </w:r>
      <w:r>
        <w:rPr>
          <w:rFonts w:hint="eastAsia" w:ascii="仿宋_GB2312" w:hAnsi="仿宋_GB2312" w:eastAsia="仿宋_GB2312" w:cs="仿宋_GB2312"/>
          <w:color w:val="auto"/>
          <w:spacing w:val="11"/>
          <w:sz w:val="28"/>
          <w:szCs w:val="28"/>
          <w:u w:val="none"/>
          <w:lang w:val="en-US" w:eastAsia="zh-CN"/>
        </w:rPr>
        <w:t xml:space="preserve"> </w:t>
      </w:r>
      <w:r>
        <w:rPr>
          <w:rFonts w:hint="eastAsia" w:ascii="仿宋_GB2312" w:hAnsi="仿宋_GB2312" w:eastAsia="仿宋_GB2312" w:cs="仿宋_GB2312"/>
          <w:color w:val="auto"/>
          <w:spacing w:val="11"/>
          <w:sz w:val="28"/>
          <w:szCs w:val="28"/>
          <w:u w:val="none"/>
        </w:rPr>
        <w:t>目</w:t>
      </w:r>
      <w:r>
        <w:rPr>
          <w:rFonts w:hint="eastAsia" w:ascii="仿宋_GB2312" w:hAnsi="仿宋_GB2312" w:eastAsia="仿宋_GB2312" w:cs="仿宋_GB2312"/>
          <w:color w:val="auto"/>
          <w:spacing w:val="11"/>
          <w:sz w:val="28"/>
          <w:szCs w:val="28"/>
          <w:u w:val="none"/>
          <w:lang w:val="en-US" w:eastAsia="zh-CN"/>
        </w:rPr>
        <w:t xml:space="preserve"> </w:t>
      </w:r>
      <w:r>
        <w:rPr>
          <w:rFonts w:hint="eastAsia" w:ascii="仿宋_GB2312" w:hAnsi="仿宋_GB2312" w:eastAsia="仿宋_GB2312" w:cs="仿宋_GB2312"/>
          <w:color w:val="auto"/>
          <w:spacing w:val="11"/>
          <w:sz w:val="28"/>
          <w:szCs w:val="28"/>
          <w:u w:val="none"/>
        </w:rPr>
        <w:t>名</w:t>
      </w:r>
      <w:r>
        <w:rPr>
          <w:rFonts w:hint="eastAsia" w:ascii="仿宋_GB2312" w:hAnsi="仿宋_GB2312" w:eastAsia="仿宋_GB2312" w:cs="仿宋_GB2312"/>
          <w:color w:val="auto"/>
          <w:spacing w:val="11"/>
          <w:sz w:val="28"/>
          <w:szCs w:val="28"/>
          <w:u w:val="none"/>
          <w:lang w:val="en-US" w:eastAsia="zh-CN"/>
        </w:rPr>
        <w:t xml:space="preserve"> </w:t>
      </w:r>
      <w:r>
        <w:rPr>
          <w:rFonts w:hint="eastAsia" w:ascii="仿宋_GB2312" w:hAnsi="仿宋_GB2312" w:eastAsia="仿宋_GB2312" w:cs="仿宋_GB2312"/>
          <w:color w:val="auto"/>
          <w:spacing w:val="11"/>
          <w:sz w:val="28"/>
          <w:szCs w:val="28"/>
          <w:u w:val="none"/>
        </w:rPr>
        <w:t>称：</w:t>
      </w:r>
      <w:r>
        <w:rPr>
          <w:rFonts w:hint="eastAsia" w:ascii="仿宋_GB2312" w:hAnsi="仿宋_GB2312" w:eastAsia="仿宋_GB2312" w:cs="仿宋_GB2312"/>
          <w:color w:val="auto"/>
          <w:sz w:val="28"/>
          <w:szCs w:val="28"/>
          <w:u w:val="none"/>
        </w:rPr>
        <w:t xml:space="preserve"> </w:t>
      </w:r>
      <w:r>
        <w:rPr>
          <w:rFonts w:hint="eastAsia" w:ascii="仿宋_GB2312" w:hAnsi="仿宋_GB2312" w:eastAsia="仿宋_GB2312" w:cs="仿宋_GB2312"/>
          <w:color w:val="auto"/>
          <w:sz w:val="28"/>
          <w:szCs w:val="28"/>
          <w:u w:val="single"/>
          <w:lang w:val="en-US" w:eastAsia="zh-CN"/>
        </w:rPr>
        <w:t>冀财资环2023年98号提前下达2024年中央大气污染防治资金（农村地区清洁取暖任务运营补贴）</w:t>
      </w:r>
      <w:r>
        <w:rPr>
          <w:rFonts w:hint="eastAsia" w:ascii="仿宋_GB2312" w:hAnsi="仿宋_GB2312" w:eastAsia="仿宋_GB2312" w:cs="仿宋_GB2312"/>
          <w:color w:val="auto"/>
          <w:spacing w:val="0"/>
          <w:sz w:val="28"/>
          <w:szCs w:val="28"/>
          <w:u w:val="single"/>
          <w:lang w:val="en-US" w:eastAsia="zh-CN"/>
        </w:rPr>
        <w:t xml:space="preserve">                      </w:t>
      </w:r>
    </w:p>
    <w:p w14:paraId="29909588">
      <w:pPr>
        <w:keepNext w:val="0"/>
        <w:keepLines w:val="0"/>
        <w:pageBreakBefore w:val="0"/>
        <w:widowControl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u w:val="none"/>
        </w:rPr>
        <w:t>项目实施单位：</w:t>
      </w:r>
      <w:r>
        <w:rPr>
          <w:rFonts w:hint="eastAsia" w:ascii="仿宋_GB2312" w:hAnsi="仿宋_GB2312" w:eastAsia="仿宋_GB2312" w:cs="仿宋_GB2312"/>
          <w:color w:val="auto"/>
          <w:spacing w:val="-20"/>
          <w:sz w:val="28"/>
          <w:szCs w:val="28"/>
          <w:u w:val="none"/>
          <w:lang w:val="en-US" w:eastAsia="zh-CN"/>
        </w:rPr>
        <w:t xml:space="preserve">  </w:t>
      </w:r>
      <w:r>
        <w:rPr>
          <w:rFonts w:hint="eastAsia" w:ascii="仿宋_GB2312" w:hAnsi="仿宋_GB2312" w:eastAsia="仿宋_GB2312" w:cs="仿宋_GB2312"/>
          <w:color w:val="auto"/>
          <w:spacing w:val="-20"/>
          <w:sz w:val="28"/>
          <w:szCs w:val="28"/>
          <w:u w:val="single"/>
          <w:lang w:val="en-US" w:eastAsia="zh-CN"/>
        </w:rPr>
        <w:t>巨鹿县住房和城乡建设局</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p>
    <w:p w14:paraId="69B70E44">
      <w:pPr>
        <w:keepNext w:val="0"/>
        <w:keepLines w:val="0"/>
        <w:pageBreakBefore w:val="0"/>
        <w:widowControl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color w:val="auto"/>
          <w:sz w:val="28"/>
          <w:szCs w:val="28"/>
          <w:u w:val="single"/>
        </w:rPr>
      </w:pPr>
      <w:r>
        <w:rPr>
          <w:rFonts w:hint="eastAsia" w:ascii="仿宋_GB2312" w:hAnsi="仿宋_GB2312" w:eastAsia="仿宋_GB2312" w:cs="仿宋_GB2312"/>
          <w:color w:val="auto"/>
          <w:spacing w:val="28"/>
          <w:sz w:val="28"/>
          <w:szCs w:val="28"/>
          <w:u w:val="none"/>
        </w:rPr>
        <w:t>项目总金额：</w:t>
      </w: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32"/>
          <w:szCs w:val="32"/>
          <w:u w:val="single"/>
          <w:lang w:val="en-US" w:eastAsia="zh-CN"/>
        </w:rPr>
        <w:t xml:space="preserve">541万元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p>
    <w:p w14:paraId="528DEC74">
      <w:pPr>
        <w:keepNext w:val="0"/>
        <w:keepLines w:val="0"/>
        <w:pageBreakBefore w:val="0"/>
        <w:widowControl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color w:val="auto"/>
          <w:sz w:val="28"/>
          <w:szCs w:val="28"/>
          <w:u w:val="single"/>
        </w:rPr>
      </w:pPr>
      <w:r>
        <w:rPr>
          <w:rFonts w:hint="eastAsia" w:ascii="仿宋_GB2312" w:hAnsi="仿宋_GB2312" w:eastAsia="仿宋_GB2312" w:cs="仿宋_GB2312"/>
          <w:color w:val="auto"/>
          <w:spacing w:val="11"/>
          <w:sz w:val="28"/>
          <w:szCs w:val="28"/>
          <w:u w:val="none"/>
        </w:rPr>
        <w:t>评</w:t>
      </w:r>
      <w:r>
        <w:rPr>
          <w:rFonts w:hint="eastAsia" w:ascii="仿宋_GB2312" w:hAnsi="仿宋_GB2312" w:eastAsia="仿宋_GB2312" w:cs="仿宋_GB2312"/>
          <w:color w:val="auto"/>
          <w:spacing w:val="11"/>
          <w:sz w:val="28"/>
          <w:szCs w:val="28"/>
          <w:u w:val="none"/>
          <w:lang w:val="en-US" w:eastAsia="zh-CN"/>
        </w:rPr>
        <w:t xml:space="preserve"> </w:t>
      </w:r>
      <w:r>
        <w:rPr>
          <w:rFonts w:hint="eastAsia" w:ascii="仿宋_GB2312" w:hAnsi="仿宋_GB2312" w:eastAsia="仿宋_GB2312" w:cs="仿宋_GB2312"/>
          <w:color w:val="auto"/>
          <w:spacing w:val="11"/>
          <w:sz w:val="28"/>
          <w:szCs w:val="28"/>
          <w:u w:val="none"/>
        </w:rPr>
        <w:t>价</w:t>
      </w:r>
      <w:r>
        <w:rPr>
          <w:rFonts w:hint="eastAsia" w:ascii="仿宋_GB2312" w:hAnsi="仿宋_GB2312" w:eastAsia="仿宋_GB2312" w:cs="仿宋_GB2312"/>
          <w:color w:val="auto"/>
          <w:spacing w:val="11"/>
          <w:sz w:val="28"/>
          <w:szCs w:val="28"/>
          <w:u w:val="none"/>
          <w:lang w:val="en-US" w:eastAsia="zh-CN"/>
        </w:rPr>
        <w:t xml:space="preserve"> </w:t>
      </w:r>
      <w:r>
        <w:rPr>
          <w:rFonts w:hint="eastAsia" w:ascii="仿宋_GB2312" w:hAnsi="仿宋_GB2312" w:eastAsia="仿宋_GB2312" w:cs="仿宋_GB2312"/>
          <w:color w:val="auto"/>
          <w:spacing w:val="11"/>
          <w:sz w:val="28"/>
          <w:szCs w:val="28"/>
          <w:u w:val="none"/>
        </w:rPr>
        <w:t>年</w:t>
      </w:r>
      <w:r>
        <w:rPr>
          <w:rFonts w:hint="eastAsia" w:ascii="仿宋_GB2312" w:hAnsi="仿宋_GB2312" w:eastAsia="仿宋_GB2312" w:cs="仿宋_GB2312"/>
          <w:color w:val="auto"/>
          <w:spacing w:val="11"/>
          <w:sz w:val="28"/>
          <w:szCs w:val="28"/>
          <w:u w:val="none"/>
          <w:lang w:val="en-US" w:eastAsia="zh-CN"/>
        </w:rPr>
        <w:t xml:space="preserve"> </w:t>
      </w:r>
      <w:r>
        <w:rPr>
          <w:rFonts w:hint="eastAsia" w:ascii="仿宋_GB2312" w:hAnsi="仿宋_GB2312" w:eastAsia="仿宋_GB2312" w:cs="仿宋_GB2312"/>
          <w:color w:val="auto"/>
          <w:spacing w:val="11"/>
          <w:sz w:val="28"/>
          <w:szCs w:val="28"/>
          <w:u w:val="none"/>
        </w:rPr>
        <w:t>度：</w:t>
      </w: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32"/>
          <w:szCs w:val="32"/>
          <w:u w:val="single"/>
          <w:lang w:val="en-US" w:eastAsia="zh-CN"/>
        </w:rPr>
        <w:t xml:space="preserve">2025年度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p>
    <w:p w14:paraId="405BCAEA">
      <w:pPr>
        <w:keepNext w:val="0"/>
        <w:keepLines w:val="0"/>
        <w:pageBreakBefore w:val="0"/>
        <w:widowControl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color w:val="auto"/>
          <w:sz w:val="28"/>
          <w:szCs w:val="28"/>
          <w:u w:val="single"/>
          <w:lang w:val="en-US" w:eastAsia="zh-CN"/>
        </w:rPr>
      </w:pPr>
      <w:r>
        <w:rPr>
          <w:rFonts w:hint="eastAsia" w:ascii="仿宋_GB2312" w:hAnsi="仿宋_GB2312" w:eastAsia="仿宋_GB2312" w:cs="仿宋_GB2312"/>
          <w:color w:val="auto"/>
          <w:spacing w:val="28"/>
          <w:sz w:val="28"/>
          <w:szCs w:val="28"/>
          <w:u w:val="none"/>
          <w:lang w:val="en-US" w:eastAsia="zh-CN"/>
        </w:rPr>
        <w:t>评价组组长：</w:t>
      </w:r>
      <w:r>
        <w:rPr>
          <w:rFonts w:hint="eastAsia" w:ascii="仿宋_GB2312" w:hAnsi="仿宋_GB2312" w:eastAsia="仿宋_GB2312" w:cs="仿宋_GB2312"/>
          <w:color w:val="auto"/>
          <w:sz w:val="28"/>
          <w:szCs w:val="28"/>
          <w:u w:val="none"/>
          <w:lang w:val="en-US" w:eastAsia="zh-CN"/>
        </w:rPr>
        <w:t xml:space="preserve"> </w:t>
      </w:r>
      <w:r>
        <w:rPr>
          <w:rFonts w:hint="eastAsia" w:ascii="宋体" w:hAnsi="宋体" w:eastAsia="宋体" w:cs="宋体"/>
          <w:sz w:val="28"/>
          <w:u w:val="single"/>
          <w:lang w:eastAsia="zh-CN"/>
        </w:rPr>
        <w:t>卢跃雷</w:t>
      </w:r>
      <w:r>
        <w:rPr>
          <w:rFonts w:hint="eastAsia" w:ascii="宋体" w:hAnsi="宋体" w:cs="宋体"/>
          <w:sz w:val="28"/>
          <w:u w:val="single"/>
          <w:lang w:eastAsia="zh-CN"/>
        </w:rPr>
        <w:t>、</w:t>
      </w:r>
      <w:r>
        <w:rPr>
          <w:rFonts w:hint="eastAsia" w:ascii="宋体" w:hAnsi="宋体" w:cs="宋体"/>
          <w:sz w:val="28"/>
          <w:u w:val="single"/>
          <w:lang w:val="en-US" w:eastAsia="zh-CN"/>
        </w:rPr>
        <w:t>张朝兵</w:t>
      </w:r>
      <w:r>
        <w:rPr>
          <w:rFonts w:hint="eastAsia" w:ascii="仿宋_GB2312" w:hAnsi="仿宋_GB2312" w:eastAsia="仿宋_GB2312" w:cs="仿宋_GB2312"/>
          <w:color w:val="auto"/>
          <w:sz w:val="28"/>
          <w:szCs w:val="28"/>
          <w:u w:val="single"/>
          <w:lang w:val="en-US" w:eastAsia="zh-CN"/>
        </w:rPr>
        <w:t xml:space="preserve">                                 </w:t>
      </w:r>
    </w:p>
    <w:p w14:paraId="728C7D69">
      <w:pPr>
        <w:keepNext w:val="0"/>
        <w:keepLines w:val="0"/>
        <w:pageBreakBefore w:val="0"/>
        <w:widowControl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pacing w:val="28"/>
          <w:sz w:val="28"/>
          <w:szCs w:val="28"/>
          <w:u w:val="none"/>
          <w:lang w:val="en-US" w:eastAsia="zh-CN"/>
        </w:rPr>
        <w:t>评价组成员：</w:t>
      </w:r>
      <w:r>
        <w:rPr>
          <w:rFonts w:hint="eastAsia" w:ascii="仿宋_GB2312" w:hAnsi="仿宋_GB2312" w:eastAsia="仿宋_GB2312" w:cs="仿宋_GB2312"/>
          <w:color w:val="auto"/>
          <w:sz w:val="28"/>
          <w:szCs w:val="28"/>
          <w:u w:val="none"/>
          <w:lang w:val="en-US" w:eastAsia="zh-CN"/>
        </w:rPr>
        <w:t xml:space="preserve"> </w:t>
      </w:r>
      <w:r>
        <w:rPr>
          <w:rFonts w:hint="eastAsia" w:ascii="宋体" w:hAnsi="宋体" w:eastAsia="宋体" w:cs="宋体"/>
          <w:sz w:val="28"/>
          <w:u w:val="single"/>
          <w:lang w:eastAsia="zh-CN"/>
        </w:rPr>
        <w:t>李丽</w:t>
      </w:r>
      <w:r>
        <w:rPr>
          <w:rFonts w:hint="eastAsia" w:ascii="宋体" w:hAnsi="宋体" w:cs="宋体"/>
          <w:sz w:val="28"/>
          <w:u w:val="single"/>
          <w:lang w:eastAsia="zh-CN"/>
        </w:rPr>
        <w:t>、</w:t>
      </w:r>
      <w:r>
        <w:rPr>
          <w:rFonts w:hint="eastAsia" w:ascii="宋体" w:hAnsi="宋体" w:cs="宋体"/>
          <w:sz w:val="28"/>
          <w:u w:val="single"/>
          <w:lang w:val="en-US" w:eastAsia="zh-CN"/>
        </w:rPr>
        <w:t xml:space="preserve">曹云肖  </w:t>
      </w:r>
      <w:r>
        <w:rPr>
          <w:rFonts w:hint="eastAsia" w:ascii="仿宋_GB2312" w:hAnsi="仿宋_GB2312" w:eastAsia="仿宋_GB2312" w:cs="仿宋_GB2312"/>
          <w:color w:val="auto"/>
          <w:sz w:val="28"/>
          <w:szCs w:val="28"/>
          <w:u w:val="single"/>
          <w:lang w:val="en-US" w:eastAsia="zh-CN"/>
        </w:rPr>
        <w:t xml:space="preserve">                                  </w:t>
      </w:r>
    </w:p>
    <w:p w14:paraId="429A9A05">
      <w:pPr>
        <w:rPr>
          <w:rFonts w:hint="eastAsia" w:ascii="仿宋_GB2312" w:hAnsi="仿宋_GB2312" w:eastAsia="仿宋_GB2312" w:cs="仿宋_GB2312"/>
          <w:color w:val="auto"/>
          <w:lang w:val="en-US" w:eastAsia="zh-CN"/>
        </w:rPr>
      </w:pPr>
    </w:p>
    <w:p w14:paraId="2B13B066">
      <w:pPr>
        <w:spacing w:before="0" w:beforeLines="0" w:after="0" w:afterLines="0" w:line="240" w:lineRule="auto"/>
        <w:ind w:left="0" w:leftChars="0" w:right="0" w:rightChars="0" w:firstLine="0" w:firstLineChars="0"/>
        <w:jc w:val="center"/>
        <w:rPr>
          <w:rFonts w:hint="eastAsia" w:ascii="仿宋_GB2312" w:hAnsi="仿宋_GB2312" w:eastAsia="仿宋_GB2312" w:cs="仿宋_GB2312"/>
          <w:color w:val="auto"/>
          <w:sz w:val="32"/>
          <w:szCs w:val="40"/>
        </w:rPr>
      </w:pPr>
      <w:bookmarkStart w:id="0" w:name="_Toc5909_WPSOffice_Level1"/>
      <w:bookmarkStart w:id="1" w:name="_Toc7470_WPSOffice_Level1"/>
    </w:p>
    <w:bookmarkEnd w:id="0"/>
    <w:bookmarkEnd w:id="1"/>
    <w:p w14:paraId="349E37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b w:val="0"/>
          <w:bCs w:val="0"/>
          <w:color w:val="auto"/>
          <w:sz w:val="32"/>
          <w:szCs w:val="40"/>
          <w:lang w:val="en-US" w:eastAsia="zh-CN"/>
        </w:rPr>
      </w:pPr>
      <w:bookmarkStart w:id="2" w:name="_Toc18334"/>
      <w:bookmarkStart w:id="3" w:name="_Toc13153"/>
      <w:bookmarkStart w:id="4" w:name="_Toc23411"/>
      <w:bookmarkStart w:id="5" w:name="_Toc6314"/>
      <w:bookmarkStart w:id="6" w:name="_Toc4013"/>
      <w:bookmarkStart w:id="7" w:name="_Toc16913"/>
      <w:bookmarkStart w:id="8" w:name="_Toc30335"/>
      <w:bookmarkStart w:id="9" w:name="_Toc9525"/>
      <w:bookmarkStart w:id="10" w:name="_Toc11301"/>
      <w:bookmarkStart w:id="11" w:name="_Toc2245"/>
      <w:r>
        <w:rPr>
          <w:rFonts w:hint="eastAsia" w:ascii="黑体" w:hAnsi="黑体" w:eastAsia="黑体" w:cs="黑体"/>
          <w:b w:val="0"/>
          <w:bCs w:val="0"/>
          <w:color w:val="auto"/>
          <w:sz w:val="32"/>
          <w:szCs w:val="40"/>
          <w:lang w:val="en-US" w:eastAsia="zh-CN"/>
        </w:rPr>
        <w:t>一、项目概况</w:t>
      </w:r>
      <w:bookmarkEnd w:id="2"/>
      <w:bookmarkEnd w:id="3"/>
      <w:bookmarkEnd w:id="4"/>
      <w:bookmarkEnd w:id="5"/>
      <w:bookmarkEnd w:id="6"/>
      <w:bookmarkEnd w:id="7"/>
      <w:bookmarkEnd w:id="8"/>
      <w:bookmarkEnd w:id="9"/>
      <w:bookmarkEnd w:id="10"/>
      <w:bookmarkEnd w:id="11"/>
    </w:p>
    <w:p w14:paraId="76B3C9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color w:val="auto"/>
          <w:sz w:val="32"/>
          <w:szCs w:val="40"/>
          <w:lang w:val="en-US" w:eastAsia="zh-CN"/>
        </w:rPr>
      </w:pPr>
      <w:bookmarkStart w:id="12" w:name="_Toc19370"/>
      <w:bookmarkStart w:id="13" w:name="_Toc23957"/>
      <w:bookmarkStart w:id="14" w:name="_Toc32742"/>
      <w:bookmarkStart w:id="15" w:name="_Toc30895"/>
      <w:bookmarkStart w:id="16" w:name="_Toc22453"/>
      <w:bookmarkStart w:id="17" w:name="_Toc937"/>
      <w:bookmarkStart w:id="18" w:name="_Toc15831"/>
      <w:bookmarkStart w:id="19" w:name="_Toc22285"/>
      <w:bookmarkStart w:id="20" w:name="_Toc19963"/>
      <w:bookmarkStart w:id="21" w:name="_Toc24784"/>
      <w:r>
        <w:rPr>
          <w:rFonts w:hint="eastAsia" w:ascii="楷体" w:hAnsi="楷体" w:eastAsia="楷体" w:cs="楷体"/>
          <w:b/>
          <w:bCs/>
          <w:color w:val="auto"/>
          <w:sz w:val="32"/>
          <w:szCs w:val="40"/>
          <w:lang w:val="en-US" w:eastAsia="zh-CN"/>
        </w:rPr>
        <w:t>（一）项目单位基本情</w:t>
      </w:r>
      <w:r>
        <w:rPr>
          <w:rFonts w:hint="eastAsia" w:ascii="仿宋_GB2312" w:hAnsi="仿宋_GB2312" w:eastAsia="仿宋_GB2312" w:cs="仿宋_GB2312"/>
          <w:b/>
          <w:bCs/>
          <w:color w:val="auto"/>
          <w:sz w:val="32"/>
          <w:szCs w:val="40"/>
          <w:lang w:val="en-US" w:eastAsia="zh-CN"/>
        </w:rPr>
        <w:t>况</w:t>
      </w:r>
      <w:bookmarkEnd w:id="12"/>
      <w:bookmarkEnd w:id="13"/>
      <w:bookmarkEnd w:id="14"/>
      <w:bookmarkEnd w:id="15"/>
      <w:bookmarkEnd w:id="16"/>
      <w:bookmarkEnd w:id="17"/>
      <w:bookmarkEnd w:id="18"/>
      <w:bookmarkEnd w:id="19"/>
      <w:bookmarkEnd w:id="20"/>
      <w:bookmarkEnd w:id="21"/>
    </w:p>
    <w:p w14:paraId="0B9072A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eastAsia="zh-CN"/>
        </w:rPr>
      </w:pPr>
      <w:bookmarkStart w:id="22" w:name="_Toc8843"/>
      <w:bookmarkStart w:id="23" w:name="_Toc15167"/>
      <w:bookmarkStart w:id="24" w:name="_Toc29308"/>
      <w:r>
        <w:rPr>
          <w:rFonts w:hint="eastAsia" w:ascii="仿宋_GB2312" w:hAnsi="仿宋_GB2312" w:eastAsia="仿宋_GB2312" w:cs="仿宋_GB2312"/>
          <w:sz w:val="32"/>
          <w:szCs w:val="32"/>
          <w:lang w:eastAsia="zh-CN"/>
        </w:rPr>
        <w:t>巨鹿县住房和城乡建设局（简称县住建局）为县政府工作部门，机构规格正科级，位于巨鹿县新华北街</w:t>
      </w:r>
      <w:r>
        <w:rPr>
          <w:rFonts w:hint="eastAsia" w:ascii="仿宋_GB2312" w:hAnsi="仿宋_GB2312" w:eastAsia="仿宋_GB2312" w:cs="仿宋_GB2312"/>
          <w:sz w:val="32"/>
          <w:szCs w:val="32"/>
          <w:lang w:val="en-US" w:eastAsia="zh-CN"/>
        </w:rPr>
        <w:t>127号，</w:t>
      </w:r>
      <w:r>
        <w:rPr>
          <w:rFonts w:hint="eastAsia" w:ascii="仿宋_GB2312" w:hAnsi="仿宋_GB2312" w:eastAsia="仿宋_GB2312" w:cs="仿宋_GB2312"/>
          <w:sz w:val="32"/>
          <w:szCs w:val="32"/>
          <w:lang w:eastAsia="zh-CN"/>
        </w:rPr>
        <w:t>主要承担</w:t>
      </w:r>
      <w:r>
        <w:rPr>
          <w:rFonts w:hint="eastAsia" w:ascii="仿宋_GB2312" w:hAnsi="仿宋_GB2312" w:eastAsia="仿宋_GB2312" w:cs="仿宋_GB2312"/>
          <w:sz w:val="32"/>
          <w:szCs w:val="32"/>
        </w:rPr>
        <w:t>指导全县建设行业行政监察</w:t>
      </w:r>
      <w:r>
        <w:rPr>
          <w:rFonts w:hint="eastAsia" w:ascii="仿宋_GB2312" w:hAnsi="仿宋_GB2312" w:eastAsia="仿宋_GB2312" w:cs="仿宋_GB2312"/>
          <w:sz w:val="32"/>
          <w:szCs w:val="32"/>
          <w:lang w:eastAsia="zh-CN"/>
        </w:rPr>
        <w:t>的工作。部门职责有：</w:t>
      </w:r>
    </w:p>
    <w:p w14:paraId="31D65A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贯彻执行国家、省、市城乡建设工作、城乡规划工作、县城市管理行政执法和县城市建设管理工作，以及住房保障工作的方针、政策和法律、法规。研究政策和办法，经县政府批准后组织实施。</w:t>
      </w:r>
    </w:p>
    <w:p w14:paraId="6DE8BD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负责编制全县城市建设、市政公用设施建设、村镇建设、建筑业中长期规划及年度计划并组织实施。</w:t>
      </w:r>
    </w:p>
    <w:p w14:paraId="2E3B89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监督管理建筑市场、规范市场各方主体行为。指导全县建筑活动，组织实施房屋和市政工程项目招投标活动的监督执法；拟订勘察设计、施工、建设监理的政策措施并监督和指导实施；拟订工程建设、建筑业、勘察设计、建设机械和材料装备的行业发展规划、改革方案、政策措施并监督执行；拟订规范建筑市场各方主体行为的政策措施并监督执行。</w:t>
      </w:r>
    </w:p>
    <w:p w14:paraId="1AE043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研究拟订县城市建设的政策并指导实施。负责组织县政府投资的市政公用设施建设项目的建设；负责编制城区节约用水规划和计划并组织实施；负责城区防汛工作；指导县城市供热、供气工作；指导全县风景名胜区的建设，参与风景名胜区的申报和监督管理。</w:t>
      </w:r>
    </w:p>
    <w:p w14:paraId="4696B0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承担和实施建立科学规范的工程建设标准体系的责任。组织实施工程建设实施阶段的国家和省定标准以及工程建设国家和省统一定额和行业标准；监督实施公共服务设施（不含通信设施）建设标准；指导监督各类工程建设标准定额的实施和工程造价计价，组织发布工程造价信息。</w:t>
      </w:r>
    </w:p>
    <w:p w14:paraId="3F8399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承担规范、指导村镇建设的责任。拟订村庄和小城镇建设政策措施并指导实施；指导农村住房建设；指导小城镇和村庄人居生态环境的改善工作。</w:t>
      </w:r>
    </w:p>
    <w:p w14:paraId="5C8B85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承担建筑工程质量安全监管责任。拟订建筑工程质量、建筑安全生产和竣工验收备案的政策措施并监督执行；组织或参与工程重大质量、安全事故的调查处理；拟订建筑业、工程勘察设计咨询业技术政策并指导实施。</w:t>
      </w:r>
    </w:p>
    <w:p w14:paraId="3609C7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承担推进建筑节能、城镇减排的责任。会同有关部门拟订建筑节能的政策措施并监督实施；指导房屋墙体材料革新工作；组织实施重大建筑节能项目，推进城镇减排。</w:t>
      </w:r>
    </w:p>
    <w:p w14:paraId="56F5EC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负责并协调县城市建设综合开发管理；负责县城市建设档案管理工作。</w:t>
      </w:r>
    </w:p>
    <w:p w14:paraId="4DAF25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负责编制县城市建设资金使用计划；会同有关部门做好县城市建设利用外资、融资工作。</w:t>
      </w:r>
    </w:p>
    <w:p w14:paraId="227EDF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负责编制全县住房建设规划,拟订相关具体办法并组织实施；按规定牵头负责城市棚户区（旧城区片、危旧住房）改造的项目报批、计划编制、组织实施和监督管理工作。</w:t>
      </w:r>
    </w:p>
    <w:p w14:paraId="19BF01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承担保障城镇低收入家庭住房的责任。拟订住房保障相关政策并指导实施；拟订廉租住房规划及政策，会同有关部门做好廉租住房资金安排并监督实施；编制住房保障发展规划和年度计划并监督实施。负责县住房保障资格核准。</w:t>
      </w:r>
    </w:p>
    <w:p w14:paraId="535337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承担推进住房制度改革的责任。拟订适合我县的住房政策，指导住房建设和住房制度改革。</w:t>
      </w:r>
    </w:p>
    <w:p w14:paraId="036233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承担规范房地产市场秩序、监督管理房地产市场的责任。会同有关部门拟订房地产市场监管政策办法并监督执行。负责全县房地产业的行政执法监督工作。</w:t>
      </w:r>
    </w:p>
    <w:p w14:paraId="3CD4AC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负责全县房地产市场信息系统和预警、预报体系建设和管理，发布市场调控和相关统计信息。</w:t>
      </w:r>
    </w:p>
    <w:p w14:paraId="6641B1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制订房屋交易、权属管理、房屋租赁、房屋面积管理、房地产估价与经纪管理的规章制度并监督执行。负责商品房预（销）售许可及监管工作。</w:t>
      </w:r>
    </w:p>
    <w:p w14:paraId="243161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负责全县房屋安全管理和室内装饰装修安全管理；负责组织危旧房屋的检查、鉴定。</w:t>
      </w:r>
    </w:p>
    <w:p w14:paraId="06A84B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按规定负责全县公房行政管理工作；负责管理、接收县政府公产、法院判决公产、绝产及撤销单位的房产；代管无主房产；负责城市异产毗连房屋的管理。</w:t>
      </w:r>
    </w:p>
    <w:p w14:paraId="2F0B4A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承担物业行业监督管理职责。编制全县物业管理发展规划和年度计划并组织实施；负责物业企业的资质管理和物业管理招投标活动的监督管理；培育壮大物业服务市场，提高、改善小区居住环境。</w:t>
      </w:r>
    </w:p>
    <w:p w14:paraId="30EFEB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承办县政府交办的其它事项</w:t>
      </w:r>
      <w:r>
        <w:rPr>
          <w:rFonts w:hint="eastAsia" w:ascii="仿宋_GB2312" w:hAnsi="仿宋_GB2312" w:eastAsia="仿宋_GB2312" w:cs="仿宋_GB2312"/>
          <w:color w:val="auto"/>
          <w:sz w:val="32"/>
          <w:szCs w:val="32"/>
          <w:lang w:val="en-US" w:eastAsia="zh-CN"/>
        </w:rPr>
        <w:t>。</w:t>
      </w:r>
    </w:p>
    <w:p w14:paraId="791287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1"/>
        <w:rPr>
          <w:rFonts w:hint="eastAsia" w:ascii="楷体" w:hAnsi="楷体" w:eastAsia="楷体" w:cs="楷体"/>
          <w:b/>
          <w:bCs/>
          <w:color w:val="auto"/>
          <w:sz w:val="32"/>
          <w:szCs w:val="40"/>
          <w:lang w:val="en-US" w:eastAsia="zh-CN"/>
        </w:rPr>
      </w:pPr>
      <w:r>
        <w:rPr>
          <w:rFonts w:hint="eastAsia" w:ascii="楷体" w:hAnsi="楷体" w:eastAsia="楷体" w:cs="楷体"/>
          <w:b/>
          <w:bCs/>
          <w:color w:val="auto"/>
          <w:sz w:val="32"/>
          <w:szCs w:val="40"/>
          <w:lang w:val="en-US" w:eastAsia="zh-CN"/>
        </w:rPr>
        <w:t>（二）项目基本情况</w:t>
      </w:r>
      <w:bookmarkEnd w:id="22"/>
      <w:bookmarkEnd w:id="23"/>
      <w:bookmarkEnd w:id="24"/>
    </w:p>
    <w:p w14:paraId="37A7CE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lang w:val="en-US" w:eastAsia="zh-CN"/>
        </w:rPr>
      </w:pPr>
      <w:bookmarkStart w:id="25" w:name="_Toc32656"/>
      <w:bookmarkStart w:id="26" w:name="_Toc26594"/>
      <w:bookmarkStart w:id="27" w:name="_Toc27552"/>
      <w:bookmarkStart w:id="28" w:name="_Toc24191"/>
      <w:r>
        <w:rPr>
          <w:rFonts w:hint="eastAsia" w:ascii="仿宋_GB2312" w:hAnsi="仿宋_GB2312" w:eastAsia="仿宋_GB2312" w:cs="仿宋_GB2312"/>
          <w:sz w:val="32"/>
          <w:lang w:val="en-US" w:eastAsia="zh-CN"/>
        </w:rPr>
        <w:t>1.项目概况</w:t>
      </w:r>
    </w:p>
    <w:tbl>
      <w:tblPr>
        <w:tblStyle w:val="8"/>
        <w:tblW w:w="87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5"/>
        <w:gridCol w:w="6519"/>
      </w:tblGrid>
      <w:tr w14:paraId="5B7F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5" w:type="dxa"/>
            <w:vAlign w:val="center"/>
          </w:tcPr>
          <w:p w14:paraId="5862EB45">
            <w:pPr>
              <w:spacing w:line="60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工程名称</w:t>
            </w:r>
          </w:p>
        </w:tc>
        <w:tc>
          <w:tcPr>
            <w:tcW w:w="6519" w:type="dxa"/>
            <w:vAlign w:val="center"/>
          </w:tcPr>
          <w:p w14:paraId="4D60A613">
            <w:pPr>
              <w:spacing w:line="60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建设规模及主要内容</w:t>
            </w:r>
          </w:p>
        </w:tc>
      </w:tr>
      <w:tr w14:paraId="0B0E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5" w:type="dxa"/>
            <w:vAlign w:val="center"/>
          </w:tcPr>
          <w:p w14:paraId="7D97CF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冀财资环2023年98号提前下达2024年中央大气污染防治资金（农村地区清洁取暖任务运营补贴）</w:t>
            </w:r>
          </w:p>
        </w:tc>
        <w:tc>
          <w:tcPr>
            <w:tcW w:w="6519" w:type="dxa"/>
            <w:vAlign w:val="center"/>
          </w:tcPr>
          <w:p w14:paraId="1E90B3FD">
            <w:pPr>
              <w:pStyle w:val="6"/>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700" w:lineRule="exact"/>
              <w:ind w:firstLine="640" w:firstLineChars="200"/>
              <w:jc w:val="both"/>
              <w:textAlignment w:val="auto"/>
            </w:pPr>
            <w:r>
              <w:rPr>
                <w:rFonts w:hint="eastAsia" w:ascii="仿宋_GB2312" w:hAnsi="仿宋_GB2312" w:eastAsia="仿宋_GB2312" w:cs="仿宋_GB2312"/>
                <w:kern w:val="2"/>
                <w:sz w:val="32"/>
                <w:szCs w:val="32"/>
                <w:lang w:val="en-US" w:eastAsia="zh-CN" w:bidi="ar-SA"/>
              </w:rPr>
              <w:t>该项目用于2024年-2025年取暖季</w:t>
            </w:r>
            <w:r>
              <w:rPr>
                <w:rFonts w:hint="eastAsia" w:ascii="仿宋_GB2312" w:hAnsi="仿宋_GB2312" w:eastAsia="仿宋_GB2312" w:cs="仿宋_GB2312"/>
                <w:sz w:val="32"/>
                <w:szCs w:val="32"/>
                <w:lang w:val="en-US" w:eastAsia="zh-CN"/>
              </w:rPr>
              <w:t>双代运行补贴67533户，其中气代煤运行补贴49589户，电代煤运行补贴17944户，</w:t>
            </w:r>
            <w:r>
              <w:rPr>
                <w:rFonts w:hint="eastAsia" w:ascii="仿宋_GB2312" w:hAnsi="仿宋_GB2312" w:eastAsia="仿宋_GB2312" w:cs="仿宋_GB2312"/>
                <w:b w:val="0"/>
                <w:bCs/>
                <w:color w:val="auto"/>
                <w:sz w:val="32"/>
                <w:szCs w:val="32"/>
                <w:lang w:val="en-US" w:eastAsia="zh-CN"/>
              </w:rPr>
              <w:t>改善群众生活条件，扎实推进清洁取暖工作。</w:t>
            </w:r>
          </w:p>
          <w:p w14:paraId="1638E6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bl>
    <w:p w14:paraId="18010D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2.项目公益性和建设必要性</w:t>
      </w:r>
    </w:p>
    <w:p w14:paraId="0231AD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（1）项目的公益性</w:t>
      </w:r>
    </w:p>
    <w:p w14:paraId="213F78AA">
      <w:pPr>
        <w:pStyle w:val="6"/>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700" w:lineRule="exact"/>
        <w:ind w:firstLine="640"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color w:val="auto"/>
          <w:kern w:val="2"/>
          <w:sz w:val="32"/>
          <w:szCs w:val="32"/>
          <w:highlight w:val="none"/>
          <w:lang w:val="en-US" w:eastAsia="zh-CN" w:bidi="ar-SA"/>
        </w:rPr>
        <w:t>该</w:t>
      </w:r>
      <w:r>
        <w:rPr>
          <w:rFonts w:hint="eastAsia" w:ascii="仿宋_GB2312" w:hAnsi="仿宋_GB2312" w:eastAsia="仿宋_GB2312" w:cs="仿宋_GB2312"/>
          <w:color w:val="auto"/>
          <w:kern w:val="2"/>
          <w:sz w:val="32"/>
          <w:szCs w:val="32"/>
          <w:lang w:val="en-US" w:eastAsia="zh-CN" w:bidi="ar-SA"/>
        </w:rPr>
        <w:t>项目资金严格按照相关法律法规以及《巨鹿县住房和城乡建设局机关财务工作管理制度》</w:t>
      </w:r>
      <w:r>
        <w:rPr>
          <w:rFonts w:hint="eastAsia" w:ascii="仿宋_GB2312" w:hAnsi="仿宋_GB2312" w:eastAsia="仿宋_GB2312" w:cs="仿宋_GB2312"/>
          <w:color w:val="auto"/>
          <w:kern w:val="2"/>
          <w:sz w:val="32"/>
          <w:szCs w:val="32"/>
          <w:highlight w:val="none"/>
          <w:lang w:val="en-US" w:eastAsia="zh-CN" w:bidi="ar-SA"/>
        </w:rPr>
        <w:t>等文件执行。支付时严格审核，做到每支付一项费用，原始资料齐全真实，有根有据，确保专款专用。</w:t>
      </w:r>
    </w:p>
    <w:p w14:paraId="26549E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（2）项目建设必要性</w:t>
      </w:r>
    </w:p>
    <w:p w14:paraId="1257DE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该项目为</w:t>
      </w:r>
      <w:r>
        <w:rPr>
          <w:rFonts w:hint="eastAsia" w:ascii="仿宋_GB2312" w:hAnsi="仿宋_GB2312" w:eastAsia="仿宋_GB2312" w:cs="仿宋_GB2312"/>
          <w:sz w:val="32"/>
          <w:szCs w:val="32"/>
          <w:lang w:eastAsia="zh-CN"/>
        </w:rPr>
        <w:t>大气</w:t>
      </w:r>
      <w:r>
        <w:rPr>
          <w:rFonts w:hint="eastAsia" w:ascii="仿宋_GB2312" w:hAnsi="仿宋_GB2312" w:eastAsia="仿宋_GB2312" w:cs="仿宋_GB2312"/>
          <w:sz w:val="32"/>
          <w:szCs w:val="32"/>
        </w:rPr>
        <w:t>建设</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，同时为保障人民安全做出了重大贡献，且美化了环境，对城市经济的可持续发展、城市社区和居民自身的发展有着重要的影响。本项目所产生的效益表现为难以用货币量化的社会效益。</w:t>
      </w:r>
    </w:p>
    <w:p w14:paraId="3D1D10E9">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240" w:afterAutospacing="0" w:line="24" w:lineRule="atLeast"/>
        <w:ind w:right="0" w:rightChars="0"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该项目的实施也将改善投资环境，带动其他产业的发展，增加就业机会，从而使该地区经济全方位发展。</w:t>
      </w:r>
    </w:p>
    <w:p w14:paraId="0D364A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3.项目的经济社会效益</w:t>
      </w:r>
    </w:p>
    <w:p w14:paraId="3084D7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（1）经济效益分析</w:t>
      </w:r>
    </w:p>
    <w:p w14:paraId="69E780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该项目建成后将有效改善当地及周边人民的生活环境，</w:t>
      </w:r>
      <w:r>
        <w:rPr>
          <w:rFonts w:hint="eastAsia" w:ascii="仿宋_GB2312" w:hAnsi="仿宋_GB2312" w:eastAsia="仿宋_GB2312" w:cs="仿宋_GB2312"/>
          <w:sz w:val="32"/>
          <w:szCs w:val="32"/>
          <w:lang w:eastAsia="zh-CN"/>
        </w:rPr>
        <w:t>清洁取暖环境，</w:t>
      </w:r>
      <w:r>
        <w:rPr>
          <w:rFonts w:hint="eastAsia" w:ascii="仿宋_GB2312" w:hAnsi="仿宋_GB2312" w:eastAsia="仿宋_GB2312" w:cs="仿宋_GB2312"/>
          <w:sz w:val="32"/>
          <w:szCs w:val="32"/>
        </w:rPr>
        <w:t>同时</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lang w:eastAsia="zh-CN"/>
        </w:rPr>
        <w:t>大气污染防治起到积极</w:t>
      </w:r>
      <w:r>
        <w:rPr>
          <w:rFonts w:hint="eastAsia" w:ascii="仿宋_GB2312" w:hAnsi="仿宋_GB2312" w:eastAsia="仿宋_GB2312" w:cs="仿宋_GB2312"/>
          <w:sz w:val="32"/>
          <w:szCs w:val="32"/>
        </w:rPr>
        <w:t>的作用。该项目的实施也将改善投资环境，带动其他产业的发展，增加就业机会，从而使该地区经济全方位发展。</w:t>
      </w:r>
    </w:p>
    <w:p w14:paraId="19AF95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（2）社会效益分析</w:t>
      </w:r>
    </w:p>
    <w:p w14:paraId="70BB84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该项目的实施也将改善投资环境，带动其他产业的发展，增加就业机会，从而使该地区经济全方位发展。</w:t>
      </w:r>
    </w:p>
    <w:p w14:paraId="6F7BA7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4.项目资金情况</w:t>
      </w:r>
    </w:p>
    <w:p w14:paraId="7B08AC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本项目总投资</w:t>
      </w:r>
      <w:r>
        <w:rPr>
          <w:rFonts w:hint="eastAsia" w:ascii="仿宋_GB2312" w:hAnsi="仿宋_GB2312" w:eastAsia="仿宋_GB2312" w:cs="仿宋_GB2312"/>
          <w:sz w:val="32"/>
          <w:szCs w:val="32"/>
          <w:lang w:val="en-US" w:eastAsia="zh-CN"/>
        </w:rPr>
        <w:t>541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资金来源为政府投资。</w:t>
      </w:r>
    </w:p>
    <w:bookmarkEnd w:id="25"/>
    <w:bookmarkEnd w:id="26"/>
    <w:bookmarkEnd w:id="27"/>
    <w:bookmarkEnd w:id="28"/>
    <w:p w14:paraId="166CED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b w:val="0"/>
          <w:bCs w:val="0"/>
          <w:color w:val="auto"/>
          <w:sz w:val="32"/>
          <w:szCs w:val="32"/>
          <w:lang w:val="en-US" w:eastAsia="zh-CN"/>
        </w:rPr>
      </w:pPr>
      <w:bookmarkStart w:id="29" w:name="_Toc2988"/>
      <w:bookmarkStart w:id="30" w:name="_Toc28908"/>
      <w:bookmarkStart w:id="31" w:name="_Toc6781"/>
      <w:bookmarkStart w:id="32" w:name="_Toc4859"/>
      <w:bookmarkStart w:id="33" w:name="_Toc18992"/>
      <w:bookmarkStart w:id="34" w:name="_Toc14644"/>
      <w:bookmarkStart w:id="35" w:name="_Toc7839"/>
      <w:bookmarkStart w:id="36" w:name="_Toc17782"/>
      <w:bookmarkStart w:id="37" w:name="_Toc12860"/>
      <w:bookmarkStart w:id="38" w:name="_Toc26109"/>
      <w:r>
        <w:rPr>
          <w:rFonts w:hint="eastAsia" w:ascii="黑体" w:hAnsi="黑体" w:eastAsia="黑体" w:cs="黑体"/>
          <w:b w:val="0"/>
          <w:bCs w:val="0"/>
          <w:color w:val="auto"/>
          <w:sz w:val="32"/>
          <w:szCs w:val="32"/>
          <w:lang w:val="en-US" w:eastAsia="zh-CN"/>
        </w:rPr>
        <w:t>二、项目实施情况</w:t>
      </w:r>
      <w:bookmarkEnd w:id="29"/>
      <w:bookmarkEnd w:id="30"/>
      <w:bookmarkEnd w:id="31"/>
      <w:bookmarkEnd w:id="32"/>
      <w:bookmarkEnd w:id="33"/>
      <w:bookmarkEnd w:id="34"/>
      <w:bookmarkEnd w:id="35"/>
      <w:bookmarkEnd w:id="36"/>
      <w:bookmarkEnd w:id="37"/>
      <w:bookmarkEnd w:id="38"/>
    </w:p>
    <w:p w14:paraId="6A45F51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val="0"/>
          <w:sz w:val="32"/>
          <w:szCs w:val="32"/>
          <w:lang w:val="en-US" w:eastAsia="zh-CN"/>
        </w:rPr>
      </w:pPr>
      <w:bookmarkStart w:id="39" w:name="_Toc22812"/>
      <w:bookmarkStart w:id="40" w:name="_Toc20844"/>
      <w:bookmarkStart w:id="41" w:name="_Toc17067"/>
      <w:bookmarkStart w:id="42" w:name="_Toc17743"/>
      <w:bookmarkStart w:id="43" w:name="_Toc4138"/>
      <w:bookmarkStart w:id="44" w:name="_Toc9227"/>
      <w:bookmarkStart w:id="45" w:name="_Toc10886"/>
      <w:bookmarkStart w:id="46" w:name="_Toc11365"/>
      <w:bookmarkStart w:id="47" w:name="_Toc13114"/>
      <w:bookmarkStart w:id="48" w:name="_Toc31876"/>
      <w:r>
        <w:rPr>
          <w:rFonts w:hint="eastAsia" w:ascii="楷体" w:hAnsi="楷体" w:eastAsia="楷体" w:cs="楷体"/>
          <w:b/>
          <w:bCs w:val="0"/>
          <w:sz w:val="32"/>
          <w:szCs w:val="32"/>
          <w:lang w:eastAsia="zh-CN"/>
        </w:rPr>
        <w:t>（一）</w:t>
      </w:r>
      <w:r>
        <w:rPr>
          <w:rFonts w:hint="eastAsia" w:ascii="楷体" w:hAnsi="楷体" w:eastAsia="楷体" w:cs="楷体"/>
          <w:b/>
          <w:bCs w:val="0"/>
          <w:sz w:val="32"/>
          <w:szCs w:val="32"/>
          <w:lang w:val="en-US" w:eastAsia="zh-CN"/>
        </w:rPr>
        <w:t>项目实施计划</w:t>
      </w:r>
    </w:p>
    <w:p w14:paraId="217E60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本项目已完工，并于2025年12月低资金拨付完毕。</w:t>
      </w:r>
    </w:p>
    <w:p w14:paraId="294B757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资金使用计划</w:t>
      </w:r>
    </w:p>
    <w:p w14:paraId="1B49663A">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根据项目进度，严格按照预算拨付</w:t>
      </w:r>
      <w:bookmarkStart w:id="99" w:name="_GoBack"/>
      <w:bookmarkEnd w:id="99"/>
      <w:r>
        <w:rPr>
          <w:rFonts w:hint="eastAsia" w:ascii="仿宋_GB2312" w:hAnsi="仿宋_GB2312" w:eastAsia="仿宋_GB2312" w:cs="仿宋_GB2312"/>
          <w:sz w:val="32"/>
          <w:szCs w:val="32"/>
          <w:lang w:val="en-US" w:eastAsia="zh-CN"/>
        </w:rPr>
        <w:t>资金。</w:t>
      </w:r>
    </w:p>
    <w:bookmarkEnd w:id="39"/>
    <w:bookmarkEnd w:id="40"/>
    <w:bookmarkEnd w:id="41"/>
    <w:bookmarkEnd w:id="42"/>
    <w:bookmarkEnd w:id="43"/>
    <w:bookmarkEnd w:id="44"/>
    <w:bookmarkEnd w:id="45"/>
    <w:bookmarkEnd w:id="46"/>
    <w:bookmarkEnd w:id="47"/>
    <w:bookmarkEnd w:id="48"/>
    <w:p w14:paraId="09A86C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0"/>
        <w:rPr>
          <w:rFonts w:hint="default"/>
          <w:lang w:val="en-US" w:eastAsia="zh-CN"/>
        </w:rPr>
      </w:pPr>
      <w:bookmarkStart w:id="49" w:name="_Toc12150"/>
      <w:bookmarkStart w:id="50" w:name="_Toc20904"/>
      <w:bookmarkStart w:id="51" w:name="_Toc5317"/>
      <w:bookmarkStart w:id="52" w:name="_Toc10651"/>
      <w:bookmarkStart w:id="53" w:name="_Toc26855"/>
      <w:bookmarkStart w:id="54" w:name="_Toc21501"/>
      <w:bookmarkStart w:id="55" w:name="_Toc5215"/>
      <w:bookmarkStart w:id="56" w:name="_Toc18915"/>
      <w:bookmarkStart w:id="57" w:name="_Toc29800"/>
      <w:bookmarkStart w:id="58" w:name="_Toc6451"/>
      <w:r>
        <w:rPr>
          <w:rFonts w:hint="eastAsia" w:ascii="黑体" w:hAnsi="黑体" w:eastAsia="黑体" w:cs="黑体"/>
          <w:b w:val="0"/>
          <w:bCs w:val="0"/>
          <w:color w:val="auto"/>
          <w:sz w:val="32"/>
          <w:szCs w:val="32"/>
          <w:lang w:val="en-US" w:eastAsia="zh-CN"/>
        </w:rPr>
        <w:t>三、绩效评价工作情况</w:t>
      </w:r>
      <w:bookmarkEnd w:id="49"/>
      <w:bookmarkEnd w:id="50"/>
      <w:bookmarkEnd w:id="51"/>
      <w:bookmarkEnd w:id="52"/>
      <w:bookmarkEnd w:id="53"/>
      <w:bookmarkEnd w:id="54"/>
      <w:bookmarkEnd w:id="55"/>
      <w:bookmarkEnd w:id="56"/>
      <w:bookmarkEnd w:id="57"/>
      <w:bookmarkEnd w:id="58"/>
    </w:p>
    <w:p w14:paraId="77B888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b w:val="0"/>
          <w:bCs w:val="0"/>
          <w:color w:val="auto"/>
          <w:sz w:val="32"/>
          <w:szCs w:val="32"/>
          <w:lang w:val="en-US" w:eastAsia="zh-CN"/>
        </w:rPr>
      </w:pPr>
      <w:bookmarkStart w:id="59" w:name="_Toc8077"/>
      <w:bookmarkStart w:id="60" w:name="_Toc25600"/>
      <w:bookmarkStart w:id="61" w:name="_Toc23608"/>
      <w:bookmarkStart w:id="62" w:name="_Toc4056"/>
      <w:bookmarkStart w:id="63" w:name="_Toc17355"/>
      <w:bookmarkStart w:id="64" w:name="_Toc5105"/>
      <w:bookmarkStart w:id="65" w:name="_Toc15730"/>
      <w:bookmarkStart w:id="66" w:name="_Toc7570"/>
      <w:bookmarkStart w:id="67" w:name="_Toc14742"/>
      <w:bookmarkStart w:id="68" w:name="_Toc22771"/>
      <w:r>
        <w:rPr>
          <w:rFonts w:hint="eastAsia" w:ascii="楷体" w:hAnsi="楷体" w:eastAsia="楷体" w:cs="楷体"/>
          <w:b/>
          <w:bCs/>
          <w:color w:val="auto"/>
          <w:sz w:val="32"/>
          <w:szCs w:val="32"/>
          <w:lang w:val="en-US" w:eastAsia="zh-CN"/>
        </w:rPr>
        <w:t>（一）评价目的</w:t>
      </w:r>
      <w:bookmarkEnd w:id="59"/>
      <w:bookmarkEnd w:id="60"/>
      <w:bookmarkEnd w:id="61"/>
      <w:bookmarkEnd w:id="62"/>
      <w:bookmarkEnd w:id="63"/>
      <w:bookmarkEnd w:id="64"/>
      <w:bookmarkEnd w:id="65"/>
      <w:bookmarkEnd w:id="66"/>
      <w:bookmarkEnd w:id="67"/>
      <w:bookmarkEnd w:id="68"/>
    </w:p>
    <w:p w14:paraId="39C31E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kern w:val="0"/>
          <w:sz w:val="32"/>
          <w:szCs w:val="32"/>
          <w:lang w:val="en-US" w:eastAsia="zh-CN"/>
        </w:rPr>
        <w:t>通过对冀财资环2023年98号提前下达2024年中央大气污染防治资金（农村地区清洁取暖任务运营补贴）的自评，保证项目立项规范，绩效目标合理、明确，且资金足额并及时到位，业务管理制度健全且制度的执行有效，财务制度健全且资金使用符合规定，资金支出规范，附件齐全，确保专款专用。</w:t>
      </w:r>
    </w:p>
    <w:p w14:paraId="4BD20C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1"/>
        <w:rPr>
          <w:rFonts w:hint="eastAsia" w:ascii="楷体" w:hAnsi="楷体" w:eastAsia="楷体" w:cs="楷体"/>
          <w:b/>
          <w:bCs/>
          <w:color w:val="auto"/>
          <w:sz w:val="32"/>
          <w:szCs w:val="32"/>
          <w:highlight w:val="none"/>
          <w:lang w:val="en-US" w:eastAsia="zh-CN"/>
        </w:rPr>
      </w:pPr>
      <w:bookmarkStart w:id="69" w:name="_Toc18502"/>
      <w:bookmarkStart w:id="70" w:name="_Toc25746"/>
      <w:bookmarkStart w:id="71" w:name="_Toc3910"/>
      <w:bookmarkStart w:id="72" w:name="_Toc30351"/>
      <w:bookmarkStart w:id="73" w:name="_Toc22727"/>
      <w:bookmarkStart w:id="74" w:name="_Toc16121"/>
      <w:bookmarkStart w:id="75" w:name="_Toc27346"/>
      <w:bookmarkStart w:id="76" w:name="_Toc16971"/>
      <w:bookmarkStart w:id="77" w:name="_Toc8288"/>
      <w:bookmarkStart w:id="78" w:name="_Toc27199"/>
      <w:r>
        <w:rPr>
          <w:rFonts w:hint="eastAsia" w:ascii="楷体" w:hAnsi="楷体" w:eastAsia="楷体" w:cs="楷体"/>
          <w:b/>
          <w:bCs/>
          <w:color w:val="auto"/>
          <w:sz w:val="32"/>
          <w:szCs w:val="32"/>
          <w:highlight w:val="none"/>
          <w:lang w:val="en-US" w:eastAsia="zh-CN"/>
        </w:rPr>
        <w:t>（二）评价指标</w:t>
      </w:r>
      <w:bookmarkEnd w:id="69"/>
      <w:bookmarkEnd w:id="70"/>
      <w:bookmarkEnd w:id="71"/>
      <w:bookmarkEnd w:id="72"/>
      <w:bookmarkEnd w:id="73"/>
      <w:bookmarkEnd w:id="74"/>
      <w:bookmarkEnd w:id="75"/>
      <w:bookmarkEnd w:id="76"/>
      <w:bookmarkEnd w:id="77"/>
      <w:bookmarkEnd w:id="78"/>
    </w:p>
    <w:p w14:paraId="6644A4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kern w:val="0"/>
          <w:sz w:val="32"/>
          <w:szCs w:val="32"/>
          <w:lang w:val="en-US" w:eastAsia="zh-CN"/>
        </w:rPr>
        <w:t>为提高项目资金的使用效率，设置了合理的评价指标和标准，评价指标基本予以量化，从数量指标、质量指标、时效指标、成本指标、可持续影响指标，社会效益指标等权重分配合理。</w:t>
      </w:r>
    </w:p>
    <w:p w14:paraId="56DC13B9">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textAlignment w:val="auto"/>
        <w:outlineLvl w:val="1"/>
        <w:rPr>
          <w:rFonts w:hint="eastAsia" w:ascii="楷体" w:hAnsi="楷体" w:eastAsia="楷体" w:cs="楷体"/>
          <w:b/>
          <w:bCs/>
          <w:color w:val="auto"/>
          <w:sz w:val="32"/>
          <w:szCs w:val="32"/>
          <w:lang w:val="en-US" w:eastAsia="zh-CN"/>
        </w:rPr>
      </w:pPr>
      <w:bookmarkStart w:id="79" w:name="_Toc5304"/>
      <w:bookmarkStart w:id="80" w:name="_Toc32241"/>
      <w:bookmarkStart w:id="81" w:name="_Toc12572"/>
      <w:bookmarkStart w:id="82" w:name="_Toc11684"/>
      <w:bookmarkStart w:id="83" w:name="_Toc5587"/>
      <w:bookmarkStart w:id="84" w:name="_Toc23270"/>
      <w:bookmarkStart w:id="85" w:name="_Toc32306"/>
      <w:bookmarkStart w:id="86" w:name="_Toc19068"/>
      <w:bookmarkStart w:id="87" w:name="_Toc25343"/>
      <w:bookmarkStart w:id="88" w:name="_Toc19154"/>
      <w:r>
        <w:rPr>
          <w:rFonts w:hint="eastAsia" w:ascii="楷体" w:hAnsi="楷体" w:eastAsia="楷体" w:cs="楷体"/>
          <w:b/>
          <w:bCs/>
          <w:color w:val="auto"/>
          <w:sz w:val="32"/>
          <w:szCs w:val="32"/>
          <w:lang w:val="en-US" w:eastAsia="zh-CN"/>
        </w:rPr>
        <w:t>评价依据</w:t>
      </w:r>
      <w:bookmarkEnd w:id="79"/>
      <w:bookmarkEnd w:id="80"/>
      <w:bookmarkEnd w:id="81"/>
      <w:bookmarkEnd w:id="82"/>
      <w:bookmarkEnd w:id="83"/>
      <w:bookmarkEnd w:id="84"/>
      <w:bookmarkEnd w:id="85"/>
      <w:bookmarkEnd w:id="86"/>
      <w:bookmarkEnd w:id="87"/>
      <w:bookmarkEnd w:id="88"/>
    </w:p>
    <w:p w14:paraId="6DD655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依据《巨鹿县县级部门绩效自评管理办法》、《巨鹿县县级财政重点绩效评价管理办法》（巨财[2019]137号）相关规定要求。</w:t>
      </w:r>
    </w:p>
    <w:p w14:paraId="0EF02D2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sz w:val="32"/>
          <w:szCs w:val="32"/>
          <w:lang w:val="en-US" w:eastAsia="zh-CN"/>
        </w:rPr>
      </w:pPr>
      <w:bookmarkStart w:id="89" w:name="_Toc9401"/>
      <w:bookmarkStart w:id="90" w:name="_Toc24302"/>
      <w:bookmarkStart w:id="91" w:name="_Toc22038"/>
      <w:bookmarkStart w:id="92" w:name="_Toc26780"/>
      <w:bookmarkStart w:id="93" w:name="_Toc11243"/>
      <w:bookmarkStart w:id="94" w:name="_Toc6747"/>
      <w:bookmarkStart w:id="95" w:name="_Toc13179"/>
      <w:bookmarkStart w:id="96" w:name="_Toc12940"/>
      <w:bookmarkStart w:id="97" w:name="_Toc1868"/>
      <w:bookmarkStart w:id="98" w:name="_Toc7393"/>
      <w:r>
        <w:rPr>
          <w:rFonts w:hint="eastAsia" w:ascii="楷体" w:hAnsi="楷体" w:eastAsia="楷体" w:cs="楷体"/>
          <w:b/>
          <w:bCs/>
          <w:color w:val="auto"/>
          <w:sz w:val="32"/>
          <w:szCs w:val="32"/>
          <w:lang w:val="en-US" w:eastAsia="zh-CN"/>
        </w:rPr>
        <w:t>（四）评价的主要方法及等级设定</w:t>
      </w:r>
      <w:bookmarkEnd w:id="89"/>
      <w:bookmarkEnd w:id="90"/>
      <w:bookmarkEnd w:id="91"/>
      <w:bookmarkEnd w:id="92"/>
      <w:bookmarkEnd w:id="93"/>
      <w:bookmarkEnd w:id="94"/>
      <w:bookmarkEnd w:id="95"/>
      <w:bookmarkEnd w:id="96"/>
      <w:bookmarkEnd w:id="97"/>
      <w:bookmarkEnd w:id="98"/>
    </w:p>
    <w:p w14:paraId="3BD874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zh-CN" w:eastAsia="zh-CN"/>
        </w:rPr>
      </w:pPr>
      <w:r>
        <w:rPr>
          <w:rFonts w:hint="eastAsia" w:ascii="仿宋_GB2312" w:hAnsi="仿宋_GB2312" w:eastAsia="仿宋_GB2312" w:cs="仿宋_GB2312"/>
          <w:kern w:val="0"/>
          <w:sz w:val="32"/>
          <w:szCs w:val="32"/>
          <w:lang w:val="en-US" w:eastAsia="zh-CN"/>
        </w:rPr>
        <w:t>成立了由主管财务局长任组长，市政股、财务室、清洁取暖办、村镇股、住房保障股等为成员单位的自评工作小组，对</w:t>
      </w:r>
      <w:r>
        <w:rPr>
          <w:rFonts w:hint="eastAsia" w:ascii="仿宋_GB2312" w:hAnsi="仿宋_GB2312" w:eastAsia="仿宋_GB2312" w:cs="仿宋_GB2312"/>
          <w:kern w:val="0"/>
          <w:sz w:val="32"/>
          <w:szCs w:val="32"/>
          <w:lang w:val="zh-CN" w:eastAsia="zh-CN"/>
        </w:rPr>
        <w:t>报送的自评报告、相关会计凭证、合同等证据材料的完整性、及时性、有效性进行审核，重点审核目标设置科学性、资金分配合理性、管理办法可行性、绩效目标实现程度等。</w:t>
      </w:r>
    </w:p>
    <w:p w14:paraId="7D4F22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根据项目实施情况，设定评扣分标准，分别从项目完成情况、创造社会效益、受益群众满意度等方面综合评为优秀、一般、较差三个等级。</w:t>
      </w:r>
    </w:p>
    <w:p w14:paraId="00E3E5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b w:val="0"/>
          <w:bCs w:val="0"/>
          <w:sz w:val="32"/>
          <w:szCs w:val="32"/>
          <w:lang w:val="en-US" w:eastAsia="zh-CN"/>
        </w:rPr>
      </w:pPr>
      <w:r>
        <w:rPr>
          <w:rFonts w:hint="eastAsia" w:ascii="黑体" w:hAnsi="黑体" w:eastAsia="黑体" w:cs="黑体"/>
          <w:b w:val="0"/>
          <w:bCs w:val="0"/>
          <w:color w:val="auto"/>
          <w:sz w:val="32"/>
          <w:szCs w:val="32"/>
          <w:lang w:val="en-US" w:eastAsia="zh-CN"/>
        </w:rPr>
        <w:t>四、绩效评价指标体系及得分情况</w:t>
      </w:r>
    </w:p>
    <w:p w14:paraId="326F076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eastAsia" w:ascii="仿宋_GB2312" w:hAnsi="仿宋_GB2312" w:eastAsia="仿宋_GB2312" w:cs="仿宋_GB2312"/>
          <w:b/>
          <w:i w:val="0"/>
          <w:color w:val="000000"/>
          <w:kern w:val="0"/>
          <w:sz w:val="32"/>
          <w:szCs w:val="32"/>
          <w:u w:val="none"/>
          <w:lang w:val="en-US" w:eastAsia="zh-CN" w:bidi="ar"/>
        </w:rPr>
      </w:pPr>
      <w:r>
        <w:rPr>
          <w:rFonts w:hint="eastAsia" w:ascii="仿宋_GB2312" w:hAnsi="仿宋_GB2312" w:eastAsia="仿宋_GB2312" w:cs="仿宋_GB2312"/>
          <w:b/>
          <w:i w:val="0"/>
          <w:color w:val="000000"/>
          <w:kern w:val="0"/>
          <w:sz w:val="32"/>
          <w:szCs w:val="32"/>
          <w:u w:val="none"/>
          <w:lang w:val="en-US" w:eastAsia="zh-CN" w:bidi="ar"/>
        </w:rPr>
        <w:t>冀财资环2023年98号提前下达2024年中央大气污染防治资金（农村地区清洁取暖任务运营补贴）</w:t>
      </w:r>
    </w:p>
    <w:p w14:paraId="485CDF3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eastAsia" w:ascii="黑体" w:hAnsi="黑体" w:eastAsia="黑体" w:cs="黑体"/>
          <w:b w:val="0"/>
          <w:bCs w:val="0"/>
          <w:color w:val="auto"/>
          <w:sz w:val="32"/>
          <w:szCs w:val="32"/>
          <w:lang w:val="en-US" w:eastAsia="zh-CN"/>
        </w:rPr>
      </w:pPr>
      <w:r>
        <w:rPr>
          <w:rFonts w:hint="eastAsia" w:ascii="仿宋_GB2312" w:hAnsi="仿宋_GB2312" w:eastAsia="仿宋_GB2312" w:cs="仿宋_GB2312"/>
          <w:b/>
          <w:i w:val="0"/>
          <w:color w:val="000000"/>
          <w:kern w:val="0"/>
          <w:sz w:val="32"/>
          <w:szCs w:val="32"/>
          <w:u w:val="none"/>
          <w:lang w:val="en-US" w:eastAsia="zh-CN" w:bidi="ar"/>
        </w:rPr>
        <w:t>财政重点绩效自评指标表</w:t>
      </w:r>
    </w:p>
    <w:tbl>
      <w:tblPr>
        <w:tblStyle w:val="7"/>
        <w:tblW w:w="90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8"/>
        <w:gridCol w:w="674"/>
        <w:gridCol w:w="2083"/>
        <w:gridCol w:w="545"/>
        <w:gridCol w:w="3557"/>
        <w:gridCol w:w="1206"/>
      </w:tblGrid>
      <w:tr w14:paraId="02B2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trPr>
        <w:tc>
          <w:tcPr>
            <w:tcW w:w="958" w:type="dxa"/>
            <w:noWrap w:val="0"/>
            <w:tcMar>
              <w:top w:w="12" w:type="dxa"/>
              <w:left w:w="12" w:type="dxa"/>
              <w:right w:w="12" w:type="dxa"/>
            </w:tcMar>
            <w:vAlign w:val="center"/>
          </w:tcPr>
          <w:p w14:paraId="29CE2CAB">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 xml:space="preserve">一级指标  </w:t>
            </w:r>
          </w:p>
        </w:tc>
        <w:tc>
          <w:tcPr>
            <w:tcW w:w="674" w:type="dxa"/>
            <w:noWrap w:val="0"/>
            <w:tcMar>
              <w:top w:w="12" w:type="dxa"/>
              <w:left w:w="12" w:type="dxa"/>
              <w:right w:w="12" w:type="dxa"/>
            </w:tcMar>
            <w:vAlign w:val="center"/>
          </w:tcPr>
          <w:p w14:paraId="5A381E33">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二级指标</w:t>
            </w:r>
          </w:p>
        </w:tc>
        <w:tc>
          <w:tcPr>
            <w:tcW w:w="2083" w:type="dxa"/>
            <w:noWrap w:val="0"/>
            <w:tcMar>
              <w:top w:w="12" w:type="dxa"/>
              <w:left w:w="12" w:type="dxa"/>
              <w:right w:w="12" w:type="dxa"/>
            </w:tcMar>
            <w:vAlign w:val="center"/>
          </w:tcPr>
          <w:p w14:paraId="4A2638F7">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 xml:space="preserve"> 三级指标</w:t>
            </w:r>
          </w:p>
        </w:tc>
        <w:tc>
          <w:tcPr>
            <w:tcW w:w="545" w:type="dxa"/>
            <w:vMerge w:val="restart"/>
            <w:noWrap w:val="0"/>
            <w:tcMar>
              <w:top w:w="12" w:type="dxa"/>
              <w:left w:w="12" w:type="dxa"/>
              <w:right w:w="12" w:type="dxa"/>
            </w:tcMar>
            <w:vAlign w:val="center"/>
          </w:tcPr>
          <w:p w14:paraId="2A99DBF8">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分值</w:t>
            </w:r>
          </w:p>
        </w:tc>
        <w:tc>
          <w:tcPr>
            <w:tcW w:w="3557" w:type="dxa"/>
            <w:vMerge w:val="restart"/>
            <w:noWrap w:val="0"/>
            <w:tcMar>
              <w:top w:w="12" w:type="dxa"/>
              <w:left w:w="12" w:type="dxa"/>
              <w:right w:w="12" w:type="dxa"/>
            </w:tcMar>
            <w:vAlign w:val="center"/>
          </w:tcPr>
          <w:p w14:paraId="037404A3">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指标说明</w:t>
            </w:r>
          </w:p>
        </w:tc>
        <w:tc>
          <w:tcPr>
            <w:tcW w:w="1206" w:type="dxa"/>
            <w:vMerge w:val="restart"/>
            <w:noWrap w:val="0"/>
            <w:tcMar>
              <w:top w:w="12" w:type="dxa"/>
              <w:left w:w="12" w:type="dxa"/>
              <w:right w:w="12" w:type="dxa"/>
            </w:tcMar>
            <w:vAlign w:val="center"/>
          </w:tcPr>
          <w:p w14:paraId="023835B9">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得分</w:t>
            </w:r>
          </w:p>
        </w:tc>
      </w:tr>
      <w:tr w14:paraId="6C1C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trPr>
        <w:tc>
          <w:tcPr>
            <w:tcW w:w="958" w:type="dxa"/>
            <w:noWrap w:val="0"/>
            <w:tcMar>
              <w:top w:w="12" w:type="dxa"/>
              <w:left w:w="12" w:type="dxa"/>
              <w:right w:w="12" w:type="dxa"/>
            </w:tcMar>
            <w:vAlign w:val="center"/>
          </w:tcPr>
          <w:p w14:paraId="50E05BFF">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名称</w:t>
            </w:r>
          </w:p>
        </w:tc>
        <w:tc>
          <w:tcPr>
            <w:tcW w:w="674" w:type="dxa"/>
            <w:noWrap w:val="0"/>
            <w:tcMar>
              <w:top w:w="12" w:type="dxa"/>
              <w:left w:w="12" w:type="dxa"/>
              <w:right w:w="12" w:type="dxa"/>
            </w:tcMar>
            <w:vAlign w:val="center"/>
          </w:tcPr>
          <w:p w14:paraId="17681BDA">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名称</w:t>
            </w:r>
          </w:p>
        </w:tc>
        <w:tc>
          <w:tcPr>
            <w:tcW w:w="2083" w:type="dxa"/>
            <w:noWrap w:val="0"/>
            <w:tcMar>
              <w:top w:w="12" w:type="dxa"/>
              <w:left w:w="12" w:type="dxa"/>
              <w:right w:w="12" w:type="dxa"/>
            </w:tcMar>
            <w:vAlign w:val="center"/>
          </w:tcPr>
          <w:p w14:paraId="10A3E3B0">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名称</w:t>
            </w:r>
          </w:p>
        </w:tc>
        <w:tc>
          <w:tcPr>
            <w:tcW w:w="545" w:type="dxa"/>
            <w:vMerge w:val="continue"/>
            <w:noWrap w:val="0"/>
            <w:tcMar>
              <w:top w:w="12" w:type="dxa"/>
              <w:left w:w="12" w:type="dxa"/>
              <w:right w:w="12" w:type="dxa"/>
            </w:tcMar>
            <w:vAlign w:val="center"/>
          </w:tcPr>
          <w:p w14:paraId="2EBAA824">
            <w:pPr>
              <w:jc w:val="center"/>
              <w:rPr>
                <w:rFonts w:hint="eastAsia" w:ascii="仿宋_GB2312" w:hAnsi="仿宋_GB2312" w:eastAsia="仿宋_GB2312" w:cs="仿宋_GB2312"/>
                <w:b/>
                <w:i w:val="0"/>
                <w:color w:val="000000"/>
                <w:sz w:val="24"/>
                <w:szCs w:val="24"/>
                <w:u w:val="none"/>
              </w:rPr>
            </w:pPr>
          </w:p>
        </w:tc>
        <w:tc>
          <w:tcPr>
            <w:tcW w:w="3557" w:type="dxa"/>
            <w:vMerge w:val="continue"/>
            <w:noWrap w:val="0"/>
            <w:tcMar>
              <w:top w:w="12" w:type="dxa"/>
              <w:left w:w="12" w:type="dxa"/>
              <w:right w:w="12" w:type="dxa"/>
            </w:tcMar>
            <w:vAlign w:val="center"/>
          </w:tcPr>
          <w:p w14:paraId="168187BF">
            <w:pPr>
              <w:jc w:val="center"/>
              <w:rPr>
                <w:rFonts w:hint="eastAsia" w:ascii="仿宋_GB2312" w:hAnsi="仿宋_GB2312" w:eastAsia="仿宋_GB2312" w:cs="仿宋_GB2312"/>
                <w:b/>
                <w:i w:val="0"/>
                <w:color w:val="000000"/>
                <w:sz w:val="24"/>
                <w:szCs w:val="24"/>
                <w:u w:val="none"/>
              </w:rPr>
            </w:pPr>
          </w:p>
        </w:tc>
        <w:tc>
          <w:tcPr>
            <w:tcW w:w="1206" w:type="dxa"/>
            <w:vMerge w:val="continue"/>
            <w:noWrap w:val="0"/>
            <w:tcMar>
              <w:top w:w="12" w:type="dxa"/>
              <w:left w:w="12" w:type="dxa"/>
              <w:right w:w="12" w:type="dxa"/>
            </w:tcMar>
            <w:vAlign w:val="center"/>
          </w:tcPr>
          <w:p w14:paraId="3502B43C">
            <w:pPr>
              <w:jc w:val="center"/>
              <w:rPr>
                <w:rFonts w:hint="eastAsia" w:ascii="仿宋_GB2312" w:hAnsi="仿宋_GB2312" w:eastAsia="仿宋_GB2312" w:cs="仿宋_GB2312"/>
                <w:b/>
                <w:i w:val="0"/>
                <w:color w:val="000000"/>
                <w:sz w:val="24"/>
                <w:szCs w:val="24"/>
                <w:u w:val="none"/>
              </w:rPr>
            </w:pPr>
          </w:p>
        </w:tc>
      </w:tr>
      <w:tr w14:paraId="2715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4" w:hRule="atLeast"/>
        </w:trPr>
        <w:tc>
          <w:tcPr>
            <w:tcW w:w="958" w:type="dxa"/>
            <w:vMerge w:val="restart"/>
            <w:noWrap w:val="0"/>
            <w:tcMar>
              <w:top w:w="12" w:type="dxa"/>
              <w:left w:w="12" w:type="dxa"/>
              <w:right w:w="12" w:type="dxa"/>
            </w:tcMar>
            <w:vAlign w:val="center"/>
          </w:tcPr>
          <w:p w14:paraId="5131A866">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“工作活动”设置（*分）</w:t>
            </w:r>
          </w:p>
        </w:tc>
        <w:tc>
          <w:tcPr>
            <w:tcW w:w="674" w:type="dxa"/>
            <w:vMerge w:val="restart"/>
            <w:noWrap w:val="0"/>
            <w:tcMar>
              <w:top w:w="12" w:type="dxa"/>
              <w:left w:w="12" w:type="dxa"/>
              <w:right w:w="12" w:type="dxa"/>
            </w:tcMar>
            <w:vAlign w:val="center"/>
          </w:tcPr>
          <w:p w14:paraId="317BBFA8">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项目立项情况</w:t>
            </w:r>
          </w:p>
        </w:tc>
        <w:tc>
          <w:tcPr>
            <w:tcW w:w="2083" w:type="dxa"/>
            <w:noWrap w:val="0"/>
            <w:tcMar>
              <w:top w:w="12" w:type="dxa"/>
              <w:left w:w="12" w:type="dxa"/>
              <w:right w:w="12" w:type="dxa"/>
            </w:tcMar>
            <w:vAlign w:val="center"/>
          </w:tcPr>
          <w:p w14:paraId="5896DAD5">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是否符合市政府经济和社会总体发展规划</w:t>
            </w:r>
          </w:p>
        </w:tc>
        <w:tc>
          <w:tcPr>
            <w:tcW w:w="545" w:type="dxa"/>
            <w:noWrap w:val="0"/>
            <w:tcMar>
              <w:top w:w="12" w:type="dxa"/>
              <w:left w:w="12" w:type="dxa"/>
              <w:right w:w="12" w:type="dxa"/>
            </w:tcMar>
            <w:vAlign w:val="center"/>
          </w:tcPr>
          <w:p w14:paraId="0B15B218">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5</w:t>
            </w:r>
          </w:p>
        </w:tc>
        <w:tc>
          <w:tcPr>
            <w:tcW w:w="3557" w:type="dxa"/>
            <w:noWrap w:val="0"/>
            <w:tcMar>
              <w:top w:w="12" w:type="dxa"/>
              <w:left w:w="12" w:type="dxa"/>
              <w:right w:w="12" w:type="dxa"/>
            </w:tcMar>
            <w:vAlign w:val="center"/>
          </w:tcPr>
          <w:p w14:paraId="2CE821D5">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有市政府相关政策、规划、任务等文件得*分；无不得分。</w:t>
            </w:r>
          </w:p>
        </w:tc>
        <w:tc>
          <w:tcPr>
            <w:tcW w:w="1206" w:type="dxa"/>
            <w:noWrap w:val="0"/>
            <w:tcMar>
              <w:top w:w="12" w:type="dxa"/>
              <w:left w:w="12" w:type="dxa"/>
              <w:right w:w="12" w:type="dxa"/>
            </w:tcMar>
            <w:vAlign w:val="center"/>
          </w:tcPr>
          <w:p w14:paraId="74EEF6FE">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 xml:space="preserve">5 </w:t>
            </w:r>
          </w:p>
        </w:tc>
      </w:tr>
      <w:tr w14:paraId="0EB7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9" w:hRule="atLeast"/>
        </w:trPr>
        <w:tc>
          <w:tcPr>
            <w:tcW w:w="958" w:type="dxa"/>
            <w:vMerge w:val="continue"/>
            <w:noWrap w:val="0"/>
            <w:tcMar>
              <w:top w:w="12" w:type="dxa"/>
              <w:left w:w="12" w:type="dxa"/>
              <w:right w:w="12" w:type="dxa"/>
            </w:tcMar>
            <w:vAlign w:val="center"/>
          </w:tcPr>
          <w:p w14:paraId="0D017D34">
            <w:pPr>
              <w:jc w:val="center"/>
              <w:rPr>
                <w:rFonts w:hint="eastAsia" w:ascii="仿宋_GB2312" w:hAnsi="仿宋_GB2312" w:eastAsia="仿宋_GB2312" w:cs="仿宋_GB2312"/>
                <w:i w:val="0"/>
                <w:color w:val="000000"/>
                <w:sz w:val="20"/>
                <w:szCs w:val="20"/>
                <w:u w:val="none"/>
              </w:rPr>
            </w:pPr>
          </w:p>
        </w:tc>
        <w:tc>
          <w:tcPr>
            <w:tcW w:w="674" w:type="dxa"/>
            <w:vMerge w:val="continue"/>
            <w:noWrap w:val="0"/>
            <w:tcMar>
              <w:top w:w="12" w:type="dxa"/>
              <w:left w:w="12" w:type="dxa"/>
              <w:right w:w="12" w:type="dxa"/>
            </w:tcMar>
            <w:vAlign w:val="center"/>
          </w:tcPr>
          <w:p w14:paraId="027BE409">
            <w:pPr>
              <w:jc w:val="center"/>
              <w:rPr>
                <w:rFonts w:hint="eastAsia" w:ascii="仿宋_GB2312" w:hAnsi="仿宋_GB2312" w:eastAsia="仿宋_GB2312" w:cs="仿宋_GB2312"/>
                <w:i w:val="0"/>
                <w:color w:val="000000"/>
                <w:sz w:val="20"/>
                <w:szCs w:val="20"/>
                <w:u w:val="none"/>
              </w:rPr>
            </w:pPr>
          </w:p>
        </w:tc>
        <w:tc>
          <w:tcPr>
            <w:tcW w:w="2083" w:type="dxa"/>
            <w:noWrap w:val="0"/>
            <w:tcMar>
              <w:top w:w="12" w:type="dxa"/>
              <w:left w:w="12" w:type="dxa"/>
              <w:right w:w="12" w:type="dxa"/>
            </w:tcMar>
            <w:vAlign w:val="center"/>
          </w:tcPr>
          <w:p w14:paraId="728408D6">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项目活动与职责相关性</w:t>
            </w:r>
          </w:p>
        </w:tc>
        <w:tc>
          <w:tcPr>
            <w:tcW w:w="545" w:type="dxa"/>
            <w:noWrap w:val="0"/>
            <w:tcMar>
              <w:top w:w="12" w:type="dxa"/>
              <w:left w:w="12" w:type="dxa"/>
              <w:right w:w="12" w:type="dxa"/>
            </w:tcMar>
            <w:vAlign w:val="center"/>
          </w:tcPr>
          <w:p w14:paraId="12EE0E0A">
            <w:pPr>
              <w:keepNext w:val="0"/>
              <w:keepLines w:val="0"/>
              <w:widowControl/>
              <w:suppressLineNumbers w:val="0"/>
              <w:jc w:val="center"/>
              <w:textAlignment w:val="center"/>
              <w:rPr>
                <w:rFonts w:hint="default"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10</w:t>
            </w:r>
          </w:p>
        </w:tc>
        <w:tc>
          <w:tcPr>
            <w:tcW w:w="3557" w:type="dxa"/>
            <w:noWrap w:val="0"/>
            <w:tcMar>
              <w:top w:w="12" w:type="dxa"/>
              <w:left w:w="12" w:type="dxa"/>
              <w:right w:w="12" w:type="dxa"/>
            </w:tcMar>
            <w:vAlign w:val="center"/>
          </w:tcPr>
          <w:p w14:paraId="5912E170">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工作活动与部门职责、工作规划和重点工作相关，工作活动项下确定的预算项目合理，与工作活动密切相关，工作活动和项目预算安排合理，得*分；否则不得分。</w:t>
            </w:r>
          </w:p>
        </w:tc>
        <w:tc>
          <w:tcPr>
            <w:tcW w:w="1206" w:type="dxa"/>
            <w:noWrap w:val="0"/>
            <w:tcMar>
              <w:top w:w="12" w:type="dxa"/>
              <w:left w:w="12" w:type="dxa"/>
              <w:right w:w="12" w:type="dxa"/>
            </w:tcMar>
            <w:vAlign w:val="center"/>
          </w:tcPr>
          <w:p w14:paraId="4F5424A1">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 xml:space="preserve">10 </w:t>
            </w:r>
          </w:p>
        </w:tc>
      </w:tr>
      <w:tr w14:paraId="6B85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5" w:hRule="atLeast"/>
        </w:trPr>
        <w:tc>
          <w:tcPr>
            <w:tcW w:w="958" w:type="dxa"/>
            <w:vMerge w:val="continue"/>
            <w:noWrap w:val="0"/>
            <w:tcMar>
              <w:top w:w="12" w:type="dxa"/>
              <w:left w:w="12" w:type="dxa"/>
              <w:right w:w="12" w:type="dxa"/>
            </w:tcMar>
            <w:vAlign w:val="center"/>
          </w:tcPr>
          <w:p w14:paraId="04D3883D">
            <w:pPr>
              <w:jc w:val="center"/>
              <w:rPr>
                <w:rFonts w:hint="eastAsia" w:ascii="仿宋_GB2312" w:hAnsi="仿宋_GB2312" w:eastAsia="仿宋_GB2312" w:cs="仿宋_GB2312"/>
                <w:i w:val="0"/>
                <w:color w:val="000000"/>
                <w:sz w:val="20"/>
                <w:szCs w:val="20"/>
                <w:u w:val="none"/>
              </w:rPr>
            </w:pPr>
          </w:p>
        </w:tc>
        <w:tc>
          <w:tcPr>
            <w:tcW w:w="674" w:type="dxa"/>
            <w:vMerge w:val="restart"/>
            <w:noWrap w:val="0"/>
            <w:tcMar>
              <w:top w:w="12" w:type="dxa"/>
              <w:left w:w="12" w:type="dxa"/>
              <w:right w:w="12" w:type="dxa"/>
            </w:tcMar>
            <w:vAlign w:val="center"/>
          </w:tcPr>
          <w:p w14:paraId="4C2F3A5D">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绩效自评情况</w:t>
            </w:r>
          </w:p>
        </w:tc>
        <w:tc>
          <w:tcPr>
            <w:tcW w:w="2083" w:type="dxa"/>
            <w:noWrap w:val="0"/>
            <w:tcMar>
              <w:top w:w="12" w:type="dxa"/>
              <w:left w:w="12" w:type="dxa"/>
              <w:right w:w="12" w:type="dxa"/>
            </w:tcMar>
            <w:vAlign w:val="center"/>
          </w:tcPr>
          <w:p w14:paraId="27A15D23">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项目设立绩效目标合理性</w:t>
            </w:r>
          </w:p>
        </w:tc>
        <w:tc>
          <w:tcPr>
            <w:tcW w:w="545" w:type="dxa"/>
            <w:noWrap w:val="0"/>
            <w:tcMar>
              <w:top w:w="12" w:type="dxa"/>
              <w:left w:w="12" w:type="dxa"/>
              <w:right w:w="12" w:type="dxa"/>
            </w:tcMar>
            <w:vAlign w:val="center"/>
          </w:tcPr>
          <w:p w14:paraId="78F5E6AC">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8</w:t>
            </w:r>
          </w:p>
        </w:tc>
        <w:tc>
          <w:tcPr>
            <w:tcW w:w="3557" w:type="dxa"/>
            <w:noWrap w:val="0"/>
            <w:tcMar>
              <w:top w:w="12" w:type="dxa"/>
              <w:left w:w="12" w:type="dxa"/>
              <w:right w:w="12" w:type="dxa"/>
            </w:tcMar>
            <w:vAlign w:val="center"/>
          </w:tcPr>
          <w:p w14:paraId="78C07DF9">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①是否将项目绩效目标细化分解为具体的绩效指标；</w:t>
            </w:r>
          </w:p>
          <w:p w14:paraId="442B3DFD">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②是否通过清晰、可衡量的指标值予以体现；</w:t>
            </w:r>
          </w:p>
          <w:p w14:paraId="0B9D2C98">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③是否与项目年度任务数或计划数相对应；</w:t>
            </w:r>
          </w:p>
          <w:p w14:paraId="7577ABD9">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④是否与预算确定的项目投资额或资金量相匹配。</w:t>
            </w:r>
          </w:p>
          <w:p w14:paraId="0646FD4A">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缺少一项扣*分,扣完为止。</w:t>
            </w:r>
          </w:p>
        </w:tc>
        <w:tc>
          <w:tcPr>
            <w:tcW w:w="1206" w:type="dxa"/>
            <w:noWrap w:val="0"/>
            <w:tcMar>
              <w:top w:w="12" w:type="dxa"/>
              <w:left w:w="12" w:type="dxa"/>
              <w:right w:w="12" w:type="dxa"/>
            </w:tcMar>
            <w:vAlign w:val="center"/>
          </w:tcPr>
          <w:p w14:paraId="6172BDA3">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 xml:space="preserve">8 </w:t>
            </w:r>
          </w:p>
        </w:tc>
      </w:tr>
      <w:tr w14:paraId="03B4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4" w:hRule="atLeast"/>
        </w:trPr>
        <w:tc>
          <w:tcPr>
            <w:tcW w:w="958" w:type="dxa"/>
            <w:vMerge w:val="continue"/>
            <w:noWrap w:val="0"/>
            <w:tcMar>
              <w:top w:w="12" w:type="dxa"/>
              <w:left w:w="12" w:type="dxa"/>
              <w:right w:w="12" w:type="dxa"/>
            </w:tcMar>
            <w:vAlign w:val="center"/>
          </w:tcPr>
          <w:p w14:paraId="5C91CE0F">
            <w:pPr>
              <w:jc w:val="center"/>
              <w:rPr>
                <w:rFonts w:hint="eastAsia" w:ascii="仿宋_GB2312" w:hAnsi="仿宋_GB2312" w:eastAsia="仿宋_GB2312" w:cs="仿宋_GB2312"/>
                <w:i w:val="0"/>
                <w:color w:val="000000"/>
                <w:sz w:val="20"/>
                <w:szCs w:val="20"/>
                <w:u w:val="none"/>
              </w:rPr>
            </w:pPr>
          </w:p>
        </w:tc>
        <w:tc>
          <w:tcPr>
            <w:tcW w:w="674" w:type="dxa"/>
            <w:vMerge w:val="continue"/>
            <w:noWrap w:val="0"/>
            <w:tcMar>
              <w:top w:w="12" w:type="dxa"/>
              <w:left w:w="12" w:type="dxa"/>
              <w:right w:w="12" w:type="dxa"/>
            </w:tcMar>
            <w:vAlign w:val="center"/>
          </w:tcPr>
          <w:p w14:paraId="6C9D1CFE">
            <w:pPr>
              <w:jc w:val="center"/>
              <w:rPr>
                <w:rFonts w:hint="eastAsia" w:ascii="仿宋_GB2312" w:hAnsi="仿宋_GB2312" w:eastAsia="仿宋_GB2312" w:cs="仿宋_GB2312"/>
                <w:i w:val="0"/>
                <w:color w:val="000000"/>
                <w:sz w:val="20"/>
                <w:szCs w:val="20"/>
                <w:u w:val="none"/>
              </w:rPr>
            </w:pPr>
          </w:p>
        </w:tc>
        <w:tc>
          <w:tcPr>
            <w:tcW w:w="2083" w:type="dxa"/>
            <w:noWrap w:val="0"/>
            <w:tcMar>
              <w:top w:w="12" w:type="dxa"/>
              <w:left w:w="12" w:type="dxa"/>
              <w:right w:w="12" w:type="dxa"/>
            </w:tcMar>
            <w:vAlign w:val="center"/>
          </w:tcPr>
          <w:p w14:paraId="1E7CB342">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自评报告情况</w:t>
            </w:r>
          </w:p>
        </w:tc>
        <w:tc>
          <w:tcPr>
            <w:tcW w:w="545" w:type="dxa"/>
            <w:noWrap w:val="0"/>
            <w:tcMar>
              <w:top w:w="12" w:type="dxa"/>
              <w:left w:w="12" w:type="dxa"/>
              <w:right w:w="12" w:type="dxa"/>
            </w:tcMar>
            <w:vAlign w:val="center"/>
          </w:tcPr>
          <w:p w14:paraId="6E994BC7">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7</w:t>
            </w:r>
          </w:p>
        </w:tc>
        <w:tc>
          <w:tcPr>
            <w:tcW w:w="3557" w:type="dxa"/>
            <w:noWrap w:val="0"/>
            <w:tcMar>
              <w:top w:w="12" w:type="dxa"/>
              <w:left w:w="12" w:type="dxa"/>
              <w:right w:w="12" w:type="dxa"/>
            </w:tcMar>
            <w:vAlign w:val="center"/>
          </w:tcPr>
          <w:p w14:paraId="661E40C2">
            <w:pPr>
              <w:keepNext w:val="0"/>
              <w:keepLines w:val="0"/>
              <w:widowControl/>
              <w:suppressLineNumbers w:val="0"/>
              <w:jc w:val="both"/>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是否有绩效评价报告，报告是否依据充分、内容真实完整；数据准确、分析透彻。每存在一项问题扣*分，扣完为止。</w:t>
            </w:r>
          </w:p>
        </w:tc>
        <w:tc>
          <w:tcPr>
            <w:tcW w:w="1206" w:type="dxa"/>
            <w:noWrap w:val="0"/>
            <w:tcMar>
              <w:top w:w="12" w:type="dxa"/>
              <w:left w:w="12" w:type="dxa"/>
              <w:right w:w="12" w:type="dxa"/>
            </w:tcMar>
            <w:vAlign w:val="center"/>
          </w:tcPr>
          <w:p w14:paraId="5194B50F">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 xml:space="preserve">7 </w:t>
            </w:r>
          </w:p>
        </w:tc>
      </w:tr>
      <w:tr w14:paraId="30D4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trPr>
        <w:tc>
          <w:tcPr>
            <w:tcW w:w="958" w:type="dxa"/>
            <w:vMerge w:val="restart"/>
            <w:noWrap w:val="0"/>
            <w:tcMar>
              <w:top w:w="12" w:type="dxa"/>
              <w:left w:w="12" w:type="dxa"/>
              <w:right w:w="12" w:type="dxa"/>
            </w:tcMar>
            <w:vAlign w:val="center"/>
          </w:tcPr>
          <w:p w14:paraId="086943E1">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“工作活动”管理（*分）</w:t>
            </w:r>
          </w:p>
        </w:tc>
        <w:tc>
          <w:tcPr>
            <w:tcW w:w="674" w:type="dxa"/>
            <w:vMerge w:val="restart"/>
            <w:noWrap w:val="0"/>
            <w:tcMar>
              <w:top w:w="12" w:type="dxa"/>
              <w:left w:w="12" w:type="dxa"/>
              <w:right w:w="12" w:type="dxa"/>
            </w:tcMar>
            <w:vAlign w:val="center"/>
          </w:tcPr>
          <w:p w14:paraId="13B41B07">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资金管理</w:t>
            </w:r>
          </w:p>
        </w:tc>
        <w:tc>
          <w:tcPr>
            <w:tcW w:w="2083" w:type="dxa"/>
            <w:noWrap w:val="0"/>
            <w:tcMar>
              <w:top w:w="12" w:type="dxa"/>
              <w:left w:w="12" w:type="dxa"/>
              <w:right w:w="12" w:type="dxa"/>
            </w:tcMar>
            <w:vAlign w:val="center"/>
          </w:tcPr>
          <w:p w14:paraId="4C660886">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预算调整率</w:t>
            </w:r>
          </w:p>
        </w:tc>
        <w:tc>
          <w:tcPr>
            <w:tcW w:w="545" w:type="dxa"/>
            <w:noWrap w:val="0"/>
            <w:tcMar>
              <w:top w:w="12" w:type="dxa"/>
              <w:left w:w="12" w:type="dxa"/>
              <w:right w:w="12" w:type="dxa"/>
            </w:tcMar>
            <w:vAlign w:val="center"/>
          </w:tcPr>
          <w:p w14:paraId="236DE0FC">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6</w:t>
            </w:r>
          </w:p>
        </w:tc>
        <w:tc>
          <w:tcPr>
            <w:tcW w:w="3557" w:type="dxa"/>
            <w:noWrap w:val="0"/>
            <w:tcMar>
              <w:top w:w="12" w:type="dxa"/>
              <w:left w:w="12" w:type="dxa"/>
              <w:right w:w="12" w:type="dxa"/>
            </w:tcMar>
            <w:vAlign w:val="center"/>
          </w:tcPr>
          <w:p w14:paraId="3B40350C">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预算调整率=（预算调整数/预算数）×100%。预算调整率每大于1%扣*分，扣完为止。</w:t>
            </w:r>
          </w:p>
        </w:tc>
        <w:tc>
          <w:tcPr>
            <w:tcW w:w="1206" w:type="dxa"/>
            <w:noWrap w:val="0"/>
            <w:tcMar>
              <w:top w:w="12" w:type="dxa"/>
              <w:left w:w="12" w:type="dxa"/>
              <w:right w:w="12" w:type="dxa"/>
            </w:tcMar>
            <w:vAlign w:val="center"/>
          </w:tcPr>
          <w:p w14:paraId="1577470A">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6</w:t>
            </w:r>
          </w:p>
        </w:tc>
      </w:tr>
      <w:tr w14:paraId="4CA3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3" w:hRule="atLeast"/>
        </w:trPr>
        <w:tc>
          <w:tcPr>
            <w:tcW w:w="958" w:type="dxa"/>
            <w:vMerge w:val="continue"/>
            <w:shd w:val="clear" w:color="auto" w:fill="auto"/>
            <w:noWrap w:val="0"/>
            <w:tcMar>
              <w:top w:w="12" w:type="dxa"/>
              <w:left w:w="12" w:type="dxa"/>
              <w:right w:w="12" w:type="dxa"/>
            </w:tcMar>
            <w:vAlign w:val="center"/>
          </w:tcPr>
          <w:p w14:paraId="19ECF732">
            <w:pPr>
              <w:jc w:val="center"/>
              <w:rPr>
                <w:rFonts w:hint="eastAsia" w:ascii="仿宋_GB2312" w:hAnsi="仿宋_GB2312" w:eastAsia="仿宋_GB2312" w:cs="仿宋_GB2312"/>
                <w:i w:val="0"/>
                <w:color w:val="000000"/>
                <w:sz w:val="20"/>
                <w:szCs w:val="20"/>
                <w:u w:val="none"/>
              </w:rPr>
            </w:pPr>
          </w:p>
        </w:tc>
        <w:tc>
          <w:tcPr>
            <w:tcW w:w="674" w:type="dxa"/>
            <w:vMerge w:val="continue"/>
            <w:shd w:val="clear" w:color="auto" w:fill="auto"/>
            <w:noWrap w:val="0"/>
            <w:tcMar>
              <w:top w:w="12" w:type="dxa"/>
              <w:left w:w="12" w:type="dxa"/>
              <w:right w:w="12" w:type="dxa"/>
            </w:tcMar>
            <w:vAlign w:val="center"/>
          </w:tcPr>
          <w:p w14:paraId="765F6FFB">
            <w:pPr>
              <w:jc w:val="center"/>
              <w:rPr>
                <w:rFonts w:hint="eastAsia" w:ascii="仿宋_GB2312" w:hAnsi="仿宋_GB2312" w:eastAsia="仿宋_GB2312" w:cs="仿宋_GB2312"/>
                <w:i w:val="0"/>
                <w:color w:val="000000"/>
                <w:sz w:val="20"/>
                <w:szCs w:val="20"/>
                <w:u w:val="none"/>
              </w:rPr>
            </w:pPr>
          </w:p>
        </w:tc>
        <w:tc>
          <w:tcPr>
            <w:tcW w:w="2083" w:type="dxa"/>
            <w:shd w:val="clear" w:color="auto" w:fill="FFFFFF"/>
            <w:noWrap w:val="0"/>
            <w:tcMar>
              <w:top w:w="12" w:type="dxa"/>
              <w:left w:w="12" w:type="dxa"/>
              <w:right w:w="12" w:type="dxa"/>
            </w:tcMar>
            <w:vAlign w:val="center"/>
          </w:tcPr>
          <w:p w14:paraId="74265B71">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资金使用合规性</w:t>
            </w:r>
          </w:p>
        </w:tc>
        <w:tc>
          <w:tcPr>
            <w:tcW w:w="545" w:type="dxa"/>
            <w:shd w:val="clear" w:color="auto" w:fill="auto"/>
            <w:noWrap w:val="0"/>
            <w:tcMar>
              <w:top w:w="12" w:type="dxa"/>
              <w:left w:w="12" w:type="dxa"/>
              <w:right w:w="12" w:type="dxa"/>
            </w:tcMar>
            <w:vAlign w:val="center"/>
          </w:tcPr>
          <w:p w14:paraId="4A411B4D">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6</w:t>
            </w:r>
          </w:p>
        </w:tc>
        <w:tc>
          <w:tcPr>
            <w:tcW w:w="3557" w:type="dxa"/>
            <w:shd w:val="clear" w:color="auto" w:fill="FFFFFF"/>
            <w:noWrap w:val="0"/>
            <w:tcMar>
              <w:top w:w="12" w:type="dxa"/>
              <w:left w:w="12" w:type="dxa"/>
              <w:right w:w="12" w:type="dxa"/>
            </w:tcMar>
            <w:vAlign w:val="center"/>
          </w:tcPr>
          <w:p w14:paraId="3080FC19">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项目资金使用是否符合国家财经法规及相关的财务管理制度规定，资金支出程序是否规范,报账手续是否齐全。每存在一项不合规问题扣*分，扣完为止。</w:t>
            </w:r>
          </w:p>
        </w:tc>
        <w:tc>
          <w:tcPr>
            <w:tcW w:w="1206" w:type="dxa"/>
            <w:noWrap w:val="0"/>
            <w:tcMar>
              <w:top w:w="12" w:type="dxa"/>
              <w:left w:w="12" w:type="dxa"/>
              <w:right w:w="12" w:type="dxa"/>
            </w:tcMar>
            <w:vAlign w:val="center"/>
          </w:tcPr>
          <w:p w14:paraId="2CDD9916">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6</w:t>
            </w:r>
          </w:p>
        </w:tc>
      </w:tr>
      <w:tr w14:paraId="6C70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4" w:hRule="atLeast"/>
        </w:trPr>
        <w:tc>
          <w:tcPr>
            <w:tcW w:w="958" w:type="dxa"/>
            <w:vMerge w:val="continue"/>
            <w:noWrap w:val="0"/>
            <w:tcMar>
              <w:top w:w="12" w:type="dxa"/>
              <w:left w:w="12" w:type="dxa"/>
              <w:right w:w="12" w:type="dxa"/>
            </w:tcMar>
            <w:vAlign w:val="center"/>
          </w:tcPr>
          <w:p w14:paraId="6B70C0F1">
            <w:pPr>
              <w:jc w:val="center"/>
              <w:rPr>
                <w:rFonts w:hint="eastAsia" w:ascii="仿宋_GB2312" w:hAnsi="仿宋_GB2312" w:eastAsia="仿宋_GB2312" w:cs="仿宋_GB2312"/>
                <w:i w:val="0"/>
                <w:color w:val="000000"/>
                <w:sz w:val="20"/>
                <w:szCs w:val="20"/>
                <w:u w:val="none"/>
              </w:rPr>
            </w:pPr>
          </w:p>
        </w:tc>
        <w:tc>
          <w:tcPr>
            <w:tcW w:w="674" w:type="dxa"/>
            <w:vMerge w:val="continue"/>
            <w:noWrap w:val="0"/>
            <w:tcMar>
              <w:top w:w="12" w:type="dxa"/>
              <w:left w:w="12" w:type="dxa"/>
              <w:right w:w="12" w:type="dxa"/>
            </w:tcMar>
            <w:vAlign w:val="center"/>
          </w:tcPr>
          <w:p w14:paraId="15402B05">
            <w:pPr>
              <w:jc w:val="center"/>
              <w:rPr>
                <w:rFonts w:hint="eastAsia" w:ascii="仿宋_GB2312" w:hAnsi="仿宋_GB2312" w:eastAsia="仿宋_GB2312" w:cs="仿宋_GB2312"/>
                <w:i w:val="0"/>
                <w:color w:val="000000"/>
                <w:sz w:val="20"/>
                <w:szCs w:val="20"/>
                <w:u w:val="none"/>
              </w:rPr>
            </w:pPr>
          </w:p>
        </w:tc>
        <w:tc>
          <w:tcPr>
            <w:tcW w:w="2083" w:type="dxa"/>
            <w:noWrap w:val="0"/>
            <w:tcMar>
              <w:top w:w="12" w:type="dxa"/>
              <w:left w:w="12" w:type="dxa"/>
              <w:right w:w="12" w:type="dxa"/>
            </w:tcMar>
            <w:vAlign w:val="center"/>
          </w:tcPr>
          <w:p w14:paraId="1A57D746">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会计核算规范性</w:t>
            </w:r>
          </w:p>
        </w:tc>
        <w:tc>
          <w:tcPr>
            <w:tcW w:w="545" w:type="dxa"/>
            <w:noWrap w:val="0"/>
            <w:tcMar>
              <w:top w:w="12" w:type="dxa"/>
              <w:left w:w="12" w:type="dxa"/>
              <w:right w:w="12" w:type="dxa"/>
            </w:tcMar>
            <w:vAlign w:val="center"/>
          </w:tcPr>
          <w:p w14:paraId="2ECBA1EE">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6</w:t>
            </w:r>
          </w:p>
        </w:tc>
        <w:tc>
          <w:tcPr>
            <w:tcW w:w="3557" w:type="dxa"/>
            <w:noWrap w:val="0"/>
            <w:tcMar>
              <w:top w:w="12" w:type="dxa"/>
              <w:left w:w="12" w:type="dxa"/>
              <w:right w:w="12" w:type="dxa"/>
            </w:tcMar>
            <w:vAlign w:val="center"/>
          </w:tcPr>
          <w:p w14:paraId="33C3C1FB">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会计核算是否符合《会计法》、《政府会计制度》、《会计基础工作规范》等法律法规和相关制度规定。每存在一项不合规问题扣*分，扣完为止。</w:t>
            </w:r>
          </w:p>
        </w:tc>
        <w:tc>
          <w:tcPr>
            <w:tcW w:w="1206" w:type="dxa"/>
            <w:noWrap w:val="0"/>
            <w:tcMar>
              <w:top w:w="12" w:type="dxa"/>
              <w:left w:w="12" w:type="dxa"/>
              <w:right w:w="12" w:type="dxa"/>
            </w:tcMar>
            <w:vAlign w:val="center"/>
          </w:tcPr>
          <w:p w14:paraId="47707962">
            <w:pPr>
              <w:keepNext w:val="0"/>
              <w:keepLines w:val="0"/>
              <w:widowControl/>
              <w:suppressLineNumbers w:val="0"/>
              <w:jc w:val="center"/>
              <w:textAlignment w:val="center"/>
              <w:rPr>
                <w:rFonts w:hint="default" w:ascii="仿宋_GB2312" w:hAnsi="仿宋_GB2312" w:eastAsia="仿宋_GB2312" w:cs="仿宋_GB2312"/>
                <w:i w:val="0"/>
                <w:color w:val="000000"/>
                <w:sz w:val="20"/>
                <w:szCs w:val="20"/>
                <w:u w:val="none"/>
                <w:lang w:val="en-US"/>
              </w:rPr>
            </w:pPr>
            <w:r>
              <w:rPr>
                <w:rFonts w:hint="eastAsia" w:ascii="仿宋_GB2312" w:hAnsi="仿宋_GB2312" w:eastAsia="仿宋_GB2312" w:cs="仿宋_GB2312"/>
                <w:i w:val="0"/>
                <w:color w:val="000000"/>
                <w:kern w:val="0"/>
                <w:sz w:val="20"/>
                <w:szCs w:val="20"/>
                <w:u w:val="none"/>
                <w:lang w:val="en-US" w:eastAsia="zh-CN" w:bidi="ar"/>
              </w:rPr>
              <w:t xml:space="preserve"> 6</w:t>
            </w:r>
          </w:p>
        </w:tc>
      </w:tr>
      <w:tr w14:paraId="351CC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3" w:hRule="atLeast"/>
        </w:trPr>
        <w:tc>
          <w:tcPr>
            <w:tcW w:w="958" w:type="dxa"/>
            <w:vMerge w:val="continue"/>
            <w:noWrap w:val="0"/>
            <w:tcMar>
              <w:top w:w="12" w:type="dxa"/>
              <w:left w:w="12" w:type="dxa"/>
              <w:right w:w="12" w:type="dxa"/>
            </w:tcMar>
            <w:vAlign w:val="center"/>
          </w:tcPr>
          <w:p w14:paraId="4D3FDB94">
            <w:pPr>
              <w:jc w:val="center"/>
              <w:rPr>
                <w:rFonts w:hint="eastAsia" w:ascii="仿宋_GB2312" w:hAnsi="仿宋_GB2312" w:eastAsia="仿宋_GB2312" w:cs="仿宋_GB2312"/>
                <w:i w:val="0"/>
                <w:color w:val="000000"/>
                <w:sz w:val="20"/>
                <w:szCs w:val="20"/>
                <w:u w:val="none"/>
              </w:rPr>
            </w:pPr>
          </w:p>
        </w:tc>
        <w:tc>
          <w:tcPr>
            <w:tcW w:w="674" w:type="dxa"/>
            <w:vMerge w:val="restart"/>
            <w:noWrap w:val="0"/>
            <w:tcMar>
              <w:top w:w="12" w:type="dxa"/>
              <w:left w:w="12" w:type="dxa"/>
              <w:right w:w="12" w:type="dxa"/>
            </w:tcMar>
            <w:vAlign w:val="center"/>
          </w:tcPr>
          <w:p w14:paraId="1CA81356">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项目管理</w:t>
            </w:r>
          </w:p>
        </w:tc>
        <w:tc>
          <w:tcPr>
            <w:tcW w:w="2083" w:type="dxa"/>
            <w:noWrap w:val="0"/>
            <w:tcMar>
              <w:top w:w="12" w:type="dxa"/>
              <w:left w:w="12" w:type="dxa"/>
              <w:right w:w="12" w:type="dxa"/>
            </w:tcMar>
            <w:vAlign w:val="center"/>
          </w:tcPr>
          <w:p w14:paraId="53ED2AB7">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项目责任机制是否健全</w:t>
            </w:r>
          </w:p>
        </w:tc>
        <w:tc>
          <w:tcPr>
            <w:tcW w:w="545" w:type="dxa"/>
            <w:noWrap w:val="0"/>
            <w:tcMar>
              <w:top w:w="12" w:type="dxa"/>
              <w:left w:w="12" w:type="dxa"/>
              <w:right w:w="12" w:type="dxa"/>
            </w:tcMar>
            <w:vAlign w:val="center"/>
          </w:tcPr>
          <w:p w14:paraId="79A33263">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6</w:t>
            </w:r>
          </w:p>
        </w:tc>
        <w:tc>
          <w:tcPr>
            <w:tcW w:w="3557" w:type="dxa"/>
            <w:noWrap w:val="0"/>
            <w:tcMar>
              <w:top w:w="12" w:type="dxa"/>
              <w:left w:w="12" w:type="dxa"/>
              <w:right w:w="12" w:type="dxa"/>
            </w:tcMar>
            <w:vAlign w:val="center"/>
          </w:tcPr>
          <w:p w14:paraId="1E68AE56">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是否建立责任机制，项目管理和责任落实到有关人。每存在一项问题扣*分，扣完为止。</w:t>
            </w:r>
          </w:p>
        </w:tc>
        <w:tc>
          <w:tcPr>
            <w:tcW w:w="1206" w:type="dxa"/>
            <w:noWrap w:val="0"/>
            <w:tcMar>
              <w:top w:w="12" w:type="dxa"/>
              <w:left w:w="12" w:type="dxa"/>
              <w:right w:w="12" w:type="dxa"/>
            </w:tcMar>
            <w:vAlign w:val="center"/>
          </w:tcPr>
          <w:p w14:paraId="435D5865">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 xml:space="preserve">6 </w:t>
            </w:r>
          </w:p>
        </w:tc>
      </w:tr>
      <w:tr w14:paraId="42E4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2" w:hRule="atLeast"/>
        </w:trPr>
        <w:tc>
          <w:tcPr>
            <w:tcW w:w="958" w:type="dxa"/>
            <w:vMerge w:val="continue"/>
            <w:noWrap w:val="0"/>
            <w:tcMar>
              <w:top w:w="12" w:type="dxa"/>
              <w:left w:w="12" w:type="dxa"/>
              <w:right w:w="12" w:type="dxa"/>
            </w:tcMar>
            <w:vAlign w:val="center"/>
          </w:tcPr>
          <w:p w14:paraId="4E5C6B3D">
            <w:pPr>
              <w:jc w:val="center"/>
              <w:rPr>
                <w:rFonts w:hint="eastAsia" w:ascii="仿宋_GB2312" w:hAnsi="仿宋_GB2312" w:eastAsia="仿宋_GB2312" w:cs="仿宋_GB2312"/>
                <w:i w:val="0"/>
                <w:color w:val="000000"/>
                <w:sz w:val="20"/>
                <w:szCs w:val="20"/>
                <w:u w:val="none"/>
              </w:rPr>
            </w:pPr>
          </w:p>
        </w:tc>
        <w:tc>
          <w:tcPr>
            <w:tcW w:w="674" w:type="dxa"/>
            <w:vMerge w:val="continue"/>
            <w:noWrap w:val="0"/>
            <w:tcMar>
              <w:top w:w="12" w:type="dxa"/>
              <w:left w:w="12" w:type="dxa"/>
              <w:right w:w="12" w:type="dxa"/>
            </w:tcMar>
            <w:vAlign w:val="center"/>
          </w:tcPr>
          <w:p w14:paraId="1E9E6435">
            <w:pPr>
              <w:jc w:val="center"/>
              <w:rPr>
                <w:rFonts w:hint="eastAsia" w:ascii="仿宋_GB2312" w:hAnsi="仿宋_GB2312" w:eastAsia="仿宋_GB2312" w:cs="仿宋_GB2312"/>
                <w:i w:val="0"/>
                <w:color w:val="000000"/>
                <w:sz w:val="20"/>
                <w:szCs w:val="20"/>
                <w:u w:val="none"/>
              </w:rPr>
            </w:pPr>
          </w:p>
        </w:tc>
        <w:tc>
          <w:tcPr>
            <w:tcW w:w="2083" w:type="dxa"/>
            <w:noWrap w:val="0"/>
            <w:tcMar>
              <w:top w:w="12" w:type="dxa"/>
              <w:left w:w="12" w:type="dxa"/>
              <w:right w:w="12" w:type="dxa"/>
            </w:tcMar>
            <w:vAlign w:val="center"/>
          </w:tcPr>
          <w:p w14:paraId="66F55B7B">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管理制度健全性</w:t>
            </w:r>
          </w:p>
        </w:tc>
        <w:tc>
          <w:tcPr>
            <w:tcW w:w="545" w:type="dxa"/>
            <w:noWrap w:val="0"/>
            <w:tcMar>
              <w:top w:w="12" w:type="dxa"/>
              <w:left w:w="12" w:type="dxa"/>
              <w:right w:w="12" w:type="dxa"/>
            </w:tcMar>
            <w:vAlign w:val="center"/>
          </w:tcPr>
          <w:p w14:paraId="0B39A0C1">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6</w:t>
            </w:r>
          </w:p>
        </w:tc>
        <w:tc>
          <w:tcPr>
            <w:tcW w:w="3557" w:type="dxa"/>
            <w:noWrap w:val="0"/>
            <w:tcMar>
              <w:top w:w="12" w:type="dxa"/>
              <w:left w:w="12" w:type="dxa"/>
              <w:right w:w="12" w:type="dxa"/>
            </w:tcMar>
            <w:vAlign w:val="center"/>
          </w:tcPr>
          <w:p w14:paraId="55EA3DC1">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制定管理制度和措施（包括财务制度）是否明确、清晰、具有可操作性，能否保障工作活动顺利实施。每缺少一项制度扣*分，扣完为止。</w:t>
            </w:r>
          </w:p>
        </w:tc>
        <w:tc>
          <w:tcPr>
            <w:tcW w:w="1206" w:type="dxa"/>
            <w:noWrap w:val="0"/>
            <w:tcMar>
              <w:top w:w="12" w:type="dxa"/>
              <w:left w:w="12" w:type="dxa"/>
              <w:right w:w="12" w:type="dxa"/>
            </w:tcMar>
            <w:vAlign w:val="center"/>
          </w:tcPr>
          <w:p w14:paraId="5EAEE78C">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 xml:space="preserve">6 </w:t>
            </w:r>
          </w:p>
        </w:tc>
      </w:tr>
      <w:tr w14:paraId="4C19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3" w:hRule="atLeast"/>
        </w:trPr>
        <w:tc>
          <w:tcPr>
            <w:tcW w:w="958" w:type="dxa"/>
            <w:vMerge w:val="restart"/>
            <w:noWrap w:val="0"/>
            <w:tcMar>
              <w:top w:w="12" w:type="dxa"/>
              <w:left w:w="12" w:type="dxa"/>
              <w:right w:w="12" w:type="dxa"/>
            </w:tcMar>
            <w:vAlign w:val="center"/>
          </w:tcPr>
          <w:p w14:paraId="0ED4F8E6">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“工作活动”产出（*分）</w:t>
            </w:r>
          </w:p>
        </w:tc>
        <w:tc>
          <w:tcPr>
            <w:tcW w:w="674" w:type="dxa"/>
            <w:noWrap w:val="0"/>
            <w:tcMar>
              <w:top w:w="12" w:type="dxa"/>
              <w:left w:w="12" w:type="dxa"/>
              <w:right w:w="12" w:type="dxa"/>
            </w:tcMar>
            <w:vAlign w:val="center"/>
          </w:tcPr>
          <w:p w14:paraId="715DACA0">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数量指标</w:t>
            </w:r>
          </w:p>
        </w:tc>
        <w:tc>
          <w:tcPr>
            <w:tcW w:w="2083" w:type="dxa"/>
            <w:noWrap w:val="0"/>
            <w:tcMar>
              <w:top w:w="12" w:type="dxa"/>
              <w:left w:w="12" w:type="dxa"/>
              <w:right w:w="12" w:type="dxa"/>
            </w:tcMar>
            <w:vAlign w:val="center"/>
          </w:tcPr>
          <w:p w14:paraId="31BBF765">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lang w:val="en-US"/>
              </w:rPr>
            </w:pPr>
            <w:r>
              <w:rPr>
                <w:rFonts w:hint="eastAsia" w:ascii="仿宋_GB2312" w:hAnsi="仿宋_GB2312" w:eastAsia="仿宋_GB2312" w:cs="仿宋_GB2312"/>
                <w:color w:val="000000"/>
                <w:sz w:val="20"/>
                <w:szCs w:val="20"/>
                <w:u w:val="single"/>
                <w:lang w:eastAsia="zh-CN"/>
              </w:rPr>
              <w:t>完成工程量</w:t>
            </w:r>
          </w:p>
        </w:tc>
        <w:tc>
          <w:tcPr>
            <w:tcW w:w="545" w:type="dxa"/>
            <w:noWrap w:val="0"/>
            <w:tcMar>
              <w:top w:w="12" w:type="dxa"/>
              <w:left w:w="12" w:type="dxa"/>
              <w:right w:w="12" w:type="dxa"/>
            </w:tcMar>
            <w:vAlign w:val="center"/>
          </w:tcPr>
          <w:p w14:paraId="564B6129">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10</w:t>
            </w:r>
          </w:p>
        </w:tc>
        <w:tc>
          <w:tcPr>
            <w:tcW w:w="3557" w:type="dxa"/>
            <w:noWrap w:val="0"/>
            <w:tcMar>
              <w:top w:w="12" w:type="dxa"/>
              <w:left w:w="12" w:type="dxa"/>
              <w:right w:w="12" w:type="dxa"/>
            </w:tcMar>
            <w:vAlign w:val="center"/>
          </w:tcPr>
          <w:p w14:paraId="6F27D346">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sz w:val="20"/>
                <w:szCs w:val="20"/>
              </w:rPr>
              <w:t>反映工作活动设定目标的完成程度，由评价工作组结合被评价工作活动产出指标设置情况及业务情况进行细化，各项产出逐一评价，逐一确定分值。</w:t>
            </w:r>
          </w:p>
        </w:tc>
        <w:tc>
          <w:tcPr>
            <w:tcW w:w="1206" w:type="dxa"/>
            <w:noWrap w:val="0"/>
            <w:tcMar>
              <w:top w:w="12" w:type="dxa"/>
              <w:left w:w="12" w:type="dxa"/>
              <w:right w:w="12" w:type="dxa"/>
            </w:tcMar>
            <w:vAlign w:val="center"/>
          </w:tcPr>
          <w:p w14:paraId="14972030">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10</w:t>
            </w:r>
          </w:p>
        </w:tc>
      </w:tr>
      <w:tr w14:paraId="5304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3" w:hRule="atLeast"/>
        </w:trPr>
        <w:tc>
          <w:tcPr>
            <w:tcW w:w="958" w:type="dxa"/>
            <w:vMerge w:val="continue"/>
            <w:noWrap w:val="0"/>
            <w:tcMar>
              <w:top w:w="12" w:type="dxa"/>
              <w:left w:w="12" w:type="dxa"/>
              <w:right w:w="12" w:type="dxa"/>
            </w:tcMar>
            <w:vAlign w:val="center"/>
          </w:tcPr>
          <w:p w14:paraId="56278194">
            <w:pPr>
              <w:jc w:val="center"/>
              <w:rPr>
                <w:rFonts w:hint="eastAsia" w:ascii="仿宋_GB2312" w:hAnsi="仿宋_GB2312" w:eastAsia="仿宋_GB2312" w:cs="仿宋_GB2312"/>
                <w:i w:val="0"/>
                <w:color w:val="000000"/>
                <w:sz w:val="20"/>
                <w:szCs w:val="20"/>
                <w:u w:val="none"/>
              </w:rPr>
            </w:pPr>
          </w:p>
        </w:tc>
        <w:tc>
          <w:tcPr>
            <w:tcW w:w="674" w:type="dxa"/>
            <w:noWrap w:val="0"/>
            <w:tcMar>
              <w:top w:w="12" w:type="dxa"/>
              <w:left w:w="12" w:type="dxa"/>
              <w:right w:w="12" w:type="dxa"/>
            </w:tcMar>
            <w:vAlign w:val="center"/>
          </w:tcPr>
          <w:p w14:paraId="2A5C1B0E">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质量指标</w:t>
            </w:r>
          </w:p>
        </w:tc>
        <w:tc>
          <w:tcPr>
            <w:tcW w:w="2083" w:type="dxa"/>
            <w:noWrap w:val="0"/>
            <w:tcMar>
              <w:top w:w="12" w:type="dxa"/>
              <w:left w:w="12" w:type="dxa"/>
              <w:right w:w="12" w:type="dxa"/>
            </w:tcMar>
            <w:vAlign w:val="center"/>
          </w:tcPr>
          <w:p w14:paraId="358BAC67">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color w:val="000000"/>
                <w:sz w:val="20"/>
                <w:szCs w:val="20"/>
                <w:u w:val="single"/>
                <w:lang w:eastAsia="zh-CN"/>
              </w:rPr>
              <w:t>工程合格率</w:t>
            </w:r>
          </w:p>
        </w:tc>
        <w:tc>
          <w:tcPr>
            <w:tcW w:w="545" w:type="dxa"/>
            <w:noWrap w:val="0"/>
            <w:tcMar>
              <w:top w:w="12" w:type="dxa"/>
              <w:left w:w="12" w:type="dxa"/>
              <w:right w:w="12" w:type="dxa"/>
            </w:tcMar>
            <w:vAlign w:val="center"/>
          </w:tcPr>
          <w:p w14:paraId="4342C71A">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10</w:t>
            </w:r>
          </w:p>
        </w:tc>
        <w:tc>
          <w:tcPr>
            <w:tcW w:w="3557" w:type="dxa"/>
            <w:noWrap w:val="0"/>
            <w:tcMar>
              <w:top w:w="12" w:type="dxa"/>
              <w:left w:w="12" w:type="dxa"/>
              <w:right w:w="12" w:type="dxa"/>
            </w:tcMar>
            <w:vAlign w:val="center"/>
          </w:tcPr>
          <w:p w14:paraId="220237DE">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sz w:val="20"/>
                <w:szCs w:val="20"/>
              </w:rPr>
              <w:t>反映工作活动的产出是否达到预期质量标准。由评价工作组结合被评价工作活动产出指标设置情况及业务情况进行细化。</w:t>
            </w:r>
          </w:p>
        </w:tc>
        <w:tc>
          <w:tcPr>
            <w:tcW w:w="1206" w:type="dxa"/>
            <w:noWrap w:val="0"/>
            <w:tcMar>
              <w:top w:w="12" w:type="dxa"/>
              <w:left w:w="12" w:type="dxa"/>
              <w:right w:w="12" w:type="dxa"/>
            </w:tcMar>
            <w:vAlign w:val="center"/>
          </w:tcPr>
          <w:p w14:paraId="0F29BB3C">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 xml:space="preserve">10 </w:t>
            </w:r>
          </w:p>
        </w:tc>
      </w:tr>
      <w:tr w14:paraId="5B72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trPr>
        <w:tc>
          <w:tcPr>
            <w:tcW w:w="958" w:type="dxa"/>
            <w:vMerge w:val="continue"/>
            <w:noWrap w:val="0"/>
            <w:tcMar>
              <w:top w:w="12" w:type="dxa"/>
              <w:left w:w="12" w:type="dxa"/>
              <w:right w:w="12" w:type="dxa"/>
            </w:tcMar>
            <w:vAlign w:val="center"/>
          </w:tcPr>
          <w:p w14:paraId="0F94D85E">
            <w:pPr>
              <w:jc w:val="center"/>
              <w:rPr>
                <w:rFonts w:hint="eastAsia" w:ascii="仿宋_GB2312" w:hAnsi="仿宋_GB2312" w:eastAsia="仿宋_GB2312" w:cs="仿宋_GB2312"/>
                <w:i w:val="0"/>
                <w:color w:val="000000"/>
                <w:sz w:val="20"/>
                <w:szCs w:val="20"/>
                <w:u w:val="none"/>
              </w:rPr>
            </w:pPr>
          </w:p>
        </w:tc>
        <w:tc>
          <w:tcPr>
            <w:tcW w:w="674" w:type="dxa"/>
            <w:noWrap w:val="0"/>
            <w:tcMar>
              <w:top w:w="12" w:type="dxa"/>
              <w:left w:w="12" w:type="dxa"/>
              <w:right w:w="12" w:type="dxa"/>
            </w:tcMar>
            <w:vAlign w:val="center"/>
          </w:tcPr>
          <w:p w14:paraId="1537565C">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时效指标</w:t>
            </w:r>
          </w:p>
        </w:tc>
        <w:tc>
          <w:tcPr>
            <w:tcW w:w="2083" w:type="dxa"/>
            <w:noWrap w:val="0"/>
            <w:tcMar>
              <w:top w:w="12" w:type="dxa"/>
              <w:left w:w="12" w:type="dxa"/>
              <w:right w:w="12" w:type="dxa"/>
            </w:tcMar>
            <w:vAlign w:val="center"/>
          </w:tcPr>
          <w:p w14:paraId="005B72B2">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color w:val="000000"/>
                <w:sz w:val="20"/>
                <w:szCs w:val="20"/>
                <w:u w:val="single"/>
                <w:lang w:eastAsia="zh-CN"/>
              </w:rPr>
              <w:t>社会时效</w:t>
            </w:r>
          </w:p>
        </w:tc>
        <w:tc>
          <w:tcPr>
            <w:tcW w:w="545" w:type="dxa"/>
            <w:noWrap w:val="0"/>
            <w:tcMar>
              <w:top w:w="12" w:type="dxa"/>
              <w:left w:w="12" w:type="dxa"/>
              <w:right w:w="12" w:type="dxa"/>
            </w:tcMar>
            <w:vAlign w:val="center"/>
          </w:tcPr>
          <w:p w14:paraId="29495AA2">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10</w:t>
            </w:r>
          </w:p>
        </w:tc>
        <w:tc>
          <w:tcPr>
            <w:tcW w:w="3557" w:type="dxa"/>
            <w:noWrap w:val="0"/>
            <w:tcMar>
              <w:top w:w="12" w:type="dxa"/>
              <w:left w:w="12" w:type="dxa"/>
              <w:right w:w="12" w:type="dxa"/>
            </w:tcMar>
            <w:vAlign w:val="center"/>
          </w:tcPr>
          <w:p w14:paraId="42D5F431">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sz w:val="20"/>
                <w:szCs w:val="20"/>
              </w:rPr>
              <w:t>反映工作活动产出目标实现的及时程度。</w:t>
            </w:r>
          </w:p>
        </w:tc>
        <w:tc>
          <w:tcPr>
            <w:tcW w:w="1206" w:type="dxa"/>
            <w:noWrap w:val="0"/>
            <w:tcMar>
              <w:top w:w="12" w:type="dxa"/>
              <w:left w:w="12" w:type="dxa"/>
              <w:right w:w="12" w:type="dxa"/>
            </w:tcMar>
            <w:vAlign w:val="center"/>
          </w:tcPr>
          <w:p w14:paraId="16235C26">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 xml:space="preserve">10 </w:t>
            </w:r>
          </w:p>
        </w:tc>
      </w:tr>
      <w:tr w14:paraId="5136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958" w:type="dxa"/>
            <w:noWrap w:val="0"/>
            <w:tcMar>
              <w:top w:w="12" w:type="dxa"/>
              <w:left w:w="12" w:type="dxa"/>
              <w:right w:w="12" w:type="dxa"/>
            </w:tcMar>
            <w:vAlign w:val="center"/>
          </w:tcPr>
          <w:p w14:paraId="417B25F4">
            <w:pPr>
              <w:jc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sz w:val="20"/>
                <w:szCs w:val="20"/>
                <w:u w:val="none"/>
              </w:rPr>
              <w:t>“工作活动”效果（</w:t>
            </w:r>
            <w:r>
              <w:rPr>
                <w:rFonts w:hint="eastAsia" w:ascii="仿宋_GB2312" w:hAnsi="仿宋_GB2312" w:eastAsia="仿宋_GB2312" w:cs="仿宋_GB2312"/>
                <w:i w:val="0"/>
                <w:color w:val="000000"/>
                <w:kern w:val="0"/>
                <w:sz w:val="20"/>
                <w:szCs w:val="20"/>
                <w:u w:val="none"/>
                <w:lang w:val="en-US" w:eastAsia="zh-CN" w:bidi="ar"/>
              </w:rPr>
              <w:t>*</w:t>
            </w:r>
            <w:r>
              <w:rPr>
                <w:rFonts w:hint="eastAsia" w:ascii="仿宋_GB2312" w:hAnsi="仿宋_GB2312" w:eastAsia="仿宋_GB2312" w:cs="仿宋_GB2312"/>
                <w:i w:val="0"/>
                <w:color w:val="000000"/>
                <w:sz w:val="20"/>
                <w:szCs w:val="20"/>
                <w:u w:val="none"/>
              </w:rPr>
              <w:t>分）</w:t>
            </w:r>
          </w:p>
        </w:tc>
        <w:tc>
          <w:tcPr>
            <w:tcW w:w="674" w:type="dxa"/>
            <w:noWrap w:val="0"/>
            <w:tcMar>
              <w:top w:w="12" w:type="dxa"/>
              <w:left w:w="12" w:type="dxa"/>
              <w:right w:w="12" w:type="dxa"/>
            </w:tcMar>
            <w:vAlign w:val="center"/>
          </w:tcPr>
          <w:p w14:paraId="57558AC4">
            <w:pPr>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t>满意度</w:t>
            </w:r>
          </w:p>
        </w:tc>
        <w:tc>
          <w:tcPr>
            <w:tcW w:w="2083" w:type="dxa"/>
            <w:noWrap w:val="0"/>
            <w:tcMar>
              <w:top w:w="12" w:type="dxa"/>
              <w:left w:w="12" w:type="dxa"/>
              <w:right w:w="12" w:type="dxa"/>
            </w:tcMar>
            <w:vAlign w:val="center"/>
          </w:tcPr>
          <w:p w14:paraId="4FB092DF">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color w:val="000000"/>
                <w:sz w:val="20"/>
                <w:szCs w:val="20"/>
                <w:u w:val="single"/>
                <w:lang w:eastAsia="zh-CN"/>
              </w:rPr>
              <w:t>群众</w:t>
            </w:r>
            <w:r>
              <w:rPr>
                <w:rFonts w:hint="eastAsia" w:ascii="仿宋_GB2312" w:hAnsi="仿宋_GB2312" w:eastAsia="仿宋_GB2312" w:cs="仿宋_GB2312"/>
                <w:color w:val="000000"/>
                <w:sz w:val="20"/>
                <w:szCs w:val="20"/>
                <w:u w:val="single"/>
              </w:rPr>
              <w:t>满意度</w:t>
            </w:r>
          </w:p>
        </w:tc>
        <w:tc>
          <w:tcPr>
            <w:tcW w:w="545" w:type="dxa"/>
            <w:noWrap w:val="0"/>
            <w:tcMar>
              <w:top w:w="12" w:type="dxa"/>
              <w:left w:w="12" w:type="dxa"/>
              <w:right w:w="12" w:type="dxa"/>
            </w:tcMar>
            <w:vAlign w:val="center"/>
          </w:tcPr>
          <w:p w14:paraId="0A82D459">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10</w:t>
            </w:r>
          </w:p>
        </w:tc>
        <w:tc>
          <w:tcPr>
            <w:tcW w:w="3557" w:type="dxa"/>
            <w:noWrap w:val="0"/>
            <w:tcMar>
              <w:top w:w="12" w:type="dxa"/>
              <w:left w:w="12" w:type="dxa"/>
              <w:right w:w="12" w:type="dxa"/>
            </w:tcMar>
            <w:vAlign w:val="center"/>
          </w:tcPr>
          <w:p w14:paraId="3D6C71F4">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sz w:val="20"/>
                <w:szCs w:val="20"/>
              </w:rPr>
              <w:t>通过发放问卷进行社会调查，评价受益群体及相关群体对该项工作活动的认可程度。</w:t>
            </w:r>
          </w:p>
        </w:tc>
        <w:tc>
          <w:tcPr>
            <w:tcW w:w="1206" w:type="dxa"/>
            <w:noWrap w:val="0"/>
            <w:tcMar>
              <w:top w:w="12" w:type="dxa"/>
              <w:left w:w="12" w:type="dxa"/>
              <w:right w:w="12" w:type="dxa"/>
            </w:tcMar>
            <w:vAlign w:val="center"/>
          </w:tcPr>
          <w:p w14:paraId="74DA516A">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10</w:t>
            </w:r>
          </w:p>
        </w:tc>
      </w:tr>
      <w:tr w14:paraId="6959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atLeast"/>
        </w:trPr>
        <w:tc>
          <w:tcPr>
            <w:tcW w:w="958" w:type="dxa"/>
            <w:noWrap w:val="0"/>
            <w:tcMar>
              <w:top w:w="12" w:type="dxa"/>
              <w:left w:w="12" w:type="dxa"/>
              <w:right w:w="12" w:type="dxa"/>
            </w:tcMar>
            <w:vAlign w:val="center"/>
          </w:tcPr>
          <w:p w14:paraId="036F42D6">
            <w:pPr>
              <w:ind w:firstLine="200" w:firstLineChars="100"/>
              <w:jc w:val="both"/>
              <w:rPr>
                <w:rFonts w:hint="eastAsia"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合计</w:t>
            </w:r>
          </w:p>
        </w:tc>
        <w:tc>
          <w:tcPr>
            <w:tcW w:w="674" w:type="dxa"/>
            <w:noWrap w:val="0"/>
            <w:tcMar>
              <w:top w:w="12" w:type="dxa"/>
              <w:left w:w="12" w:type="dxa"/>
              <w:right w:w="12" w:type="dxa"/>
            </w:tcMar>
            <w:vAlign w:val="center"/>
          </w:tcPr>
          <w:p w14:paraId="1928FC88">
            <w:pPr>
              <w:jc w:val="center"/>
              <w:rPr>
                <w:rFonts w:hint="eastAsia" w:ascii="仿宋_GB2312" w:hAnsi="仿宋_GB2312" w:eastAsia="仿宋_GB2312" w:cs="仿宋_GB2312"/>
                <w:sz w:val="20"/>
                <w:szCs w:val="20"/>
              </w:rPr>
            </w:pPr>
          </w:p>
        </w:tc>
        <w:tc>
          <w:tcPr>
            <w:tcW w:w="2083" w:type="dxa"/>
            <w:noWrap w:val="0"/>
            <w:tcMar>
              <w:top w:w="12" w:type="dxa"/>
              <w:left w:w="12" w:type="dxa"/>
              <w:right w:w="12" w:type="dxa"/>
            </w:tcMar>
            <w:vAlign w:val="center"/>
          </w:tcPr>
          <w:p w14:paraId="3E561A04">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p>
        </w:tc>
        <w:tc>
          <w:tcPr>
            <w:tcW w:w="545" w:type="dxa"/>
            <w:noWrap w:val="0"/>
            <w:tcMar>
              <w:top w:w="12" w:type="dxa"/>
              <w:left w:w="12" w:type="dxa"/>
              <w:right w:w="12" w:type="dxa"/>
            </w:tcMar>
            <w:vAlign w:val="center"/>
          </w:tcPr>
          <w:p w14:paraId="7D563195">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100</w:t>
            </w:r>
          </w:p>
        </w:tc>
        <w:tc>
          <w:tcPr>
            <w:tcW w:w="3557" w:type="dxa"/>
            <w:noWrap w:val="0"/>
            <w:tcMar>
              <w:top w:w="12" w:type="dxa"/>
              <w:left w:w="12" w:type="dxa"/>
              <w:right w:w="12" w:type="dxa"/>
            </w:tcMar>
            <w:vAlign w:val="center"/>
          </w:tcPr>
          <w:p w14:paraId="012187A2">
            <w:pPr>
              <w:keepNext w:val="0"/>
              <w:keepLines w:val="0"/>
              <w:widowControl/>
              <w:suppressLineNumbers w:val="0"/>
              <w:jc w:val="left"/>
              <w:textAlignment w:val="center"/>
              <w:rPr>
                <w:rFonts w:hint="eastAsia" w:ascii="仿宋_GB2312" w:hAnsi="仿宋_GB2312" w:eastAsia="仿宋_GB2312" w:cs="仿宋_GB2312"/>
                <w:i w:val="0"/>
                <w:color w:val="000000"/>
                <w:kern w:val="0"/>
                <w:sz w:val="20"/>
                <w:szCs w:val="20"/>
                <w:u w:val="none"/>
                <w:lang w:val="en-US" w:eastAsia="zh-CN" w:bidi="ar"/>
              </w:rPr>
            </w:pPr>
          </w:p>
        </w:tc>
        <w:tc>
          <w:tcPr>
            <w:tcW w:w="1206" w:type="dxa"/>
            <w:noWrap w:val="0"/>
            <w:tcMar>
              <w:top w:w="12" w:type="dxa"/>
              <w:left w:w="12" w:type="dxa"/>
              <w:right w:w="12" w:type="dxa"/>
            </w:tcMar>
            <w:vAlign w:val="center"/>
          </w:tcPr>
          <w:p w14:paraId="12E5FDC3">
            <w:pPr>
              <w:keepNext w:val="0"/>
              <w:keepLines w:val="0"/>
              <w:widowControl/>
              <w:suppressLineNumbers w:val="0"/>
              <w:jc w:val="center"/>
              <w:textAlignment w:val="center"/>
              <w:rPr>
                <w:rFonts w:hint="default"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100</w:t>
            </w:r>
          </w:p>
        </w:tc>
      </w:tr>
    </w:tbl>
    <w:p w14:paraId="00E021BD">
      <w:pPr>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color w:val="000000"/>
          <w:sz w:val="32"/>
          <w:szCs w:val="32"/>
          <w:lang w:val="en-US" w:eastAsia="zh-CN"/>
        </w:rPr>
      </w:pPr>
    </w:p>
    <w:p w14:paraId="5361DC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0" w:firstLineChars="1900"/>
        <w:textAlignment w:val="auto"/>
        <w:outlineLvl w:val="0"/>
        <w:rPr>
          <w:rFonts w:hint="eastAsia" w:ascii="黑体" w:hAnsi="黑体" w:eastAsia="黑体" w:cs="黑体"/>
          <w:b w:val="0"/>
          <w:bCs w:val="0"/>
          <w:color w:val="auto"/>
          <w:sz w:val="32"/>
          <w:szCs w:val="32"/>
          <w:lang w:val="en-US" w:eastAsia="zh-CN"/>
        </w:rPr>
      </w:pPr>
      <w:r>
        <w:rPr>
          <w:rFonts w:hint="eastAsia" w:ascii="仿宋_GB2312" w:hAnsi="仿宋_GB2312" w:eastAsia="仿宋_GB2312" w:cs="仿宋_GB2312"/>
          <w:color w:val="000000"/>
          <w:sz w:val="32"/>
          <w:szCs w:val="32"/>
          <w:lang w:val="en-US" w:eastAsia="zh-CN"/>
        </w:rPr>
        <w:t>2026年7月28日</w:t>
      </w:r>
    </w:p>
    <w:p w14:paraId="677F07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b w:val="0"/>
          <w:bCs w:val="0"/>
          <w:color w:val="auto"/>
          <w:sz w:val="32"/>
          <w:szCs w:val="32"/>
          <w:lang w:val="en-US" w:eastAsia="zh-CN"/>
        </w:rPr>
      </w:pPr>
    </w:p>
    <w:sectPr>
      <w:pgSz w:w="11906" w:h="16838"/>
      <w:pgMar w:top="2007" w:right="1633" w:bottom="1723"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EC14C4"/>
    <w:multiLevelType w:val="singleLevel"/>
    <w:tmpl w:val="69EC14C4"/>
    <w:lvl w:ilvl="0" w:tentative="0">
      <w:start w:val="3"/>
      <w:numFmt w:val="chineseCounting"/>
      <w:suff w:val="nothing"/>
      <w:lvlText w:val="（%1）"/>
      <w:lvlJc w:val="left"/>
      <w:rPr>
        <w:rFonts w:hint="eastAsia"/>
      </w:rPr>
    </w:lvl>
  </w:abstractNum>
  <w:abstractNum w:abstractNumId="1">
    <w:nsid w:val="7B75810A"/>
    <w:multiLevelType w:val="singleLevel"/>
    <w:tmpl w:val="7B75810A"/>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lNjRiNWYxMDFmNTRkOWVjNDdlODQ1Y2QwNWQ0M2MifQ=="/>
  </w:docVars>
  <w:rsids>
    <w:rsidRoot w:val="00000000"/>
    <w:rsid w:val="07972700"/>
    <w:rsid w:val="0B063DD5"/>
    <w:rsid w:val="0FA04370"/>
    <w:rsid w:val="1F2518F0"/>
    <w:rsid w:val="21D619CB"/>
    <w:rsid w:val="27BA45CD"/>
    <w:rsid w:val="2B4D3C46"/>
    <w:rsid w:val="330459A4"/>
    <w:rsid w:val="372B25D7"/>
    <w:rsid w:val="3A8A6A2C"/>
    <w:rsid w:val="3B6F5082"/>
    <w:rsid w:val="3ED47DD7"/>
    <w:rsid w:val="4A412646"/>
    <w:rsid w:val="53CB0E98"/>
    <w:rsid w:val="55627A24"/>
    <w:rsid w:val="56DE0939"/>
    <w:rsid w:val="5F4A5238"/>
    <w:rsid w:val="660825AC"/>
    <w:rsid w:val="692769A5"/>
    <w:rsid w:val="69863D7E"/>
    <w:rsid w:val="7A6E5CBE"/>
    <w:rsid w:val="7A830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1"/>
    <w:next w:val="1"/>
    <w:link w:val="10"/>
    <w:autoRedefine/>
    <w:qFormat/>
    <w:uiPriority w:val="0"/>
    <w:pPr>
      <w:keepNext/>
      <w:keepLines/>
      <w:spacing w:before="0" w:beforeLines="0" w:beforeAutospacing="0" w:after="0" w:afterLines="0" w:afterAutospacing="0" w:line="360" w:lineRule="auto"/>
      <w:outlineLvl w:val="2"/>
    </w:pPr>
    <w:rPr>
      <w:rFonts w:ascii="Times New Roman" w:hAnsi="Times New Roman" w:eastAsia="仿宋_GB2312" w:cs="Times New Roman"/>
      <w:kern w:val="0"/>
      <w:sz w:val="32"/>
      <w:szCs w:val="20"/>
    </w:rPr>
  </w:style>
  <w:style w:type="character" w:default="1" w:styleId="9">
    <w:name w:val="Default Paragraph Font"/>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qFormat/>
    <w:uiPriority w:val="0"/>
    <w:pPr>
      <w:ind w:firstLine="420"/>
    </w:pPr>
  </w:style>
  <w:style w:type="paragraph" w:styleId="3">
    <w:name w:val="Body Text Indent"/>
    <w:basedOn w:val="1"/>
    <w:autoRedefine/>
    <w:qFormat/>
    <w:uiPriority w:val="0"/>
    <w:pPr>
      <w:spacing w:line="600" w:lineRule="exact"/>
      <w:ind w:firstLine="560" w:firstLineChars="200"/>
      <w:textAlignment w:val="center"/>
    </w:pPr>
    <w:rPr>
      <w:rFonts w:ascii="宋体" w:hAnsi="宋体"/>
      <w:color w:val="FF0000"/>
      <w:sz w:val="28"/>
      <w:szCs w:val="28"/>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 Char Char"/>
    <w:link w:val="4"/>
    <w:autoRedefine/>
    <w:qFormat/>
    <w:uiPriority w:val="0"/>
    <w:rPr>
      <w:rFonts w:ascii="Times New Roman" w:hAnsi="Times New Roman" w:eastAsia="仿宋_GB2312" w:cs="Times New Roman"/>
      <w:kern w:val="0"/>
      <w:sz w:val="32"/>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3761</Words>
  <Characters>3885</Characters>
  <Lines>0</Lines>
  <Paragraphs>0</Paragraphs>
  <TotalTime>23</TotalTime>
  <ScaleCrop>false</ScaleCrop>
  <LinksUpToDate>false</LinksUpToDate>
  <CharactersWithSpaces>4134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2024-05-13T02:14:00Z</dcterms:created>
  <dc:creator>Administrator</dc:creator>
  <cp:lastModifiedBy>蕙</cp:lastModifiedBy>
  <cp:lastPrinted>2026-07-24T01:23:00Z</cp:lastPrinted>
  <dcterms:modified xsi:type="dcterms:W3CDTF">2026-07-28T02:20:09Z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04B50817465E418493B63FA147CEB852_12</vt:lpwstr>
  </property>
  <property fmtid="{D5CDD505-2E9C-101B-9397-08002B2CF9AE}" pid="4" name="KSOTemplateDocerSaveRecord">
    <vt:lpwstr>eyJoZGlkIjoiMTJlNjRiNWYxMDFmNTRkOWVjNDdlODQ1Y2QwNWQ0M2MiLCJ1c2VySWQiOiIxMjMyMzY4MzExIn0=</vt:lpwstr>
  </property>
</Properties>
</file>