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A90B36">
      <w:pPr>
        <w:spacing w:line="480" w:lineRule="exact"/>
        <w:jc w:val="center"/>
        <w:rPr>
          <w:rFonts w:hint="eastAsia" w:ascii="宋体" w:hAnsi="宋体"/>
          <w:b/>
          <w:sz w:val="44"/>
          <w:szCs w:val="44"/>
        </w:rPr>
      </w:pPr>
    </w:p>
    <w:p w14:paraId="177680B4">
      <w:pPr>
        <w:spacing w:line="480" w:lineRule="exact"/>
        <w:jc w:val="center"/>
        <w:rPr>
          <w:rFonts w:ascii="仿宋" w:hAnsi="仿宋" w:eastAsia="仿宋" w:cs="仿宋"/>
          <w:sz w:val="32"/>
          <w:szCs w:val="32"/>
        </w:rPr>
      </w:pPr>
      <w:r>
        <w:rPr>
          <w:rFonts w:hint="eastAsia" w:ascii="宋体" w:hAnsi="宋体"/>
          <w:b/>
          <w:sz w:val="44"/>
          <w:szCs w:val="44"/>
        </w:rPr>
        <w:t>部门整体支出绩效评价</w:t>
      </w:r>
      <w:r>
        <w:rPr>
          <w:rFonts w:hint="eastAsia" w:ascii="宋体" w:hAnsi="宋体" w:eastAsia="宋体" w:cs="宋体"/>
          <w:b/>
          <w:color w:val="000000"/>
          <w:kern w:val="0"/>
          <w:sz w:val="44"/>
          <w:szCs w:val="44"/>
          <w:shd w:val="clear" w:color="auto" w:fill="FFFFFF"/>
          <w:lang w:bidi="ar"/>
        </w:rPr>
        <w:t>指标体系评分表</w:t>
      </w:r>
    </w:p>
    <w:tbl>
      <w:tblPr>
        <w:tblStyle w:val="8"/>
        <w:tblW w:w="93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9"/>
        <w:gridCol w:w="743"/>
        <w:gridCol w:w="1275"/>
        <w:gridCol w:w="3436"/>
        <w:gridCol w:w="2373"/>
        <w:gridCol w:w="764"/>
      </w:tblGrid>
      <w:tr w14:paraId="7FBEDC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9"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5B1197D3">
            <w:pPr>
              <w:widowControl/>
              <w:spacing w:line="240" w:lineRule="exact"/>
              <w:jc w:val="center"/>
              <w:rPr>
                <w:b/>
              </w:rPr>
            </w:pPr>
            <w:r>
              <w:rPr>
                <w:rFonts w:ascii="仿宋_GB2312" w:hAnsi="新宋体" w:eastAsia="仿宋_GB2312" w:cs="仿宋_GB2312"/>
                <w:b/>
                <w:kern w:val="0"/>
                <w:sz w:val="24"/>
                <w:szCs w:val="24"/>
                <w:lang w:bidi="ar"/>
              </w:rPr>
              <w:t>一级指标</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3CEDB2E7">
            <w:pPr>
              <w:widowControl/>
              <w:spacing w:line="240" w:lineRule="exact"/>
              <w:jc w:val="center"/>
              <w:rPr>
                <w:b/>
              </w:rPr>
            </w:pPr>
            <w:r>
              <w:rPr>
                <w:rFonts w:ascii="仿宋_GB2312" w:hAnsi="新宋体" w:eastAsia="仿宋_GB2312" w:cs="仿宋_GB2312"/>
                <w:b/>
                <w:kern w:val="0"/>
                <w:sz w:val="24"/>
                <w:szCs w:val="24"/>
                <w:lang w:bidi="ar"/>
              </w:rPr>
              <w:t>二级指标</w:t>
            </w:r>
          </w:p>
        </w:tc>
        <w:tc>
          <w:tcPr>
            <w:tcW w:w="4711" w:type="dxa"/>
            <w:gridSpan w:val="2"/>
            <w:tcBorders>
              <w:top w:val="single" w:color="000000" w:sz="4" w:space="0"/>
              <w:left w:val="single" w:color="000000" w:sz="4" w:space="0"/>
              <w:bottom w:val="single" w:color="000000" w:sz="4" w:space="0"/>
              <w:right w:val="single" w:color="auto" w:sz="4" w:space="0"/>
            </w:tcBorders>
            <w:vAlign w:val="center"/>
          </w:tcPr>
          <w:p w14:paraId="6812C625">
            <w:pPr>
              <w:widowControl/>
              <w:spacing w:line="240" w:lineRule="exact"/>
              <w:jc w:val="center"/>
              <w:rPr>
                <w:b/>
              </w:rPr>
            </w:pPr>
            <w:r>
              <w:rPr>
                <w:rFonts w:ascii="仿宋_GB2312" w:hAnsi="新宋体" w:eastAsia="仿宋_GB2312" w:cs="仿宋_GB2312"/>
                <w:b/>
                <w:kern w:val="0"/>
                <w:sz w:val="24"/>
                <w:szCs w:val="24"/>
                <w:lang w:bidi="ar"/>
              </w:rPr>
              <w:t>三级指标</w:t>
            </w:r>
          </w:p>
        </w:tc>
        <w:tc>
          <w:tcPr>
            <w:tcW w:w="2373" w:type="dxa"/>
            <w:vMerge w:val="restart"/>
            <w:tcBorders>
              <w:top w:val="single" w:color="000000" w:sz="4" w:space="0"/>
              <w:left w:val="single" w:color="auto" w:sz="4" w:space="0"/>
              <w:bottom w:val="single" w:color="000000" w:sz="4" w:space="0"/>
              <w:right w:val="single" w:color="auto" w:sz="4" w:space="0"/>
            </w:tcBorders>
            <w:vAlign w:val="center"/>
          </w:tcPr>
          <w:p w14:paraId="1A9D71D1">
            <w:pPr>
              <w:widowControl/>
              <w:spacing w:line="240" w:lineRule="exact"/>
              <w:jc w:val="center"/>
              <w:rPr>
                <w:b/>
              </w:rPr>
            </w:pPr>
            <w:r>
              <w:rPr>
                <w:rFonts w:ascii="仿宋_GB2312" w:hAnsi="新宋体" w:eastAsia="仿宋_GB2312" w:cs="仿宋_GB2312"/>
                <w:b/>
                <w:kern w:val="0"/>
                <w:sz w:val="24"/>
                <w:szCs w:val="24"/>
                <w:lang w:bidi="ar"/>
              </w:rPr>
              <w:t>评分标准</w:t>
            </w:r>
          </w:p>
        </w:tc>
        <w:tc>
          <w:tcPr>
            <w:tcW w:w="764" w:type="dxa"/>
            <w:vMerge w:val="restart"/>
            <w:tcBorders>
              <w:top w:val="single" w:color="000000" w:sz="4" w:space="0"/>
              <w:left w:val="single" w:color="auto" w:sz="4" w:space="0"/>
              <w:bottom w:val="single" w:color="000000" w:sz="4" w:space="0"/>
              <w:right w:val="single" w:color="auto" w:sz="4" w:space="0"/>
            </w:tcBorders>
            <w:vAlign w:val="center"/>
          </w:tcPr>
          <w:p w14:paraId="04589168">
            <w:pPr>
              <w:widowControl/>
              <w:spacing w:line="240" w:lineRule="exact"/>
              <w:jc w:val="left"/>
              <w:rPr>
                <w:b/>
              </w:rPr>
            </w:pPr>
            <w:r>
              <w:rPr>
                <w:rFonts w:ascii="仿宋_GB2312" w:hAnsi="新宋体" w:eastAsia="仿宋_GB2312" w:cs="仿宋_GB2312"/>
                <w:b/>
                <w:kern w:val="0"/>
                <w:sz w:val="24"/>
                <w:szCs w:val="24"/>
                <w:lang w:bidi="ar"/>
              </w:rPr>
              <w:t>得分</w:t>
            </w:r>
          </w:p>
        </w:tc>
      </w:tr>
      <w:tr w14:paraId="4095B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4EE8AA41">
            <w:pPr>
              <w:rPr>
                <w:rFonts w:ascii="宋体"/>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07A4A319">
            <w:pPr>
              <w:rPr>
                <w:rFonts w:ascii="宋体"/>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5FC0B2AD">
            <w:pPr>
              <w:widowControl/>
              <w:spacing w:line="240" w:lineRule="exact"/>
              <w:jc w:val="center"/>
              <w:rPr>
                <w:b/>
              </w:rPr>
            </w:pPr>
            <w:r>
              <w:rPr>
                <w:rFonts w:ascii="仿宋_GB2312" w:hAnsi="新宋体" w:eastAsia="仿宋_GB2312" w:cs="仿宋_GB2312"/>
                <w:b/>
                <w:kern w:val="0"/>
                <w:sz w:val="24"/>
                <w:szCs w:val="24"/>
                <w:lang w:bidi="ar"/>
              </w:rPr>
              <w:t>指标名称</w:t>
            </w:r>
          </w:p>
        </w:tc>
        <w:tc>
          <w:tcPr>
            <w:tcW w:w="3436" w:type="dxa"/>
            <w:tcBorders>
              <w:top w:val="single" w:color="000000" w:sz="4" w:space="0"/>
              <w:left w:val="single" w:color="auto" w:sz="4" w:space="0"/>
              <w:bottom w:val="single" w:color="000000" w:sz="4" w:space="0"/>
              <w:right w:val="single" w:color="auto" w:sz="4" w:space="0"/>
            </w:tcBorders>
            <w:vAlign w:val="center"/>
          </w:tcPr>
          <w:p w14:paraId="5B5B95A6">
            <w:pPr>
              <w:widowControl/>
              <w:spacing w:line="240" w:lineRule="exact"/>
              <w:jc w:val="center"/>
              <w:rPr>
                <w:b/>
              </w:rPr>
            </w:pPr>
            <w:r>
              <w:rPr>
                <w:rFonts w:ascii="仿宋_GB2312" w:hAnsi="新宋体" w:eastAsia="仿宋_GB2312" w:cs="仿宋_GB2312"/>
                <w:b/>
                <w:kern w:val="0"/>
                <w:sz w:val="24"/>
                <w:szCs w:val="24"/>
                <w:lang w:bidi="ar"/>
              </w:rPr>
              <w:t>指标解释说明</w:t>
            </w:r>
          </w:p>
        </w:tc>
        <w:tc>
          <w:tcPr>
            <w:tcW w:w="2373" w:type="dxa"/>
            <w:vMerge w:val="continue"/>
            <w:tcBorders>
              <w:top w:val="single" w:color="000000" w:sz="4" w:space="0"/>
              <w:left w:val="single" w:color="auto" w:sz="4" w:space="0"/>
              <w:bottom w:val="single" w:color="000000" w:sz="4" w:space="0"/>
              <w:right w:val="single" w:color="auto" w:sz="4" w:space="0"/>
            </w:tcBorders>
            <w:vAlign w:val="center"/>
          </w:tcPr>
          <w:p w14:paraId="7087A2C4">
            <w:pPr>
              <w:rPr>
                <w:rFonts w:ascii="宋体"/>
                <w:szCs w:val="21"/>
              </w:rPr>
            </w:pPr>
          </w:p>
        </w:tc>
        <w:tc>
          <w:tcPr>
            <w:tcW w:w="764" w:type="dxa"/>
            <w:vMerge w:val="continue"/>
            <w:tcBorders>
              <w:top w:val="single" w:color="000000" w:sz="4" w:space="0"/>
              <w:left w:val="single" w:color="auto" w:sz="4" w:space="0"/>
              <w:bottom w:val="single" w:color="000000" w:sz="4" w:space="0"/>
              <w:right w:val="single" w:color="auto" w:sz="4" w:space="0"/>
            </w:tcBorders>
            <w:vAlign w:val="center"/>
          </w:tcPr>
          <w:p w14:paraId="1D940C39">
            <w:pPr>
              <w:rPr>
                <w:rFonts w:ascii="宋体"/>
                <w:szCs w:val="21"/>
              </w:rPr>
            </w:pPr>
          </w:p>
        </w:tc>
      </w:tr>
      <w:tr w14:paraId="52042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629ED9F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投入（10）</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69E8CBB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绩效目标设定情况</w:t>
            </w:r>
          </w:p>
          <w:p w14:paraId="77DC4F7B">
            <w:pPr>
              <w:widowControl/>
              <w:spacing w:line="240" w:lineRule="exact"/>
              <w:jc w:val="left"/>
              <w:rPr>
                <w:rFonts w:hint="eastAsia" w:ascii="仿宋_GB2312" w:hAnsi="仿宋_GB2312" w:eastAsia="仿宋_GB2312" w:cs="仿宋_GB2312"/>
                <w:color w:val="FF0000"/>
                <w:sz w:val="21"/>
                <w:szCs w:val="21"/>
              </w:rPr>
            </w:pPr>
            <w:r>
              <w:rPr>
                <w:rFonts w:hint="eastAsia" w:ascii="仿宋_GB2312" w:hAnsi="仿宋_GB2312" w:eastAsia="仿宋_GB2312" w:cs="仿宋_GB2312"/>
                <w:kern w:val="0"/>
                <w:sz w:val="21"/>
                <w:szCs w:val="21"/>
                <w:lang w:bidi="ar"/>
              </w:rPr>
              <w:t>（5分）</w:t>
            </w:r>
          </w:p>
        </w:tc>
        <w:tc>
          <w:tcPr>
            <w:tcW w:w="1275" w:type="dxa"/>
            <w:tcBorders>
              <w:top w:val="single" w:color="000000" w:sz="4" w:space="0"/>
              <w:left w:val="single" w:color="000000" w:sz="4" w:space="0"/>
              <w:bottom w:val="single" w:color="auto" w:sz="4" w:space="0"/>
              <w:right w:val="single" w:color="auto" w:sz="4" w:space="0"/>
            </w:tcBorders>
            <w:vAlign w:val="center"/>
          </w:tcPr>
          <w:p w14:paraId="5765D17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职责明确 （1分）</w:t>
            </w:r>
          </w:p>
        </w:tc>
        <w:tc>
          <w:tcPr>
            <w:tcW w:w="3436" w:type="dxa"/>
            <w:tcBorders>
              <w:top w:val="single" w:color="000000" w:sz="4" w:space="0"/>
              <w:left w:val="single" w:color="auto" w:sz="4" w:space="0"/>
              <w:bottom w:val="single" w:color="auto" w:sz="4" w:space="0"/>
              <w:right w:val="single" w:color="auto" w:sz="4" w:space="0"/>
            </w:tcBorders>
            <w:vAlign w:val="center"/>
          </w:tcPr>
          <w:p w14:paraId="26ABE4A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部门的职责设定是否符合“三定”方案中所赋予的职责，用以反映和评价部门工作的目的性与计划性。</w:t>
            </w:r>
          </w:p>
        </w:tc>
        <w:tc>
          <w:tcPr>
            <w:tcW w:w="2373" w:type="dxa"/>
            <w:tcBorders>
              <w:top w:val="single" w:color="000000" w:sz="4" w:space="0"/>
              <w:left w:val="single" w:color="auto" w:sz="4" w:space="0"/>
              <w:bottom w:val="single" w:color="auto" w:sz="4" w:space="0"/>
              <w:right w:val="single" w:color="auto" w:sz="4" w:space="0"/>
            </w:tcBorders>
            <w:vAlign w:val="center"/>
          </w:tcPr>
          <w:p w14:paraId="660AE41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符合（1）；</w:t>
            </w:r>
          </w:p>
          <w:p w14:paraId="4D5D142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不符合（0）。</w:t>
            </w:r>
          </w:p>
        </w:tc>
        <w:tc>
          <w:tcPr>
            <w:tcW w:w="764" w:type="dxa"/>
            <w:tcBorders>
              <w:top w:val="single" w:color="000000" w:sz="4" w:space="0"/>
              <w:left w:val="single" w:color="auto" w:sz="4" w:space="0"/>
              <w:bottom w:val="single" w:color="auto" w:sz="4" w:space="0"/>
              <w:right w:val="single" w:color="000000" w:sz="4" w:space="0"/>
            </w:tcBorders>
            <w:vAlign w:val="center"/>
          </w:tcPr>
          <w:p w14:paraId="5296FD44">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14:paraId="366A8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3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444BA989">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7319F6E5">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auto" w:sz="4" w:space="0"/>
              <w:right w:val="single" w:color="auto" w:sz="4" w:space="0"/>
            </w:tcBorders>
            <w:vAlign w:val="center"/>
          </w:tcPr>
          <w:p w14:paraId="5F73ECB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活动合规性（2分）</w:t>
            </w:r>
          </w:p>
        </w:tc>
        <w:tc>
          <w:tcPr>
            <w:tcW w:w="3436" w:type="dxa"/>
            <w:tcBorders>
              <w:top w:val="single" w:color="000000" w:sz="4" w:space="0"/>
              <w:left w:val="single" w:color="auto" w:sz="4" w:space="0"/>
              <w:bottom w:val="single" w:color="auto" w:sz="4" w:space="0"/>
              <w:right w:val="single" w:color="auto" w:sz="4" w:space="0"/>
            </w:tcBorders>
            <w:vAlign w:val="center"/>
          </w:tcPr>
          <w:p w14:paraId="2875149E">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部门的活动是否在职责范围之内并符合部门中长期规划，用以反映和评价部门活动目标与部门履职、年度工作任务的相符性情况。</w:t>
            </w:r>
          </w:p>
          <w:p w14:paraId="72F4D51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5338D0C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1.部门活动的设定在部门所确定的职责范围之内；</w:t>
            </w:r>
          </w:p>
          <w:p w14:paraId="67E1FB5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2.部门活动符合市委、市政府的发展规划及本部门的年度工作安排与发展规划。</w:t>
            </w:r>
          </w:p>
        </w:tc>
        <w:tc>
          <w:tcPr>
            <w:tcW w:w="2373" w:type="dxa"/>
            <w:tcBorders>
              <w:top w:val="single" w:color="000000" w:sz="4" w:space="0"/>
              <w:left w:val="single" w:color="auto" w:sz="4" w:space="0"/>
              <w:bottom w:val="single" w:color="auto" w:sz="4" w:space="0"/>
              <w:right w:val="single" w:color="auto" w:sz="4" w:space="0"/>
            </w:tcBorders>
            <w:vAlign w:val="center"/>
          </w:tcPr>
          <w:p w14:paraId="4BABFEC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全部符合（2）；</w:t>
            </w:r>
          </w:p>
          <w:p w14:paraId="589BC00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其中一项不符合（0）。</w:t>
            </w:r>
          </w:p>
        </w:tc>
        <w:tc>
          <w:tcPr>
            <w:tcW w:w="764" w:type="dxa"/>
            <w:tcBorders>
              <w:top w:val="single" w:color="000000" w:sz="4" w:space="0"/>
              <w:left w:val="single" w:color="auto" w:sz="4" w:space="0"/>
              <w:bottom w:val="single" w:color="auto" w:sz="4" w:space="0"/>
              <w:right w:val="single" w:color="000000" w:sz="4" w:space="0"/>
            </w:tcBorders>
            <w:vAlign w:val="center"/>
          </w:tcPr>
          <w:p w14:paraId="43496CB1">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14:paraId="387A8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6E6D8091">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6FEB73BA">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auto" w:sz="4" w:space="0"/>
              <w:right w:val="single" w:color="auto" w:sz="4" w:space="0"/>
            </w:tcBorders>
            <w:vAlign w:val="center"/>
          </w:tcPr>
          <w:p w14:paraId="48D54DE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活动合理性（2分）</w:t>
            </w:r>
          </w:p>
        </w:tc>
        <w:tc>
          <w:tcPr>
            <w:tcW w:w="3436" w:type="dxa"/>
            <w:tcBorders>
              <w:top w:val="single" w:color="000000" w:sz="4" w:space="0"/>
              <w:left w:val="single" w:color="auto" w:sz="4" w:space="0"/>
              <w:bottom w:val="single" w:color="auto" w:sz="4" w:space="0"/>
              <w:right w:val="single" w:color="auto" w:sz="4" w:space="0"/>
            </w:tcBorders>
            <w:vAlign w:val="center"/>
          </w:tcPr>
          <w:p w14:paraId="715AFEB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部门所设立的活动是否明确合理、活动的关键性指标设置是否可衡量，用以反映和评价部门活动目标设定的合理性。</w:t>
            </w:r>
          </w:p>
          <w:p w14:paraId="762FBF0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6E83CBD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1.活动目标的设定是可量化的，可通过清晰、可衡量的关键指标值予以体现；</w:t>
            </w:r>
          </w:p>
          <w:p w14:paraId="34B8791E">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2.在活动目标设定时，将关键指标明细分解为具体的达成目标与工作任务。</w:t>
            </w:r>
          </w:p>
        </w:tc>
        <w:tc>
          <w:tcPr>
            <w:tcW w:w="2373" w:type="dxa"/>
            <w:tcBorders>
              <w:top w:val="single" w:color="000000" w:sz="4" w:space="0"/>
              <w:left w:val="single" w:color="auto" w:sz="4" w:space="0"/>
              <w:bottom w:val="single" w:color="auto" w:sz="4" w:space="0"/>
              <w:right w:val="single" w:color="auto" w:sz="4" w:space="0"/>
            </w:tcBorders>
            <w:vAlign w:val="center"/>
          </w:tcPr>
          <w:p w14:paraId="7BE7F11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全部符合（2）；</w:t>
            </w:r>
          </w:p>
          <w:p w14:paraId="010289B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其中一项不符合（0）。</w:t>
            </w:r>
          </w:p>
        </w:tc>
        <w:tc>
          <w:tcPr>
            <w:tcW w:w="764" w:type="dxa"/>
            <w:tcBorders>
              <w:top w:val="single" w:color="000000" w:sz="4" w:space="0"/>
              <w:left w:val="single" w:color="auto" w:sz="4" w:space="0"/>
              <w:bottom w:val="single" w:color="auto" w:sz="4" w:space="0"/>
              <w:right w:val="single" w:color="000000" w:sz="4" w:space="0"/>
            </w:tcBorders>
            <w:vAlign w:val="center"/>
          </w:tcPr>
          <w:p w14:paraId="7CEC3D32">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14:paraId="782E0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77BEB674">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right w:val="single" w:color="000000" w:sz="4" w:space="0"/>
            </w:tcBorders>
            <w:vAlign w:val="center"/>
          </w:tcPr>
          <w:p w14:paraId="4AA5152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预算配置情况(5分)</w:t>
            </w:r>
          </w:p>
        </w:tc>
        <w:tc>
          <w:tcPr>
            <w:tcW w:w="1275" w:type="dxa"/>
            <w:tcBorders>
              <w:top w:val="single" w:color="auto" w:sz="4" w:space="0"/>
              <w:left w:val="single" w:color="000000" w:sz="4" w:space="0"/>
              <w:right w:val="single" w:color="auto" w:sz="4" w:space="0"/>
            </w:tcBorders>
            <w:vAlign w:val="center"/>
          </w:tcPr>
          <w:p w14:paraId="6D4B823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在职人员控制率（1分）</w:t>
            </w:r>
          </w:p>
        </w:tc>
        <w:tc>
          <w:tcPr>
            <w:tcW w:w="3436" w:type="dxa"/>
            <w:tcBorders>
              <w:top w:val="single" w:color="auto" w:sz="4" w:space="0"/>
              <w:left w:val="single" w:color="auto" w:sz="4" w:space="0"/>
              <w:right w:val="single" w:color="auto" w:sz="4" w:space="0"/>
            </w:tcBorders>
            <w:vAlign w:val="center"/>
          </w:tcPr>
          <w:p w14:paraId="149630EE">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部门本年度实际在职人员数与编制数的比率，用以反映和评价部门对人员成本的控制程度。</w:t>
            </w:r>
          </w:p>
          <w:p w14:paraId="139DEFD0">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在职人员控制率=（在职人员数/编制数）×100%。</w:t>
            </w:r>
          </w:p>
          <w:p w14:paraId="43702DE1">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在职人员数：部门实际在职人数，以财政部确定的部门决算编制口径为准，由编制部门和人劳部门批复同意的临聘人员除外。</w:t>
            </w:r>
          </w:p>
          <w:p w14:paraId="281F1C0B">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编制数：机构编制部门核定批复的部门人员编制数。</w:t>
            </w:r>
          </w:p>
        </w:tc>
        <w:tc>
          <w:tcPr>
            <w:tcW w:w="2373" w:type="dxa"/>
            <w:tcBorders>
              <w:top w:val="single" w:color="auto" w:sz="4" w:space="0"/>
              <w:left w:val="single" w:color="auto" w:sz="4" w:space="0"/>
              <w:right w:val="single" w:color="auto" w:sz="4" w:space="0"/>
            </w:tcBorders>
            <w:vAlign w:val="center"/>
          </w:tcPr>
          <w:p w14:paraId="2EC6B26B">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1.在职人员控制率小于或等于100%的，得满分；</w:t>
            </w:r>
          </w:p>
          <w:p w14:paraId="7E3989E0">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2.在职人员控制率大于或等于115%的，得0分；</w:t>
            </w:r>
          </w:p>
          <w:p w14:paraId="2BBD6549">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3.在职人员控制率在100%-115%之间的，在0分和满分之间计算确定：</w:t>
            </w:r>
          </w:p>
          <w:p w14:paraId="4328AE04">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得分=[max（在职人员控制率）－某部门在职人员控制率]/[max（在职人员控制率）－min（在职人员控制率）]×该指标分值。</w:t>
            </w:r>
          </w:p>
        </w:tc>
        <w:tc>
          <w:tcPr>
            <w:tcW w:w="764" w:type="dxa"/>
            <w:tcBorders>
              <w:top w:val="single" w:color="auto" w:sz="4" w:space="0"/>
              <w:left w:val="single" w:color="auto" w:sz="4" w:space="0"/>
              <w:bottom w:val="single" w:color="000000" w:sz="4" w:space="0"/>
              <w:right w:val="single" w:color="000000" w:sz="4" w:space="0"/>
            </w:tcBorders>
            <w:vAlign w:val="center"/>
          </w:tcPr>
          <w:p w14:paraId="23966A99">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r>
      <w:tr w14:paraId="31517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restart"/>
            <w:tcBorders>
              <w:top w:val="single" w:color="000000" w:sz="4" w:space="0"/>
              <w:left w:val="single" w:color="000000" w:sz="4" w:space="0"/>
              <w:right w:val="single" w:color="000000" w:sz="4" w:space="0"/>
            </w:tcBorders>
            <w:vAlign w:val="center"/>
          </w:tcPr>
          <w:p w14:paraId="51847E0E">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right w:val="single" w:color="000000" w:sz="4" w:space="0"/>
            </w:tcBorders>
            <w:vAlign w:val="center"/>
          </w:tcPr>
          <w:p w14:paraId="59213117">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auto" w:sz="4" w:space="0"/>
              <w:left w:val="single" w:color="000000" w:sz="4" w:space="0"/>
              <w:right w:val="single" w:color="auto" w:sz="4" w:space="0"/>
            </w:tcBorders>
            <w:vAlign w:val="center"/>
          </w:tcPr>
          <w:p w14:paraId="52377425">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“三公经费”变动率（2分）</w:t>
            </w:r>
          </w:p>
        </w:tc>
        <w:tc>
          <w:tcPr>
            <w:tcW w:w="3436" w:type="dxa"/>
            <w:tcBorders>
              <w:top w:val="single" w:color="auto" w:sz="4" w:space="0"/>
              <w:left w:val="single" w:color="auto" w:sz="4" w:space="0"/>
              <w:right w:val="single" w:color="auto" w:sz="4" w:space="0"/>
            </w:tcBorders>
            <w:vAlign w:val="center"/>
          </w:tcPr>
          <w:p w14:paraId="7B470D2C">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部门本年度“三公经费”预算数与上年度“三公经费”预算数的变动比率，用以反映和考核部门对控制重点行政成本的努力程度。“三公经费”变动率=[（本年度“三公经费”总额-上年度“三公经费”总额）/上年度“三公经费”总额]×100%。</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“三公经费”：年度预算安排的因公出国（境）费、公务车辆购置及运行费和公务招待费。</w:t>
            </w:r>
          </w:p>
        </w:tc>
        <w:tc>
          <w:tcPr>
            <w:tcW w:w="2373" w:type="dxa"/>
            <w:tcBorders>
              <w:top w:val="single" w:color="auto" w:sz="4" w:space="0"/>
              <w:left w:val="single" w:color="auto" w:sz="4" w:space="0"/>
              <w:right w:val="single" w:color="auto" w:sz="4" w:space="0"/>
            </w:tcBorders>
            <w:vAlign w:val="center"/>
          </w:tcPr>
          <w:p w14:paraId="6AFF2D4B">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小于或等于-5%的，得满分；</w:t>
            </w:r>
          </w:p>
          <w:p w14:paraId="47E501F5">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大于或等于10%的，得0分；</w:t>
            </w:r>
          </w:p>
          <w:p w14:paraId="7DFA1C29">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3.在职人员控制率在-5%-10%之间的，在0分和满分之间计算确定：</w:t>
            </w:r>
          </w:p>
          <w:p w14:paraId="0F892E55">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得分=[max（</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]/[max（</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“三公经费”变动率</w:t>
            </w:r>
            <w:r>
              <w:rPr>
                <w:rFonts w:hint="eastAsia" w:ascii="仿宋_GB2312" w:hAnsi="仿宋_GB2312" w:eastAsia="仿宋_GB2312" w:cs="仿宋_GB2312"/>
                <w:kern w:val="0"/>
                <w:sz w:val="21"/>
                <w:szCs w:val="21"/>
                <w:lang w:bidi="ar"/>
              </w:rPr>
              <w:t>）]×该指标分值。</w:t>
            </w:r>
          </w:p>
        </w:tc>
        <w:tc>
          <w:tcPr>
            <w:tcW w:w="764" w:type="dxa"/>
            <w:tcBorders>
              <w:top w:val="single" w:color="auto" w:sz="4" w:space="0"/>
              <w:left w:val="single" w:color="auto" w:sz="4" w:space="0"/>
              <w:bottom w:val="single" w:color="000000" w:sz="4" w:space="0"/>
              <w:right w:val="single" w:color="000000" w:sz="4" w:space="0"/>
            </w:tcBorders>
            <w:vAlign w:val="center"/>
          </w:tcPr>
          <w:p w14:paraId="4A080A16">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14:paraId="5E76C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779" w:type="dxa"/>
            <w:vMerge w:val="continue"/>
            <w:tcBorders>
              <w:left w:val="single" w:color="000000" w:sz="4" w:space="0"/>
              <w:bottom w:val="single" w:color="000000" w:sz="4" w:space="0"/>
              <w:right w:val="single" w:color="000000" w:sz="4" w:space="0"/>
            </w:tcBorders>
            <w:vAlign w:val="center"/>
          </w:tcPr>
          <w:p w14:paraId="7012B482">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bottom w:val="single" w:color="000000" w:sz="4" w:space="0"/>
              <w:right w:val="single" w:color="000000" w:sz="4" w:space="0"/>
            </w:tcBorders>
            <w:vAlign w:val="center"/>
          </w:tcPr>
          <w:p w14:paraId="41663DDC">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auto" w:sz="4" w:space="0"/>
              <w:left w:val="single" w:color="000000" w:sz="4" w:space="0"/>
              <w:right w:val="single" w:color="auto" w:sz="4" w:space="0"/>
            </w:tcBorders>
            <w:vAlign w:val="center"/>
          </w:tcPr>
          <w:p w14:paraId="7DAB657D">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重点支出安排率（2分）</w:t>
            </w:r>
          </w:p>
        </w:tc>
        <w:tc>
          <w:tcPr>
            <w:tcW w:w="3436" w:type="dxa"/>
            <w:tcBorders>
              <w:top w:val="single" w:color="auto" w:sz="4" w:space="0"/>
              <w:left w:val="single" w:color="auto" w:sz="4" w:space="0"/>
              <w:right w:val="single" w:color="auto" w:sz="4" w:space="0"/>
            </w:tcBorders>
            <w:vAlign w:val="center"/>
          </w:tcPr>
          <w:p w14:paraId="5CA2E5D8">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color w:val="000000"/>
                <w:kern w:val="0"/>
                <w:sz w:val="21"/>
                <w:szCs w:val="21"/>
                <w:lang w:bidi="ar"/>
              </w:rPr>
              <w:t>部门本年度预算安排的重点项目支出与部门项目总支出的比率，用以反映和考核部门对履行主要职责或完成重点任务的保障程度。重点支出安排率=（重点项目支出/项目总支出）×100%。</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重点项目支出：部门（单位）年度预算安排的，与本部门履职和发展密切相关、具有明显社会和经济影响、党委政府关心或社会比较关注的项目支出总额。</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项目总支出：部门（单位）年度预算安排的项目支出总额。</w:t>
            </w:r>
          </w:p>
        </w:tc>
        <w:tc>
          <w:tcPr>
            <w:tcW w:w="2373" w:type="dxa"/>
            <w:tcBorders>
              <w:top w:val="single" w:color="auto" w:sz="4" w:space="0"/>
              <w:left w:val="single" w:color="auto" w:sz="4" w:space="0"/>
              <w:right w:val="single" w:color="auto" w:sz="4" w:space="0"/>
            </w:tcBorders>
            <w:vAlign w:val="center"/>
          </w:tcPr>
          <w:p w14:paraId="008E134B">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大于或等于95%的，得满分；</w:t>
            </w:r>
          </w:p>
          <w:p w14:paraId="11E02184">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小于或等于85%的，得0分；</w:t>
            </w:r>
          </w:p>
          <w:p w14:paraId="19E924A1">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在85%-95%之间的，在0分和满分之间计算确定：</w:t>
            </w:r>
          </w:p>
          <w:p w14:paraId="3EF8BF27">
            <w:pPr>
              <w:widowControl/>
              <w:spacing w:line="240" w:lineRule="exact"/>
              <w:jc w:val="left"/>
              <w:textAlignment w:val="center"/>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得分=[某部门</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）]/[max（</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）－min（</w:t>
            </w:r>
            <w:r>
              <w:rPr>
                <w:rFonts w:hint="eastAsia" w:ascii="仿宋_GB2312" w:hAnsi="仿宋_GB2312" w:eastAsia="仿宋_GB2312" w:cs="仿宋_GB2312"/>
                <w:color w:val="000000"/>
                <w:kern w:val="0"/>
                <w:sz w:val="21"/>
                <w:szCs w:val="21"/>
                <w:lang w:bidi="ar"/>
              </w:rPr>
              <w:t>重点支出安排率</w:t>
            </w:r>
            <w:r>
              <w:rPr>
                <w:rFonts w:hint="eastAsia" w:ascii="仿宋_GB2312" w:hAnsi="仿宋_GB2312" w:eastAsia="仿宋_GB2312" w:cs="仿宋_GB2312"/>
                <w:kern w:val="0"/>
                <w:sz w:val="21"/>
                <w:szCs w:val="21"/>
                <w:lang w:bidi="ar"/>
              </w:rPr>
              <w:t>）]×该指标分值。</w:t>
            </w:r>
          </w:p>
        </w:tc>
        <w:tc>
          <w:tcPr>
            <w:tcW w:w="764" w:type="dxa"/>
            <w:tcBorders>
              <w:top w:val="single" w:color="auto" w:sz="4" w:space="0"/>
              <w:left w:val="single" w:color="auto" w:sz="4" w:space="0"/>
              <w:bottom w:val="single" w:color="000000" w:sz="4" w:space="0"/>
              <w:right w:val="single" w:color="000000" w:sz="4" w:space="0"/>
            </w:tcBorders>
            <w:vAlign w:val="center"/>
          </w:tcPr>
          <w:p w14:paraId="0CDA0EFC">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14:paraId="2C3FC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40706BA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过程(45分)</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1EADE1C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预算执行情况(25分)</w:t>
            </w:r>
          </w:p>
        </w:tc>
        <w:tc>
          <w:tcPr>
            <w:tcW w:w="1275" w:type="dxa"/>
            <w:tcBorders>
              <w:top w:val="single" w:color="000000" w:sz="4" w:space="0"/>
              <w:left w:val="single" w:color="000000" w:sz="4" w:space="0"/>
              <w:bottom w:val="single" w:color="000000" w:sz="4" w:space="0"/>
              <w:right w:val="single" w:color="auto" w:sz="4" w:space="0"/>
            </w:tcBorders>
            <w:vAlign w:val="center"/>
          </w:tcPr>
          <w:p w14:paraId="6364A91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预算完成率（5分）</w:t>
            </w:r>
          </w:p>
        </w:tc>
        <w:tc>
          <w:tcPr>
            <w:tcW w:w="3436" w:type="dxa"/>
            <w:tcBorders>
              <w:top w:val="single" w:color="000000" w:sz="4" w:space="0"/>
              <w:left w:val="single" w:color="auto" w:sz="4" w:space="0"/>
              <w:bottom w:val="single" w:color="000000" w:sz="4" w:space="0"/>
              <w:right w:val="single" w:color="auto" w:sz="4" w:space="0"/>
            </w:tcBorders>
            <w:vAlign w:val="center"/>
          </w:tcPr>
          <w:p w14:paraId="3FB21C5B">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通过对部门本年度预算完成数与预算数的比较，反映和评价部门预算的完成程度。</w:t>
            </w:r>
          </w:p>
          <w:p w14:paraId="708623AB">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预算完成率=（预算完成数/预算数）×100%。</w:t>
            </w:r>
          </w:p>
        </w:tc>
        <w:tc>
          <w:tcPr>
            <w:tcW w:w="2373" w:type="dxa"/>
            <w:tcBorders>
              <w:top w:val="single" w:color="000000" w:sz="4" w:space="0"/>
              <w:left w:val="single" w:color="auto" w:sz="4" w:space="0"/>
              <w:bottom w:val="single" w:color="000000" w:sz="4" w:space="0"/>
              <w:right w:val="single" w:color="auto" w:sz="4" w:space="0"/>
            </w:tcBorders>
            <w:vAlign w:val="center"/>
          </w:tcPr>
          <w:p w14:paraId="2CBBE6C1">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1.预算完成率大于或等于95%的，得满分；</w:t>
            </w:r>
          </w:p>
          <w:p w14:paraId="75271D04">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2.预算完成率小于或等于85%的，得0分；</w:t>
            </w:r>
          </w:p>
          <w:p w14:paraId="539C1BE2">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3.预算完成率在85%-95%之间的，在0分和满分之间计算确定：</w:t>
            </w:r>
          </w:p>
          <w:p w14:paraId="49544299">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得分=[某部门预算完成率-min（预算完成率）]/[max（预算完成率）－min（预算完成率）]×该指标分值。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14:paraId="47BBA4EC">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14:paraId="257723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605387EB">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75B604B7">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3D9C20E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预算调整率（3分）</w:t>
            </w:r>
          </w:p>
        </w:tc>
        <w:tc>
          <w:tcPr>
            <w:tcW w:w="3436" w:type="dxa"/>
            <w:tcBorders>
              <w:top w:val="single" w:color="000000" w:sz="4" w:space="0"/>
              <w:left w:val="single" w:color="auto" w:sz="4" w:space="0"/>
              <w:bottom w:val="single" w:color="000000" w:sz="4" w:space="0"/>
              <w:right w:val="single" w:color="auto" w:sz="4" w:space="0"/>
            </w:tcBorders>
            <w:vAlign w:val="center"/>
          </w:tcPr>
          <w:p w14:paraId="51B4665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部门本年度预算调整数与预算数的比率，用以反映和评价部门预算的调整程度。</w:t>
            </w:r>
          </w:p>
          <w:p w14:paraId="0DABB98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预算调整率=（预算调整数/预算数）×100%。</w:t>
            </w:r>
          </w:p>
        </w:tc>
        <w:tc>
          <w:tcPr>
            <w:tcW w:w="2373" w:type="dxa"/>
            <w:tcBorders>
              <w:top w:val="single" w:color="000000" w:sz="4" w:space="0"/>
              <w:left w:val="single" w:color="auto" w:sz="4" w:space="0"/>
              <w:bottom w:val="single" w:color="000000" w:sz="4" w:space="0"/>
              <w:right w:val="single" w:color="auto" w:sz="4" w:space="0"/>
            </w:tcBorders>
            <w:vAlign w:val="center"/>
          </w:tcPr>
          <w:p w14:paraId="2FDA06B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 xml:space="preserve">1.预算调整率等于0的，得满分； </w:t>
            </w:r>
          </w:p>
          <w:p w14:paraId="4E0333F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2.预算调整率大于或等于10%的，得0分；</w:t>
            </w:r>
          </w:p>
          <w:p w14:paraId="566097B8">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3.预算调整率在0-10%之间的，在0分和满分之间确定：</w:t>
            </w:r>
          </w:p>
          <w:p w14:paraId="7481C76B">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得分=［max（预算调整率）-某部门预算调整率］/［max（预算调整率）-min（预算调整率）］×该指标分值。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14:paraId="22B3950A">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r>
      <w:tr w14:paraId="3EE36B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4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0DD6524A">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0CCC21EF">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04F6985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支付进度率</w:t>
            </w:r>
            <w:r>
              <w:rPr>
                <w:rFonts w:hint="eastAsia" w:ascii="仿宋_GB2312" w:hAnsi="仿宋_GB2312" w:eastAsia="仿宋_GB2312" w:cs="仿宋_GB2312"/>
                <w:kern w:val="0"/>
                <w:sz w:val="21"/>
                <w:szCs w:val="21"/>
                <w:lang w:bidi="ar"/>
              </w:rPr>
              <w:t>（5分）</w:t>
            </w:r>
          </w:p>
        </w:tc>
        <w:tc>
          <w:tcPr>
            <w:tcW w:w="3436" w:type="dxa"/>
            <w:tcBorders>
              <w:top w:val="single" w:color="000000" w:sz="4" w:space="0"/>
              <w:left w:val="single" w:color="auto" w:sz="4" w:space="0"/>
              <w:bottom w:val="single" w:color="000000" w:sz="4" w:space="0"/>
              <w:right w:val="single" w:color="auto" w:sz="4" w:space="0"/>
            </w:tcBorders>
            <w:vAlign w:val="center"/>
          </w:tcPr>
          <w:p w14:paraId="1B0C7DF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部门年度支付数与年度任务数的比率，用以反映和评价部门预算执行的及时和均衡程度。</w:t>
            </w:r>
          </w:p>
          <w:p w14:paraId="417BAF0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支付进度率=（年度支付数/年度任务数）×100%。</w:t>
            </w:r>
          </w:p>
        </w:tc>
        <w:tc>
          <w:tcPr>
            <w:tcW w:w="2373" w:type="dxa"/>
            <w:tcBorders>
              <w:top w:val="single" w:color="000000" w:sz="4" w:space="0"/>
              <w:left w:val="single" w:color="auto" w:sz="4" w:space="0"/>
              <w:bottom w:val="single" w:color="000000" w:sz="4" w:space="0"/>
              <w:right w:val="single" w:color="auto" w:sz="4" w:space="0"/>
            </w:tcBorders>
            <w:vAlign w:val="center"/>
          </w:tcPr>
          <w:p w14:paraId="37A6F50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按年度的执行情况进行打分。得分=年度支付数/年度任务数×该指标分值。</w:t>
            </w:r>
          </w:p>
          <w:p w14:paraId="002944EB">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p>
        </w:tc>
        <w:tc>
          <w:tcPr>
            <w:tcW w:w="764" w:type="dxa"/>
            <w:tcBorders>
              <w:top w:val="single" w:color="000000" w:sz="4" w:space="0"/>
              <w:left w:val="single" w:color="auto" w:sz="4" w:space="0"/>
              <w:bottom w:val="single" w:color="000000" w:sz="4" w:space="0"/>
              <w:right w:val="single" w:color="000000" w:sz="4" w:space="0"/>
            </w:tcBorders>
            <w:vAlign w:val="center"/>
          </w:tcPr>
          <w:p w14:paraId="6F86AA0D">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14:paraId="63F28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74"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51526D1B">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3804AEDF">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7F4FF0F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结转结余率（4分）</w:t>
            </w:r>
          </w:p>
        </w:tc>
        <w:tc>
          <w:tcPr>
            <w:tcW w:w="3436" w:type="dxa"/>
            <w:tcBorders>
              <w:top w:val="single" w:color="000000" w:sz="4" w:space="0"/>
              <w:left w:val="single" w:color="auto" w:sz="4" w:space="0"/>
              <w:bottom w:val="single" w:color="000000" w:sz="4" w:space="0"/>
              <w:right w:val="single" w:color="auto" w:sz="4" w:space="0"/>
            </w:tcBorders>
            <w:vAlign w:val="center"/>
          </w:tcPr>
          <w:p w14:paraId="3A94DB7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通过对部门本年度结转结余总额与支出预算数的比较，反映和评价部门对本年度结转结余资金的实际控制程度。</w:t>
            </w:r>
          </w:p>
          <w:p w14:paraId="5E33435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结转结余率=（结转结余总额/支出预算数）×100%。</w:t>
            </w:r>
          </w:p>
        </w:tc>
        <w:tc>
          <w:tcPr>
            <w:tcW w:w="2373" w:type="dxa"/>
            <w:tcBorders>
              <w:top w:val="single" w:color="000000" w:sz="4" w:space="0"/>
              <w:left w:val="single" w:color="auto" w:sz="4" w:space="0"/>
              <w:bottom w:val="single" w:color="000000" w:sz="4" w:space="0"/>
              <w:right w:val="single" w:color="auto" w:sz="4" w:space="0"/>
            </w:tcBorders>
            <w:vAlign w:val="center"/>
          </w:tcPr>
          <w:p w14:paraId="260AE37D">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1.结转结余率等于0的，得满分；</w:t>
            </w:r>
          </w:p>
          <w:p w14:paraId="4F4510BF">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2.结转结余率大于或等于50%的，得0分；</w:t>
            </w:r>
          </w:p>
          <w:p w14:paraId="0282FA2A">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3.结转结余率在0-50%之间的，在0和满分之间计算确定：</w:t>
            </w:r>
          </w:p>
          <w:p w14:paraId="37A69125">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得分=[max（结转结余率）－某部门结转结余率]/[max（结转结余率）－min（结转结余率）]×该指标分值。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14:paraId="2762B10F">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r>
      <w:tr w14:paraId="50178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5358ABC5">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5CE3FCD3">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288C575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公用经费控制率（4分）</w:t>
            </w:r>
          </w:p>
        </w:tc>
        <w:tc>
          <w:tcPr>
            <w:tcW w:w="3436" w:type="dxa"/>
            <w:tcBorders>
              <w:top w:val="single" w:color="000000" w:sz="4" w:space="0"/>
              <w:left w:val="single" w:color="auto" w:sz="4" w:space="0"/>
              <w:bottom w:val="single" w:color="000000" w:sz="4" w:space="0"/>
              <w:right w:val="single" w:color="auto" w:sz="4" w:space="0"/>
            </w:tcBorders>
            <w:vAlign w:val="center"/>
          </w:tcPr>
          <w:p w14:paraId="2D9928A9">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通过对部门本年度实际支出的公用经费总额与预算安排的公用经费总额的比率，反映和评价部门对机构运转成本的实际控制程度。</w:t>
            </w:r>
          </w:p>
          <w:p w14:paraId="771B4968">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公用经费控制率=（实际支出公用经费总额/预算安排公用经费总额）×100%。</w:t>
            </w:r>
          </w:p>
        </w:tc>
        <w:tc>
          <w:tcPr>
            <w:tcW w:w="2373" w:type="dxa"/>
            <w:tcBorders>
              <w:top w:val="single" w:color="000000" w:sz="4" w:space="0"/>
              <w:left w:val="single" w:color="auto" w:sz="4" w:space="0"/>
              <w:bottom w:val="single" w:color="000000" w:sz="4" w:space="0"/>
              <w:right w:val="single" w:color="auto" w:sz="4" w:space="0"/>
            </w:tcBorders>
            <w:vAlign w:val="center"/>
          </w:tcPr>
          <w:p w14:paraId="785F6C17">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1.公用经费控制率小于或等于100%的，得满分；</w:t>
            </w:r>
          </w:p>
          <w:p w14:paraId="6AEE463E">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2.公用经费控制率大于或等于105%的，得0分；</w:t>
            </w:r>
          </w:p>
          <w:p w14:paraId="38A51A6B">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3.公用经费控制率在100%-105%之间的，在0和满分之间计算确定：</w:t>
            </w:r>
          </w:p>
          <w:p w14:paraId="45A13C80">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得分=［max（公用经费控制率）-某部门公用经费控制率］/［max（公用经费控制率）-min（公用经费控制率）］×该指标分值。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14:paraId="2773091A">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r>
      <w:tr w14:paraId="6FF45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794BA157">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03F0218F">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4521F95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政府采购执行率（4分）</w:t>
            </w:r>
          </w:p>
        </w:tc>
        <w:tc>
          <w:tcPr>
            <w:tcW w:w="3436" w:type="dxa"/>
            <w:tcBorders>
              <w:top w:val="single" w:color="000000" w:sz="4" w:space="0"/>
              <w:left w:val="single" w:color="auto" w:sz="4" w:space="0"/>
              <w:bottom w:val="single" w:color="000000" w:sz="4" w:space="0"/>
              <w:right w:val="single" w:color="auto" w:sz="4" w:space="0"/>
            </w:tcBorders>
            <w:vAlign w:val="center"/>
          </w:tcPr>
          <w:p w14:paraId="60B9ED3D">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通过对部门本年度实际政府采购预算项目个数与政府采购预算项目个数的比较，反映和评价部门政府采购预算执行情况。</w:t>
            </w:r>
          </w:p>
          <w:p w14:paraId="56E415FD">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政府采购执行率=（实际政府采购预算项目个数/政府采购预算项目个数）×100%。</w:t>
            </w:r>
          </w:p>
          <w:p w14:paraId="7D5AE693">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政府采购项目中非预算内安排的项目除外。</w:t>
            </w:r>
          </w:p>
        </w:tc>
        <w:tc>
          <w:tcPr>
            <w:tcW w:w="2373" w:type="dxa"/>
            <w:tcBorders>
              <w:top w:val="single" w:color="000000" w:sz="4" w:space="0"/>
              <w:left w:val="single" w:color="auto" w:sz="4" w:space="0"/>
              <w:bottom w:val="single" w:color="000000" w:sz="4" w:space="0"/>
              <w:right w:val="single" w:color="auto" w:sz="4" w:space="0"/>
            </w:tcBorders>
            <w:vAlign w:val="center"/>
          </w:tcPr>
          <w:p w14:paraId="6A406F17">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1.政府采购执行率等于100%的，得满分；</w:t>
            </w:r>
          </w:p>
          <w:p w14:paraId="56125F29">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2.政府采购执行率小于或等于90%的，0分；</w:t>
            </w:r>
          </w:p>
          <w:p w14:paraId="6D025205">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3.政府采购执行率在90%-100%之间的，在0和满分之间计算确定：</w:t>
            </w:r>
          </w:p>
          <w:p w14:paraId="15522EAA">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得分=［某部门政府采购执行率-min（政府采购执行率）］/［max（政府采购执行率）-min（政府采购执行率）］×该指标分值。</w:t>
            </w:r>
          </w:p>
        </w:tc>
        <w:tc>
          <w:tcPr>
            <w:tcW w:w="764" w:type="dxa"/>
            <w:tcBorders>
              <w:top w:val="single" w:color="000000" w:sz="4" w:space="0"/>
              <w:left w:val="single" w:color="auto" w:sz="4" w:space="0"/>
              <w:bottom w:val="single" w:color="000000" w:sz="4" w:space="0"/>
              <w:right w:val="single" w:color="000000" w:sz="4" w:space="0"/>
            </w:tcBorders>
            <w:vAlign w:val="center"/>
          </w:tcPr>
          <w:p w14:paraId="6C54269C">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r>
      <w:tr w14:paraId="3D411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6E05CE8C">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77936AC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预算管理情况</w:t>
            </w:r>
          </w:p>
          <w:p w14:paraId="2B99E13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（15）</w:t>
            </w:r>
          </w:p>
        </w:tc>
        <w:tc>
          <w:tcPr>
            <w:tcW w:w="1275" w:type="dxa"/>
            <w:tcBorders>
              <w:top w:val="single" w:color="000000" w:sz="4" w:space="0"/>
              <w:left w:val="single" w:color="000000" w:sz="4" w:space="0"/>
              <w:bottom w:val="single" w:color="000000" w:sz="4" w:space="0"/>
              <w:right w:val="single" w:color="auto" w:sz="4" w:space="0"/>
            </w:tcBorders>
            <w:vAlign w:val="center"/>
          </w:tcPr>
          <w:p w14:paraId="0079917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资金使用合规性（8分）</w:t>
            </w:r>
          </w:p>
        </w:tc>
        <w:tc>
          <w:tcPr>
            <w:tcW w:w="3436" w:type="dxa"/>
            <w:tcBorders>
              <w:top w:val="single" w:color="000000" w:sz="4" w:space="0"/>
              <w:left w:val="single" w:color="auto" w:sz="4" w:space="0"/>
              <w:bottom w:val="single" w:color="000000" w:sz="4" w:space="0"/>
              <w:right w:val="single" w:color="auto" w:sz="4" w:space="0"/>
            </w:tcBorders>
            <w:vAlign w:val="center"/>
          </w:tcPr>
          <w:p w14:paraId="1CE20F8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部门使用预算资金是否符合相关的预算财务管理制度的规定，反映和评价部门预算资金的规范运行情况。</w:t>
            </w:r>
          </w:p>
          <w:p w14:paraId="067EC24E">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13EC6E8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1.符合国家财经法规和财务管理制度规定以及有关部门资金管理办法的规定；</w:t>
            </w:r>
          </w:p>
          <w:p w14:paraId="7FC75B6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2.资金的拨付有完整的审批过程和手续；</w:t>
            </w:r>
          </w:p>
          <w:p w14:paraId="0847C41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3.项目的重大开支经过评估论证；</w:t>
            </w:r>
          </w:p>
          <w:p w14:paraId="37A0F67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4.符合部门预算批复的用途；</w:t>
            </w:r>
          </w:p>
          <w:p w14:paraId="21C148C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5.不存在截留情况；</w:t>
            </w:r>
          </w:p>
          <w:p w14:paraId="743492C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6.不存在挤占情况；</w:t>
            </w:r>
          </w:p>
          <w:p w14:paraId="40EA51F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7.不存在挪用情况；</w:t>
            </w:r>
          </w:p>
          <w:p w14:paraId="492EBD5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8.不存在虚列支出情况。</w:t>
            </w:r>
          </w:p>
        </w:tc>
        <w:tc>
          <w:tcPr>
            <w:tcW w:w="2373" w:type="dxa"/>
            <w:tcBorders>
              <w:top w:val="single" w:color="000000" w:sz="4" w:space="0"/>
              <w:left w:val="single" w:color="auto" w:sz="4" w:space="0"/>
              <w:bottom w:val="single" w:color="000000" w:sz="4" w:space="0"/>
              <w:right w:val="single" w:color="auto" w:sz="4" w:space="0"/>
            </w:tcBorders>
            <w:vAlign w:val="center"/>
          </w:tcPr>
          <w:p w14:paraId="0E71262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全部符合（8）；</w:t>
            </w:r>
          </w:p>
          <w:p w14:paraId="2A04C03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符合其中七项（6）；</w:t>
            </w:r>
          </w:p>
          <w:p w14:paraId="0EEAA2F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符合其中六项（4）；</w:t>
            </w:r>
          </w:p>
          <w:p w14:paraId="49C301A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符合其中五项（2）；</w:t>
            </w:r>
          </w:p>
          <w:p w14:paraId="5065240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符合其中四项及以下（0）。</w:t>
            </w:r>
          </w:p>
        </w:tc>
        <w:tc>
          <w:tcPr>
            <w:tcW w:w="764" w:type="dxa"/>
            <w:tcBorders>
              <w:top w:val="single" w:color="000000" w:sz="4" w:space="0"/>
              <w:left w:val="single" w:color="auto" w:sz="4" w:space="0"/>
              <w:bottom w:val="single" w:color="000000" w:sz="4" w:space="0"/>
              <w:right w:val="single" w:color="000000" w:sz="4" w:space="0"/>
            </w:tcBorders>
            <w:vAlign w:val="center"/>
          </w:tcPr>
          <w:p w14:paraId="2FC5183A">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8</w:t>
            </w:r>
          </w:p>
        </w:tc>
      </w:tr>
      <w:tr w14:paraId="1EC9D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614587DA">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641AB282">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70D9E76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预决算信息公开性（3分）</w:t>
            </w:r>
          </w:p>
        </w:tc>
        <w:tc>
          <w:tcPr>
            <w:tcW w:w="3436" w:type="dxa"/>
            <w:tcBorders>
              <w:top w:val="single" w:color="000000" w:sz="4" w:space="0"/>
              <w:left w:val="single" w:color="auto" w:sz="4" w:space="0"/>
              <w:bottom w:val="single" w:color="000000" w:sz="4" w:space="0"/>
              <w:right w:val="single" w:color="auto" w:sz="4" w:space="0"/>
            </w:tcBorders>
            <w:vAlign w:val="center"/>
          </w:tcPr>
          <w:p w14:paraId="2B5DC24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部门是否按照政府信息公开有关规定公开相关预决算信息，用以反映和评价部门预决算管理的公开透明情况。</w:t>
            </w:r>
          </w:p>
          <w:p w14:paraId="3808DEC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预决算信息是指与部门预算、执行、决算、监督、绩效等管理相关的信息。</w:t>
            </w:r>
          </w:p>
          <w:p w14:paraId="2E54FB8E">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254FB7B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1.公开预决算信息；</w:t>
            </w:r>
          </w:p>
          <w:p w14:paraId="2E4FCBE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2.按规定内容公开预决算信息；</w:t>
            </w:r>
          </w:p>
          <w:p w14:paraId="1C9AF88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3.按规定时限公开预决算信息。</w:t>
            </w:r>
          </w:p>
        </w:tc>
        <w:tc>
          <w:tcPr>
            <w:tcW w:w="2373" w:type="dxa"/>
            <w:tcBorders>
              <w:top w:val="single" w:color="000000" w:sz="4" w:space="0"/>
              <w:left w:val="single" w:color="auto" w:sz="4" w:space="0"/>
              <w:bottom w:val="single" w:color="000000" w:sz="4" w:space="0"/>
              <w:right w:val="single" w:color="auto" w:sz="4" w:space="0"/>
            </w:tcBorders>
            <w:vAlign w:val="center"/>
          </w:tcPr>
          <w:p w14:paraId="476B735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全部符合（3）；</w:t>
            </w:r>
          </w:p>
          <w:p w14:paraId="254D8EA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符合其中两项（2）</w:t>
            </w:r>
          </w:p>
          <w:p w14:paraId="0E33730F">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符合其中一项及以下（0）。</w:t>
            </w:r>
          </w:p>
        </w:tc>
        <w:tc>
          <w:tcPr>
            <w:tcW w:w="764" w:type="dxa"/>
            <w:tcBorders>
              <w:top w:val="single" w:color="000000" w:sz="4" w:space="0"/>
              <w:left w:val="single" w:color="auto" w:sz="4" w:space="0"/>
              <w:bottom w:val="single" w:color="000000" w:sz="4" w:space="0"/>
              <w:right w:val="single" w:color="000000" w:sz="4" w:space="0"/>
            </w:tcBorders>
            <w:vAlign w:val="center"/>
          </w:tcPr>
          <w:p w14:paraId="0EA1A597">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r>
      <w:tr w14:paraId="129FA9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4CFD611E">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4EA4AF76">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71B7E47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基础信息完善性</w:t>
            </w:r>
            <w:r>
              <w:rPr>
                <w:rFonts w:hint="eastAsia" w:ascii="仿宋_GB2312" w:hAnsi="仿宋_GB2312" w:eastAsia="仿宋_GB2312" w:cs="仿宋_GB2312"/>
                <w:kern w:val="0"/>
                <w:sz w:val="21"/>
                <w:szCs w:val="21"/>
                <w:lang w:bidi="ar"/>
              </w:rPr>
              <w:t>（4分）</w:t>
            </w:r>
          </w:p>
        </w:tc>
        <w:tc>
          <w:tcPr>
            <w:tcW w:w="3436" w:type="dxa"/>
            <w:tcBorders>
              <w:top w:val="single" w:color="000000" w:sz="4" w:space="0"/>
              <w:left w:val="single" w:color="auto" w:sz="4" w:space="0"/>
              <w:bottom w:val="single" w:color="000000" w:sz="4" w:space="0"/>
              <w:right w:val="single" w:color="auto" w:sz="4" w:space="0"/>
            </w:tcBorders>
            <w:vAlign w:val="center"/>
          </w:tcPr>
          <w:p w14:paraId="2F04654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部门基础信息是否完善，用以反映和评价基础信息对预算管理工作的支撑情况。</w:t>
            </w:r>
          </w:p>
          <w:p w14:paraId="43456295">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5DA5FAA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1.基本财务管理制度健全；</w:t>
            </w:r>
          </w:p>
          <w:p w14:paraId="0027522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2.基础数据信息和会计信息资料真实；</w:t>
            </w:r>
          </w:p>
          <w:p w14:paraId="1CDB942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3.基础数据信息和会计信息资料完整；</w:t>
            </w:r>
          </w:p>
          <w:p w14:paraId="09D844DD">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4.基础数据信息和会计信息资料准确。</w:t>
            </w:r>
          </w:p>
        </w:tc>
        <w:tc>
          <w:tcPr>
            <w:tcW w:w="2373" w:type="dxa"/>
            <w:tcBorders>
              <w:top w:val="single" w:color="000000" w:sz="4" w:space="0"/>
              <w:left w:val="single" w:color="auto" w:sz="4" w:space="0"/>
              <w:bottom w:val="single" w:color="000000" w:sz="4" w:space="0"/>
              <w:right w:val="single" w:color="auto" w:sz="4" w:space="0"/>
            </w:tcBorders>
            <w:vAlign w:val="center"/>
          </w:tcPr>
          <w:p w14:paraId="2EB7376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符合全部四项（4）；</w:t>
            </w:r>
          </w:p>
          <w:p w14:paraId="60C5402B">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符合其中三项（2）；</w:t>
            </w:r>
          </w:p>
          <w:p w14:paraId="738FA4D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符合其中两项（1）；</w:t>
            </w:r>
          </w:p>
          <w:p w14:paraId="4B5860C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符合其中一项及以下（0）。</w:t>
            </w:r>
          </w:p>
        </w:tc>
        <w:tc>
          <w:tcPr>
            <w:tcW w:w="764" w:type="dxa"/>
            <w:tcBorders>
              <w:top w:val="single" w:color="000000" w:sz="4" w:space="0"/>
              <w:left w:val="single" w:color="auto" w:sz="4" w:space="0"/>
              <w:bottom w:val="single" w:color="000000" w:sz="4" w:space="0"/>
              <w:right w:val="single" w:color="000000" w:sz="4" w:space="0"/>
            </w:tcBorders>
            <w:vAlign w:val="center"/>
          </w:tcPr>
          <w:p w14:paraId="07223438">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r>
      <w:tr w14:paraId="0DBAD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31BD5BE8">
            <w:pPr>
              <w:spacing w:line="240" w:lineRule="exact"/>
              <w:rPr>
                <w:rFonts w:hint="eastAsia" w:ascii="仿宋_GB2312" w:hAnsi="仿宋_GB2312" w:eastAsia="仿宋_GB2312" w:cs="仿宋_GB2312"/>
                <w:sz w:val="21"/>
                <w:szCs w:val="21"/>
              </w:rPr>
            </w:pP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0C0AEF7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资产管理情况（5分）</w:t>
            </w:r>
          </w:p>
        </w:tc>
        <w:tc>
          <w:tcPr>
            <w:tcW w:w="1275" w:type="dxa"/>
            <w:tcBorders>
              <w:top w:val="single" w:color="auto" w:sz="4" w:space="0"/>
              <w:left w:val="single" w:color="000000" w:sz="4" w:space="0"/>
              <w:bottom w:val="single" w:color="000000" w:sz="4" w:space="0"/>
              <w:right w:val="single" w:color="auto" w:sz="4" w:space="0"/>
            </w:tcBorders>
            <w:vAlign w:val="center"/>
          </w:tcPr>
          <w:p w14:paraId="7D8146AC">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资产管理完整性（2分）</w:t>
            </w:r>
          </w:p>
        </w:tc>
        <w:tc>
          <w:tcPr>
            <w:tcW w:w="3436" w:type="dxa"/>
            <w:tcBorders>
              <w:top w:val="single" w:color="auto" w:sz="4" w:space="0"/>
              <w:left w:val="single" w:color="auto" w:sz="4" w:space="0"/>
              <w:bottom w:val="single" w:color="000000" w:sz="4" w:space="0"/>
              <w:right w:val="single" w:color="auto" w:sz="4" w:space="0"/>
            </w:tcBorders>
            <w:vAlign w:val="center"/>
          </w:tcPr>
          <w:p w14:paraId="4C0B4C2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部门的资产是否保存完整、使用合规、收入及时足额上缴，用以反映和评价部门资产运行情况。</w:t>
            </w:r>
          </w:p>
          <w:p w14:paraId="7C420CB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评价要点：</w:t>
            </w:r>
          </w:p>
          <w:p w14:paraId="37F0A8E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1.资产保存完整；</w:t>
            </w:r>
          </w:p>
          <w:p w14:paraId="38327B4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2.资产账务管理是否合规，帐实相符；</w:t>
            </w:r>
          </w:p>
          <w:p w14:paraId="4A4B166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3.资产有偿使用及处置收入及时足额上缴。</w:t>
            </w:r>
          </w:p>
        </w:tc>
        <w:tc>
          <w:tcPr>
            <w:tcW w:w="2373" w:type="dxa"/>
            <w:tcBorders>
              <w:top w:val="single" w:color="auto" w:sz="4" w:space="0"/>
              <w:left w:val="single" w:color="auto" w:sz="4" w:space="0"/>
              <w:bottom w:val="single" w:color="000000" w:sz="4" w:space="0"/>
              <w:right w:val="single" w:color="auto" w:sz="4" w:space="0"/>
            </w:tcBorders>
            <w:vAlign w:val="center"/>
          </w:tcPr>
          <w:p w14:paraId="3AB6488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符合全部三项（3）；</w:t>
            </w:r>
          </w:p>
          <w:p w14:paraId="2535624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符合其中两项（2）；</w:t>
            </w:r>
          </w:p>
          <w:p w14:paraId="03931A31">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符合其中一项（1）；</w:t>
            </w:r>
          </w:p>
          <w:p w14:paraId="208992E8">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符合零项（0）。</w:t>
            </w:r>
          </w:p>
        </w:tc>
        <w:tc>
          <w:tcPr>
            <w:tcW w:w="764" w:type="dxa"/>
            <w:tcBorders>
              <w:top w:val="single" w:color="auto" w:sz="4" w:space="0"/>
              <w:left w:val="single" w:color="auto" w:sz="4" w:space="0"/>
              <w:bottom w:val="single" w:color="000000" w:sz="4" w:space="0"/>
              <w:right w:val="single" w:color="000000" w:sz="4" w:space="0"/>
            </w:tcBorders>
            <w:vAlign w:val="center"/>
          </w:tcPr>
          <w:p w14:paraId="6F1406AB">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r>
      <w:tr w14:paraId="4C5A5F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7109945D">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076712A1">
            <w:pPr>
              <w:spacing w:line="240" w:lineRule="exact"/>
              <w:rPr>
                <w:rFonts w:hint="eastAsia" w:ascii="仿宋_GB2312" w:hAnsi="仿宋_GB2312" w:eastAsia="仿宋_GB2312" w:cs="仿宋_GB2312"/>
                <w:sz w:val="21"/>
                <w:szCs w:val="21"/>
              </w:rPr>
            </w:pPr>
          </w:p>
        </w:tc>
        <w:tc>
          <w:tcPr>
            <w:tcW w:w="1275" w:type="dxa"/>
            <w:tcBorders>
              <w:top w:val="single" w:color="auto" w:sz="4" w:space="0"/>
              <w:left w:val="single" w:color="000000" w:sz="4" w:space="0"/>
              <w:bottom w:val="single" w:color="000000" w:sz="4" w:space="0"/>
              <w:right w:val="single" w:color="auto" w:sz="4" w:space="0"/>
            </w:tcBorders>
            <w:vAlign w:val="center"/>
          </w:tcPr>
          <w:p w14:paraId="0591AC19">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固定资产利用率（3分）</w:t>
            </w:r>
          </w:p>
        </w:tc>
        <w:tc>
          <w:tcPr>
            <w:tcW w:w="3436" w:type="dxa"/>
            <w:tcBorders>
              <w:top w:val="single" w:color="auto" w:sz="4" w:space="0"/>
              <w:left w:val="single" w:color="auto" w:sz="4" w:space="0"/>
              <w:bottom w:val="single" w:color="000000" w:sz="4" w:space="0"/>
              <w:right w:val="single" w:color="auto" w:sz="4" w:space="0"/>
            </w:tcBorders>
            <w:vAlign w:val="center"/>
          </w:tcPr>
          <w:p w14:paraId="515F0EC2">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部门实际在用固定资产总额与所有固定资产总额的比率，用以反映和评价部门固定资产使用效率。</w:t>
            </w:r>
          </w:p>
          <w:p w14:paraId="162805A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固定资产利用率=（实际在用固定资产总额/所有固定资产总额）×100%。</w:t>
            </w:r>
          </w:p>
        </w:tc>
        <w:tc>
          <w:tcPr>
            <w:tcW w:w="2373" w:type="dxa"/>
            <w:tcBorders>
              <w:top w:val="single" w:color="auto" w:sz="4" w:space="0"/>
              <w:left w:val="single" w:color="auto" w:sz="4" w:space="0"/>
              <w:bottom w:val="single" w:color="000000" w:sz="4" w:space="0"/>
              <w:right w:val="single" w:color="auto" w:sz="4" w:space="0"/>
            </w:tcBorders>
            <w:vAlign w:val="center"/>
          </w:tcPr>
          <w:p w14:paraId="2F02906D">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1.固定资产利用率大于或等于95%的，得满分；</w:t>
            </w:r>
          </w:p>
          <w:p w14:paraId="531A0033">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2.固定资产利用率小于或等于85%的，得0分；</w:t>
            </w:r>
          </w:p>
          <w:p w14:paraId="38D54178">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3.固定资产利用率在85%-95%之间的，在0和满分之间计算确定：</w:t>
            </w:r>
          </w:p>
          <w:p w14:paraId="0886B533">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得分=［某部门固定资产利用率-min（固定资产利用率）］/［max（固定资产利用率）-min（固定资产利用率）］×该指标分值。</w:t>
            </w:r>
          </w:p>
        </w:tc>
        <w:tc>
          <w:tcPr>
            <w:tcW w:w="764" w:type="dxa"/>
            <w:tcBorders>
              <w:top w:val="single" w:color="auto" w:sz="4" w:space="0"/>
              <w:left w:val="single" w:color="auto" w:sz="4" w:space="0"/>
              <w:bottom w:val="single" w:color="000000" w:sz="4" w:space="0"/>
              <w:right w:val="single" w:color="000000" w:sz="4" w:space="0"/>
            </w:tcBorders>
            <w:vAlign w:val="center"/>
          </w:tcPr>
          <w:p w14:paraId="2639C0B8">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r>
      <w:tr w14:paraId="220EE2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428D6486">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产出(25分)</w:t>
            </w:r>
          </w:p>
        </w:tc>
        <w:tc>
          <w:tcPr>
            <w:tcW w:w="743" w:type="dxa"/>
            <w:vMerge w:val="restart"/>
            <w:tcBorders>
              <w:top w:val="single" w:color="000000" w:sz="4" w:space="0"/>
              <w:left w:val="single" w:color="000000" w:sz="4" w:space="0"/>
              <w:bottom w:val="single" w:color="000000" w:sz="4" w:space="0"/>
              <w:right w:val="single" w:color="000000" w:sz="4" w:space="0"/>
            </w:tcBorders>
            <w:vAlign w:val="center"/>
          </w:tcPr>
          <w:p w14:paraId="31A7EB53">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职责履行情况（25）</w:t>
            </w:r>
          </w:p>
        </w:tc>
        <w:tc>
          <w:tcPr>
            <w:tcW w:w="1275" w:type="dxa"/>
            <w:tcBorders>
              <w:top w:val="single" w:color="000000" w:sz="4" w:space="0"/>
              <w:left w:val="single" w:color="000000" w:sz="4" w:space="0"/>
              <w:bottom w:val="single" w:color="auto" w:sz="4" w:space="0"/>
              <w:right w:val="single" w:color="auto" w:sz="4" w:space="0"/>
            </w:tcBorders>
            <w:vAlign w:val="center"/>
          </w:tcPr>
          <w:p w14:paraId="629A948E">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履职完成情况（10分）</w:t>
            </w:r>
          </w:p>
        </w:tc>
        <w:tc>
          <w:tcPr>
            <w:tcW w:w="3436" w:type="dxa"/>
            <w:tcBorders>
              <w:top w:val="single" w:color="000000" w:sz="4" w:space="0"/>
              <w:left w:val="single" w:color="auto" w:sz="4" w:space="0"/>
              <w:bottom w:val="single" w:color="auto" w:sz="4" w:space="0"/>
              <w:right w:val="single" w:color="auto" w:sz="4" w:space="0"/>
            </w:tcBorders>
            <w:vAlign w:val="center"/>
          </w:tcPr>
          <w:p w14:paraId="56768F6C">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根据年度主要任务分解表的的具体任务，逐项评价任务量化指标完成情况、实施效果和责任制建立情况。用以反映和考核部门（单位）履职工作任务目标的完成情况。评价要点：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 xml:space="preserve">1.每项任务是否已制定了明确、具体、可量化、可衡量的绩效指标；           </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2.每项任务绩效指标的完成情况，是全部完成、基本完成、未完成，还是未实施；</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3.每项任务实施效果情况，是优秀、良好、一般，还是无效果；</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4.每项任务是否建立了目标责任制，是否落实到具体部门和人员负责。</w:t>
            </w:r>
          </w:p>
        </w:tc>
        <w:tc>
          <w:tcPr>
            <w:tcW w:w="2373" w:type="dxa"/>
            <w:tcBorders>
              <w:top w:val="single" w:color="000000" w:sz="4" w:space="0"/>
              <w:left w:val="single" w:color="auto" w:sz="4" w:space="0"/>
              <w:bottom w:val="single" w:color="auto" w:sz="4" w:space="0"/>
              <w:right w:val="single" w:color="auto" w:sz="4" w:space="0"/>
            </w:tcBorders>
            <w:vAlign w:val="center"/>
          </w:tcPr>
          <w:p w14:paraId="58E0110C">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根据不同部门履职的内容和特点，具体测算部门履职工作任务目标的完成情况。</w:t>
            </w:r>
          </w:p>
        </w:tc>
        <w:tc>
          <w:tcPr>
            <w:tcW w:w="764" w:type="dxa"/>
            <w:tcBorders>
              <w:top w:val="single" w:color="000000" w:sz="4" w:space="0"/>
              <w:left w:val="single" w:color="auto" w:sz="4" w:space="0"/>
              <w:bottom w:val="single" w:color="auto" w:sz="4" w:space="0"/>
              <w:right w:val="single" w:color="000000" w:sz="4" w:space="0"/>
            </w:tcBorders>
            <w:vAlign w:val="center"/>
          </w:tcPr>
          <w:p w14:paraId="1A409486">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10</w:t>
            </w:r>
          </w:p>
        </w:tc>
      </w:tr>
      <w:tr w14:paraId="116B9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90"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124CA0B3">
            <w:pPr>
              <w:spacing w:line="240" w:lineRule="exact"/>
              <w:rPr>
                <w:rFonts w:hint="eastAsia" w:ascii="仿宋_GB2312" w:hAnsi="仿宋_GB2312" w:eastAsia="仿宋_GB2312" w:cs="仿宋_GB2312"/>
                <w:sz w:val="21"/>
                <w:szCs w:val="21"/>
              </w:rPr>
            </w:pPr>
          </w:p>
        </w:tc>
        <w:tc>
          <w:tcPr>
            <w:tcW w:w="743" w:type="dxa"/>
            <w:vMerge w:val="continue"/>
            <w:tcBorders>
              <w:top w:val="single" w:color="000000" w:sz="4" w:space="0"/>
              <w:left w:val="single" w:color="000000" w:sz="4" w:space="0"/>
              <w:bottom w:val="single" w:color="000000" w:sz="4" w:space="0"/>
              <w:right w:val="single" w:color="000000" w:sz="4" w:space="0"/>
            </w:tcBorders>
            <w:vAlign w:val="center"/>
          </w:tcPr>
          <w:p w14:paraId="6DE23E6F">
            <w:pPr>
              <w:spacing w:line="240" w:lineRule="exact"/>
              <w:rPr>
                <w:rFonts w:hint="eastAsia" w:ascii="仿宋_GB2312" w:hAnsi="仿宋_GB2312" w:eastAsia="仿宋_GB2312" w:cs="仿宋_GB2312"/>
                <w:sz w:val="21"/>
                <w:szCs w:val="21"/>
              </w:rPr>
            </w:pPr>
          </w:p>
        </w:tc>
        <w:tc>
          <w:tcPr>
            <w:tcW w:w="1275" w:type="dxa"/>
            <w:tcBorders>
              <w:top w:val="single" w:color="000000" w:sz="4" w:space="0"/>
              <w:left w:val="single" w:color="000000" w:sz="4" w:space="0"/>
              <w:right w:val="single" w:color="auto" w:sz="4" w:space="0"/>
            </w:tcBorders>
            <w:vAlign w:val="center"/>
          </w:tcPr>
          <w:p w14:paraId="273F2D28">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项目完成质量达标率（15）</w:t>
            </w:r>
          </w:p>
        </w:tc>
        <w:tc>
          <w:tcPr>
            <w:tcW w:w="3436" w:type="dxa"/>
            <w:tcBorders>
              <w:top w:val="single" w:color="000000" w:sz="4" w:space="0"/>
              <w:left w:val="single" w:color="auto" w:sz="4" w:space="0"/>
              <w:right w:val="single" w:color="auto" w:sz="4" w:space="0"/>
            </w:tcBorders>
            <w:vAlign w:val="center"/>
          </w:tcPr>
          <w:p w14:paraId="4EA11ED8">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部门已完成项目中质量达标项目个数占已完成项目个数的比率,用以反映和评价部门履职质量目标的实现程度。</w:t>
            </w:r>
          </w:p>
          <w:p w14:paraId="3EA7068A">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项目质量达标率=（已完成项目中质量达标项目个数/已完成项目个数）×100%。</w:t>
            </w:r>
          </w:p>
          <w:p w14:paraId="31C3EFEC">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项目质量达标是指项目决算验收合格。</w:t>
            </w:r>
          </w:p>
        </w:tc>
        <w:tc>
          <w:tcPr>
            <w:tcW w:w="2373" w:type="dxa"/>
            <w:tcBorders>
              <w:top w:val="single" w:color="000000" w:sz="4" w:space="0"/>
              <w:left w:val="single" w:color="auto" w:sz="4" w:space="0"/>
              <w:right w:val="single" w:color="auto" w:sz="4" w:space="0"/>
            </w:tcBorders>
            <w:vAlign w:val="center"/>
          </w:tcPr>
          <w:p w14:paraId="398F5C06">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1.项目质量达标率等于100%的，得满分；</w:t>
            </w:r>
          </w:p>
          <w:p w14:paraId="6058D47E">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2.项目质量达标率小于或等于99%的，得0分；</w:t>
            </w:r>
          </w:p>
          <w:p w14:paraId="50533540">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 xml:space="preserve">3.项目质量达标率在99%-100%之间的，在0和满分之间计算确定： </w:t>
            </w:r>
          </w:p>
          <w:p w14:paraId="3E5E4886">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得分=［某部门项目质量达标率-min（项目质量达标率）］/［max（项目质量达标率）-min（项目质量达标率）］×该指标分值。</w:t>
            </w:r>
          </w:p>
        </w:tc>
        <w:tc>
          <w:tcPr>
            <w:tcW w:w="764" w:type="dxa"/>
            <w:tcBorders>
              <w:top w:val="single" w:color="000000" w:sz="4" w:space="0"/>
              <w:left w:val="single" w:color="auto" w:sz="4" w:space="0"/>
              <w:bottom w:val="single" w:color="auto" w:sz="4" w:space="0"/>
              <w:right w:val="single" w:color="000000" w:sz="4" w:space="0"/>
            </w:tcBorders>
            <w:vAlign w:val="center"/>
          </w:tcPr>
          <w:p w14:paraId="3C47D330">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15</w:t>
            </w:r>
          </w:p>
        </w:tc>
      </w:tr>
      <w:tr w14:paraId="082B4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restart"/>
            <w:tcBorders>
              <w:top w:val="single" w:color="000000" w:sz="4" w:space="0"/>
              <w:left w:val="single" w:color="000000" w:sz="4" w:space="0"/>
              <w:bottom w:val="single" w:color="000000" w:sz="4" w:space="0"/>
              <w:right w:val="single" w:color="000000" w:sz="4" w:space="0"/>
            </w:tcBorders>
            <w:vAlign w:val="center"/>
          </w:tcPr>
          <w:p w14:paraId="0634EB67">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效果（20分）</w:t>
            </w:r>
          </w:p>
        </w:tc>
        <w:tc>
          <w:tcPr>
            <w:tcW w:w="743" w:type="dxa"/>
            <w:vMerge w:val="restart"/>
            <w:tcBorders>
              <w:top w:val="single" w:color="auto" w:sz="4" w:space="0"/>
              <w:left w:val="single" w:color="000000" w:sz="4" w:space="0"/>
              <w:right w:val="single" w:color="000000" w:sz="4" w:space="0"/>
            </w:tcBorders>
            <w:vAlign w:val="center"/>
          </w:tcPr>
          <w:p w14:paraId="279C25B3">
            <w:pPr>
              <w:widowControl/>
              <w:spacing w:line="240" w:lineRule="exact"/>
              <w:jc w:val="left"/>
              <w:rPr>
                <w:rFonts w:hint="eastAsia" w:ascii="仿宋_GB2312" w:hAnsi="仿宋_GB2312" w:eastAsia="仿宋_GB2312" w:cs="仿宋_GB2312"/>
                <w:kern w:val="0"/>
                <w:sz w:val="21"/>
                <w:szCs w:val="21"/>
                <w:lang w:bidi="ar"/>
              </w:rPr>
            </w:pPr>
          </w:p>
          <w:p w14:paraId="2D972531">
            <w:pPr>
              <w:widowControl/>
              <w:spacing w:line="240" w:lineRule="exact"/>
              <w:jc w:val="left"/>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履职效益情况</w:t>
            </w:r>
          </w:p>
          <w:p w14:paraId="33B014BF">
            <w:pPr>
              <w:widowControl/>
              <w:spacing w:line="240" w:lineRule="exact"/>
              <w:jc w:val="left"/>
              <w:rPr>
                <w:rFonts w:hint="eastAsia" w:ascii="仿宋_GB2312" w:hAnsi="仿宋_GB2312" w:eastAsia="仿宋_GB2312" w:cs="仿宋_GB2312"/>
                <w:kern w:val="0"/>
                <w:sz w:val="21"/>
                <w:szCs w:val="21"/>
                <w:lang w:bidi="ar"/>
              </w:rPr>
            </w:pPr>
            <w:r>
              <w:rPr>
                <w:rFonts w:hint="eastAsia" w:ascii="仿宋_GB2312" w:hAnsi="仿宋_GB2312" w:eastAsia="仿宋_GB2312" w:cs="仿宋_GB2312"/>
                <w:kern w:val="0"/>
                <w:sz w:val="21"/>
                <w:szCs w:val="21"/>
                <w:lang w:bidi="ar"/>
              </w:rPr>
              <w:t>（20分）</w:t>
            </w:r>
          </w:p>
        </w:tc>
        <w:tc>
          <w:tcPr>
            <w:tcW w:w="1275" w:type="dxa"/>
            <w:tcBorders>
              <w:top w:val="single" w:color="000000" w:sz="4" w:space="0"/>
              <w:left w:val="single" w:color="000000" w:sz="4" w:space="0"/>
              <w:bottom w:val="single" w:color="000000" w:sz="4" w:space="0"/>
              <w:right w:val="single" w:color="auto" w:sz="4" w:space="0"/>
            </w:tcBorders>
            <w:vAlign w:val="center"/>
          </w:tcPr>
          <w:p w14:paraId="10749850">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经济效益</w:t>
            </w:r>
            <w:r>
              <w:rPr>
                <w:rFonts w:hint="eastAsia" w:ascii="仿宋_GB2312" w:hAnsi="仿宋_GB2312" w:eastAsia="仿宋_GB2312" w:cs="仿宋_GB2312"/>
                <w:kern w:val="0"/>
                <w:sz w:val="21"/>
                <w:szCs w:val="21"/>
                <w:lang w:bidi="ar"/>
              </w:rPr>
              <w:t>（5分）</w:t>
            </w:r>
          </w:p>
        </w:tc>
        <w:tc>
          <w:tcPr>
            <w:tcW w:w="3436" w:type="dxa"/>
            <w:tcBorders>
              <w:top w:val="single" w:color="000000" w:sz="4" w:space="0"/>
              <w:left w:val="single" w:color="auto" w:sz="4" w:space="0"/>
              <w:bottom w:val="single" w:color="000000" w:sz="4" w:space="0"/>
              <w:right w:val="single" w:color="auto" w:sz="4" w:space="0"/>
            </w:tcBorders>
            <w:vAlign w:val="center"/>
          </w:tcPr>
          <w:p w14:paraId="7B3CF972">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部门及所属二级单位通过履行职责和预算安排支出项目的实施，对我市带来的经济影响。</w:t>
            </w:r>
          </w:p>
          <w:p w14:paraId="4D201F84">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 xml:space="preserve">1.通过部门所属企事业单位改革，促进了企事业单位效益增长情况；          </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2.通过预算支出项目的实施，促进了行业生产能力增长，从而带动行业经济效益增长；</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3.通过预算支出项目的实施，有效提高劳动效率，节约成本费用；</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4.通过预算支出项目的实施，降低了损耗，从而提高了生产效益；</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5.通过预算支出项目的实施，完善了突发情况的监测预警，保障了生产安全，降低了生产损失。</w:t>
            </w:r>
          </w:p>
        </w:tc>
        <w:tc>
          <w:tcPr>
            <w:tcW w:w="2373" w:type="dxa"/>
            <w:tcBorders>
              <w:top w:val="single" w:color="000000" w:sz="4" w:space="0"/>
              <w:left w:val="single" w:color="auto" w:sz="4" w:space="0"/>
              <w:bottom w:val="single" w:color="000000" w:sz="4" w:space="0"/>
              <w:right w:val="single" w:color="auto" w:sz="4" w:space="0"/>
            </w:tcBorders>
            <w:vAlign w:val="center"/>
          </w:tcPr>
          <w:p w14:paraId="53130734">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根据不同部门履职的内容和特点，具体测算部门履职产生的经济效益。</w:t>
            </w:r>
          </w:p>
        </w:tc>
        <w:tc>
          <w:tcPr>
            <w:tcW w:w="764" w:type="dxa"/>
            <w:tcBorders>
              <w:top w:val="single" w:color="000000" w:sz="4" w:space="0"/>
              <w:left w:val="single" w:color="auto" w:sz="4" w:space="0"/>
              <w:bottom w:val="single" w:color="000000" w:sz="4" w:space="0"/>
              <w:right w:val="single" w:color="000000" w:sz="4" w:space="0"/>
            </w:tcBorders>
            <w:vAlign w:val="center"/>
          </w:tcPr>
          <w:p w14:paraId="02F36A37">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14:paraId="194967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left w:val="single" w:color="000000" w:sz="4" w:space="0"/>
              <w:right w:val="single" w:color="000000" w:sz="4" w:space="0"/>
            </w:tcBorders>
            <w:vAlign w:val="center"/>
          </w:tcPr>
          <w:p w14:paraId="6C6B9461">
            <w:pPr>
              <w:widowControl/>
              <w:spacing w:line="240" w:lineRule="exact"/>
              <w:jc w:val="left"/>
              <w:rPr>
                <w:rFonts w:hint="eastAsia" w:ascii="仿宋_GB2312" w:hAnsi="仿宋_GB2312" w:eastAsia="仿宋_GB2312" w:cs="仿宋_GB2312"/>
                <w:kern w:val="0"/>
                <w:sz w:val="21"/>
                <w:szCs w:val="21"/>
                <w:lang w:bidi="ar"/>
              </w:rPr>
            </w:pPr>
          </w:p>
        </w:tc>
        <w:tc>
          <w:tcPr>
            <w:tcW w:w="743" w:type="dxa"/>
            <w:vMerge w:val="continue"/>
            <w:tcBorders>
              <w:left w:val="single" w:color="000000" w:sz="4" w:space="0"/>
              <w:right w:val="single" w:color="000000" w:sz="4" w:space="0"/>
            </w:tcBorders>
            <w:vAlign w:val="center"/>
          </w:tcPr>
          <w:p w14:paraId="4DE2DDD0">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3CE0048A">
            <w:pPr>
              <w:widowControl/>
              <w:spacing w:line="240" w:lineRule="exac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社会效益（5分）</w:t>
            </w:r>
          </w:p>
        </w:tc>
        <w:tc>
          <w:tcPr>
            <w:tcW w:w="3436" w:type="dxa"/>
            <w:tcBorders>
              <w:top w:val="single" w:color="000000" w:sz="4" w:space="0"/>
              <w:left w:val="single" w:color="auto" w:sz="4" w:space="0"/>
              <w:bottom w:val="single" w:color="000000" w:sz="4" w:space="0"/>
              <w:right w:val="single" w:color="auto" w:sz="4" w:space="0"/>
            </w:tcBorders>
            <w:vAlign w:val="center"/>
          </w:tcPr>
          <w:p w14:paraId="0C96BEC0">
            <w:pPr>
              <w:widowControl/>
              <w:spacing w:line="240" w:lineRule="exac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部门及所属二级单位履行职责对社会发展所带来的直接或间接影响。</w:t>
            </w:r>
          </w:p>
          <w:p w14:paraId="180D0E60">
            <w:pPr>
              <w:widowControl/>
              <w:spacing w:line="240" w:lineRule="exac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 xml:space="preserve">1.通过部门所属企事业单位的改革，促进了企事业单位可持续发展，带动就业增长情况；          </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2.通过预算支出项目的实施，是否明显促进了行业精神文明建设；</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3.通过部门履职是否明显提高城乡居民生活水平，满足了人们日益增长的物质与文化生活需求；</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4.通过预算项目的实施，是否提高了劳动生产率，降低了劳动强度，促进了劳动人民的身心健康；</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5.通过部门履职行业形象是否得到了大大提升了，增强了部门影响力。</w:t>
            </w:r>
          </w:p>
        </w:tc>
        <w:tc>
          <w:tcPr>
            <w:tcW w:w="2373" w:type="dxa"/>
            <w:tcBorders>
              <w:top w:val="single" w:color="000000" w:sz="4" w:space="0"/>
              <w:left w:val="single" w:color="auto" w:sz="4" w:space="0"/>
              <w:bottom w:val="single" w:color="000000" w:sz="4" w:space="0"/>
              <w:right w:val="single" w:color="auto" w:sz="4" w:space="0"/>
            </w:tcBorders>
            <w:vAlign w:val="center"/>
          </w:tcPr>
          <w:p w14:paraId="015E1842">
            <w:pPr>
              <w:widowControl/>
              <w:spacing w:line="240" w:lineRule="exac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根据不同部门履职的内容和特点，具体测算部门履职产生的社会效益。</w:t>
            </w:r>
          </w:p>
        </w:tc>
        <w:tc>
          <w:tcPr>
            <w:tcW w:w="764" w:type="dxa"/>
            <w:tcBorders>
              <w:top w:val="single" w:color="000000" w:sz="4" w:space="0"/>
              <w:left w:val="single" w:color="auto" w:sz="4" w:space="0"/>
              <w:bottom w:val="single" w:color="000000" w:sz="4" w:space="0"/>
              <w:right w:val="single" w:color="000000" w:sz="4" w:space="0"/>
            </w:tcBorders>
            <w:vAlign w:val="center"/>
          </w:tcPr>
          <w:p w14:paraId="3D8A4FB6">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14:paraId="1E125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left w:val="single" w:color="000000" w:sz="4" w:space="0"/>
              <w:right w:val="single" w:color="000000" w:sz="4" w:space="0"/>
            </w:tcBorders>
            <w:vAlign w:val="center"/>
          </w:tcPr>
          <w:p w14:paraId="49747901">
            <w:pPr>
              <w:widowControl/>
              <w:spacing w:line="240" w:lineRule="exact"/>
              <w:jc w:val="left"/>
              <w:rPr>
                <w:rFonts w:hint="eastAsia" w:ascii="仿宋_GB2312" w:hAnsi="仿宋_GB2312" w:eastAsia="仿宋_GB2312" w:cs="仿宋_GB2312"/>
                <w:kern w:val="0"/>
                <w:sz w:val="21"/>
                <w:szCs w:val="21"/>
                <w:lang w:bidi="ar"/>
              </w:rPr>
            </w:pPr>
          </w:p>
        </w:tc>
        <w:tc>
          <w:tcPr>
            <w:tcW w:w="743" w:type="dxa"/>
            <w:vMerge w:val="continue"/>
            <w:tcBorders>
              <w:left w:val="single" w:color="000000" w:sz="4" w:space="0"/>
              <w:right w:val="single" w:color="000000" w:sz="4" w:space="0"/>
            </w:tcBorders>
            <w:vAlign w:val="center"/>
          </w:tcPr>
          <w:p w14:paraId="3CA2C523">
            <w:pPr>
              <w:widowControl/>
              <w:spacing w:line="240" w:lineRule="exact"/>
              <w:jc w:val="left"/>
              <w:rPr>
                <w:rFonts w:hint="eastAsia" w:ascii="仿宋_GB2312" w:hAnsi="仿宋_GB2312" w:eastAsia="仿宋_GB2312" w:cs="仿宋_GB2312"/>
                <w:kern w:val="0"/>
                <w:sz w:val="21"/>
                <w:szCs w:val="21"/>
                <w:lang w:bidi="ar"/>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18A63530">
            <w:pPr>
              <w:widowControl/>
              <w:spacing w:line="240" w:lineRule="exact"/>
              <w:jc w:val="left"/>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生态效益（5分）</w:t>
            </w:r>
          </w:p>
        </w:tc>
        <w:tc>
          <w:tcPr>
            <w:tcW w:w="3436" w:type="dxa"/>
            <w:tcBorders>
              <w:top w:val="single" w:color="000000" w:sz="4" w:space="0"/>
              <w:left w:val="single" w:color="auto" w:sz="4" w:space="0"/>
              <w:bottom w:val="single" w:color="000000" w:sz="4" w:space="0"/>
              <w:right w:val="single" w:color="auto" w:sz="4" w:space="0"/>
            </w:tcBorders>
            <w:vAlign w:val="center"/>
          </w:tcPr>
          <w:p w14:paraId="2CB31157">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部门及所属二级单位履行职责对生态环境所带来的直接或间接影响。</w:t>
            </w:r>
          </w:p>
          <w:p w14:paraId="44E1DF71">
            <w:pPr>
              <w:widowControl/>
              <w:spacing w:line="240" w:lineRule="exact"/>
              <w:jc w:val="left"/>
              <w:textAlignment w:val="center"/>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评价要点：</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1.通过预算支出项目的实施，绿色、节能环保新技术的应用和推广，明显带动各环节的节能减排，也具有一定的环境效益；</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2.通过履职有效地控制虚假、伪劣、霉变等劣质产品进入市场，影响了人民生活质量，净化地市场环境；</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3.通过预算支出项目的实施，是否达到减少污染物排放；</w:t>
            </w:r>
            <w:r>
              <w:rPr>
                <w:rFonts w:hint="eastAsia" w:ascii="仿宋_GB2312" w:hAnsi="仿宋_GB2312" w:eastAsia="仿宋_GB2312" w:cs="仿宋_GB2312"/>
                <w:color w:val="000000"/>
                <w:kern w:val="0"/>
                <w:sz w:val="21"/>
                <w:szCs w:val="21"/>
                <w:lang w:bidi="ar"/>
              </w:rPr>
              <w:br w:type="textWrapping"/>
            </w:r>
            <w:r>
              <w:rPr>
                <w:rFonts w:hint="eastAsia" w:ascii="仿宋_GB2312" w:hAnsi="仿宋_GB2312" w:eastAsia="仿宋_GB2312" w:cs="仿宋_GB2312"/>
                <w:color w:val="000000"/>
                <w:kern w:val="0"/>
                <w:sz w:val="21"/>
                <w:szCs w:val="21"/>
                <w:lang w:bidi="ar"/>
              </w:rPr>
              <w:t>4.通过预算支出项目的实施，周围环境得到了整治，面貌得到了改善。</w:t>
            </w:r>
          </w:p>
        </w:tc>
        <w:tc>
          <w:tcPr>
            <w:tcW w:w="2373" w:type="dxa"/>
            <w:tcBorders>
              <w:top w:val="single" w:color="000000" w:sz="4" w:space="0"/>
              <w:left w:val="single" w:color="auto" w:sz="4" w:space="0"/>
              <w:bottom w:val="single" w:color="000000" w:sz="4" w:space="0"/>
              <w:right w:val="single" w:color="auto" w:sz="4" w:space="0"/>
            </w:tcBorders>
            <w:vAlign w:val="center"/>
          </w:tcPr>
          <w:p w14:paraId="1D01AABF">
            <w:pPr>
              <w:widowControl/>
              <w:spacing w:line="240" w:lineRule="exact"/>
              <w:jc w:val="left"/>
              <w:textAlignment w:val="center"/>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lang w:bidi="ar"/>
              </w:rPr>
              <w:t>根据不同部门履职的内容和特点，具体测算部门履职产生的生态效益。</w:t>
            </w:r>
          </w:p>
        </w:tc>
        <w:tc>
          <w:tcPr>
            <w:tcW w:w="764" w:type="dxa"/>
            <w:tcBorders>
              <w:top w:val="single" w:color="000000" w:sz="4" w:space="0"/>
              <w:left w:val="single" w:color="auto" w:sz="4" w:space="0"/>
              <w:bottom w:val="single" w:color="000000" w:sz="4" w:space="0"/>
              <w:right w:val="single" w:color="000000" w:sz="4" w:space="0"/>
            </w:tcBorders>
            <w:vAlign w:val="center"/>
          </w:tcPr>
          <w:p w14:paraId="4A0FF65B">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14:paraId="59BA62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 w:hRule="atLeast"/>
        </w:trPr>
        <w:tc>
          <w:tcPr>
            <w:tcW w:w="779" w:type="dxa"/>
            <w:vMerge w:val="continue"/>
            <w:tcBorders>
              <w:top w:val="single" w:color="000000" w:sz="4" w:space="0"/>
              <w:left w:val="single" w:color="000000" w:sz="4" w:space="0"/>
              <w:bottom w:val="single" w:color="000000" w:sz="4" w:space="0"/>
              <w:right w:val="single" w:color="000000" w:sz="4" w:space="0"/>
            </w:tcBorders>
            <w:vAlign w:val="center"/>
          </w:tcPr>
          <w:p w14:paraId="1104AF9C">
            <w:pPr>
              <w:spacing w:line="240" w:lineRule="exact"/>
              <w:rPr>
                <w:rFonts w:hint="eastAsia" w:ascii="仿宋_GB2312" w:hAnsi="仿宋_GB2312" w:eastAsia="仿宋_GB2312" w:cs="仿宋_GB2312"/>
                <w:sz w:val="21"/>
                <w:szCs w:val="21"/>
              </w:rPr>
            </w:pPr>
          </w:p>
        </w:tc>
        <w:tc>
          <w:tcPr>
            <w:tcW w:w="743" w:type="dxa"/>
            <w:vMerge w:val="continue"/>
            <w:tcBorders>
              <w:left w:val="single" w:color="000000" w:sz="4" w:space="0"/>
              <w:right w:val="single" w:color="000000" w:sz="4" w:space="0"/>
            </w:tcBorders>
            <w:vAlign w:val="center"/>
          </w:tcPr>
          <w:p w14:paraId="1B3F4865">
            <w:pPr>
              <w:widowControl/>
              <w:spacing w:line="240" w:lineRule="exact"/>
              <w:jc w:val="lef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38CC13B4">
            <w:pPr>
              <w:widowControl/>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服务对象满意度（5）</w:t>
            </w:r>
          </w:p>
        </w:tc>
        <w:tc>
          <w:tcPr>
            <w:tcW w:w="3436" w:type="dxa"/>
            <w:tcBorders>
              <w:top w:val="single" w:color="000000" w:sz="4" w:space="0"/>
              <w:left w:val="single" w:color="auto" w:sz="4" w:space="0"/>
              <w:bottom w:val="single" w:color="000000" w:sz="4" w:space="0"/>
              <w:right w:val="single" w:color="auto" w:sz="4" w:space="0"/>
            </w:tcBorders>
            <w:vAlign w:val="center"/>
          </w:tcPr>
          <w:p w14:paraId="52AACDB7">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lang w:bidi="ar"/>
              </w:rPr>
              <w:t>通过对部门（单位）的服务对象对部门履职效果的满意程度调查，反映和考核社会公众或服务对象对部门履职的满意度。</w:t>
            </w:r>
          </w:p>
        </w:tc>
        <w:tc>
          <w:tcPr>
            <w:tcW w:w="2373" w:type="dxa"/>
            <w:tcBorders>
              <w:top w:val="single" w:color="000000" w:sz="4" w:space="0"/>
              <w:left w:val="single" w:color="auto" w:sz="4" w:space="0"/>
              <w:bottom w:val="single" w:color="000000" w:sz="4" w:space="0"/>
              <w:right w:val="single" w:color="auto" w:sz="4" w:space="0"/>
            </w:tcBorders>
            <w:vAlign w:val="center"/>
          </w:tcPr>
          <w:p w14:paraId="52C9CC46">
            <w:pPr>
              <w:widowControl/>
              <w:spacing w:line="2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按照满意度调查的优秀、良好、合格、不合格给予该项指标打分：</w:t>
            </w:r>
          </w:p>
          <w:p w14:paraId="06180B02">
            <w:pPr>
              <w:widowControl/>
              <w:spacing w:line="240" w:lineRule="exac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rPr>
              <w:t>优秀（5）；良好（3）；合格（1）；不合格（0）。</w:t>
            </w:r>
          </w:p>
        </w:tc>
        <w:tc>
          <w:tcPr>
            <w:tcW w:w="764" w:type="dxa"/>
            <w:tcBorders>
              <w:top w:val="single" w:color="000000" w:sz="4" w:space="0"/>
              <w:left w:val="single" w:color="auto" w:sz="4" w:space="0"/>
              <w:bottom w:val="single" w:color="000000" w:sz="4" w:space="0"/>
              <w:right w:val="single" w:color="000000" w:sz="4" w:space="0"/>
            </w:tcBorders>
            <w:vAlign w:val="center"/>
          </w:tcPr>
          <w:p w14:paraId="3A10CE0F">
            <w:pPr>
              <w:widowControl/>
              <w:spacing w:line="240" w:lineRule="exact"/>
              <w:jc w:val="lef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r>
      <w:tr w14:paraId="0164A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4" w:hRule="atLeast"/>
        </w:trPr>
        <w:tc>
          <w:tcPr>
            <w:tcW w:w="779" w:type="dxa"/>
            <w:tcBorders>
              <w:top w:val="single" w:color="000000" w:sz="4" w:space="0"/>
              <w:left w:val="single" w:color="000000" w:sz="4" w:space="0"/>
              <w:bottom w:val="single" w:color="000000" w:sz="4" w:space="0"/>
              <w:right w:val="single" w:color="000000" w:sz="4" w:space="0"/>
            </w:tcBorders>
            <w:vAlign w:val="center"/>
          </w:tcPr>
          <w:p w14:paraId="39635E71">
            <w:pPr>
              <w:spacing w:line="240" w:lineRule="exact"/>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合计</w:t>
            </w:r>
          </w:p>
        </w:tc>
        <w:tc>
          <w:tcPr>
            <w:tcW w:w="743" w:type="dxa"/>
            <w:tcBorders>
              <w:left w:val="single" w:color="000000" w:sz="4" w:space="0"/>
              <w:bottom w:val="single" w:color="auto" w:sz="4" w:space="0"/>
              <w:right w:val="single" w:color="000000" w:sz="4" w:space="0"/>
            </w:tcBorders>
            <w:vAlign w:val="center"/>
          </w:tcPr>
          <w:p w14:paraId="74E170C8">
            <w:pPr>
              <w:widowControl/>
              <w:spacing w:line="240" w:lineRule="exact"/>
              <w:jc w:val="left"/>
              <w:rPr>
                <w:rFonts w:hint="eastAsia" w:ascii="仿宋_GB2312" w:hAnsi="仿宋_GB2312" w:eastAsia="仿宋_GB2312" w:cs="仿宋_GB2312"/>
                <w:sz w:val="21"/>
                <w:szCs w:val="21"/>
              </w:rPr>
            </w:pPr>
          </w:p>
        </w:tc>
        <w:tc>
          <w:tcPr>
            <w:tcW w:w="1275" w:type="dxa"/>
            <w:tcBorders>
              <w:top w:val="single" w:color="000000" w:sz="4" w:space="0"/>
              <w:left w:val="single" w:color="000000" w:sz="4" w:space="0"/>
              <w:bottom w:val="single" w:color="000000" w:sz="4" w:space="0"/>
              <w:right w:val="single" w:color="auto" w:sz="4" w:space="0"/>
            </w:tcBorders>
            <w:vAlign w:val="center"/>
          </w:tcPr>
          <w:p w14:paraId="0D6FB958">
            <w:pPr>
              <w:widowControl/>
              <w:spacing w:line="240" w:lineRule="exact"/>
              <w:jc w:val="left"/>
              <w:rPr>
                <w:rFonts w:hint="eastAsia" w:ascii="仿宋_GB2312" w:hAnsi="仿宋_GB2312" w:eastAsia="仿宋_GB2312" w:cs="仿宋_GB2312"/>
                <w:kern w:val="0"/>
                <w:sz w:val="21"/>
                <w:szCs w:val="21"/>
                <w:lang w:bidi="ar"/>
              </w:rPr>
            </w:pPr>
          </w:p>
        </w:tc>
        <w:tc>
          <w:tcPr>
            <w:tcW w:w="3436" w:type="dxa"/>
            <w:tcBorders>
              <w:top w:val="single" w:color="000000" w:sz="4" w:space="0"/>
              <w:left w:val="single" w:color="auto" w:sz="4" w:space="0"/>
              <w:bottom w:val="single" w:color="000000" w:sz="4" w:space="0"/>
              <w:right w:val="single" w:color="auto" w:sz="4" w:space="0"/>
            </w:tcBorders>
            <w:vAlign w:val="center"/>
          </w:tcPr>
          <w:p w14:paraId="7AF62A07">
            <w:pPr>
              <w:widowControl/>
              <w:pBdr>
                <w:top w:val="none" w:color="000000" w:sz="0" w:space="0"/>
                <w:left w:val="none" w:color="000000" w:sz="0" w:space="0"/>
                <w:bottom w:val="none" w:color="000000" w:sz="0" w:space="0"/>
                <w:right w:val="none" w:color="000000" w:sz="0" w:space="0"/>
              </w:pBdr>
              <w:spacing w:line="240" w:lineRule="exact"/>
              <w:jc w:val="left"/>
              <w:rPr>
                <w:rFonts w:hint="eastAsia" w:ascii="仿宋_GB2312" w:hAnsi="仿宋_GB2312" w:eastAsia="仿宋_GB2312" w:cs="仿宋_GB2312"/>
                <w:kern w:val="0"/>
                <w:sz w:val="21"/>
                <w:szCs w:val="21"/>
                <w:lang w:bidi="ar"/>
              </w:rPr>
            </w:pPr>
          </w:p>
        </w:tc>
        <w:tc>
          <w:tcPr>
            <w:tcW w:w="2373" w:type="dxa"/>
            <w:tcBorders>
              <w:top w:val="single" w:color="000000" w:sz="4" w:space="0"/>
              <w:left w:val="single" w:color="auto" w:sz="4" w:space="0"/>
              <w:bottom w:val="single" w:color="000000" w:sz="4" w:space="0"/>
              <w:right w:val="single" w:color="auto" w:sz="4" w:space="0"/>
            </w:tcBorders>
            <w:vAlign w:val="center"/>
          </w:tcPr>
          <w:p w14:paraId="68C9D40E">
            <w:pPr>
              <w:widowControl/>
              <w:spacing w:line="240" w:lineRule="exact"/>
              <w:rPr>
                <w:rFonts w:hint="eastAsia" w:ascii="仿宋_GB2312" w:hAnsi="仿宋_GB2312" w:eastAsia="仿宋_GB2312" w:cs="仿宋_GB2312"/>
                <w:kern w:val="0"/>
                <w:sz w:val="21"/>
                <w:szCs w:val="21"/>
              </w:rPr>
            </w:pPr>
          </w:p>
        </w:tc>
        <w:tc>
          <w:tcPr>
            <w:tcW w:w="764" w:type="dxa"/>
            <w:tcBorders>
              <w:top w:val="single" w:color="000000" w:sz="4" w:space="0"/>
              <w:left w:val="single" w:color="auto" w:sz="4" w:space="0"/>
              <w:bottom w:val="single" w:color="000000" w:sz="4" w:space="0"/>
              <w:right w:val="single" w:color="000000" w:sz="4" w:space="0"/>
            </w:tcBorders>
            <w:vAlign w:val="center"/>
          </w:tcPr>
          <w:p w14:paraId="1F6FD7F3">
            <w:pPr>
              <w:widowControl/>
              <w:spacing w:line="240" w:lineRule="exact"/>
              <w:jc w:val="left"/>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100</w:t>
            </w:r>
            <w:bookmarkStart w:id="0" w:name="_GoBack"/>
            <w:bookmarkEnd w:id="0"/>
          </w:p>
        </w:tc>
      </w:tr>
    </w:tbl>
    <w:p w14:paraId="12EC010E">
      <w:pPr>
        <w:spacing w:line="240" w:lineRule="exact"/>
        <w:rPr>
          <w:rFonts w:ascii="仿宋" w:hAnsi="仿宋" w:eastAsia="仿宋" w:cs="仿宋"/>
          <w:sz w:val="32"/>
          <w:szCs w:val="32"/>
        </w:rPr>
      </w:pPr>
    </w:p>
    <w:p w14:paraId="56BF722A">
      <w:pPr>
        <w:spacing w:line="240" w:lineRule="exact"/>
        <w:rPr>
          <w:rFonts w:ascii="仿宋" w:hAnsi="仿宋" w:eastAsia="仿宋" w:cs="仿宋"/>
          <w:sz w:val="32"/>
          <w:szCs w:val="32"/>
        </w:rPr>
      </w:pPr>
    </w:p>
    <w:p w14:paraId="28DA2250">
      <w:pPr>
        <w:spacing w:line="240" w:lineRule="exact"/>
        <w:rPr>
          <w:rFonts w:hint="eastAsia" w:ascii="仿宋" w:hAnsi="仿宋" w:eastAsia="仿宋" w:cs="仿宋"/>
          <w:sz w:val="32"/>
          <w:szCs w:val="32"/>
          <w:lang w:val="en-US" w:eastAsia="zh-CN"/>
        </w:rPr>
      </w:pPr>
    </w:p>
    <w:sectPr>
      <w:footerReference r:id="rId3" w:type="default"/>
      <w:footerReference r:id="rId4" w:type="even"/>
      <w:pgSz w:w="11906" w:h="16838"/>
      <w:pgMar w:top="1985" w:right="1418" w:bottom="1985" w:left="1418" w:header="851" w:footer="1701" w:gutter="0"/>
      <w:cols w:space="425" w:num="1"/>
      <w:docGrid w:type="lines" w:linePitch="31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AA56AD">
    <w:pPr>
      <w:pStyle w:val="5"/>
      <w:framePr w:wrap="around" w:vAnchor="text" w:hAnchor="margin" w:xAlign="outside" w:y="1"/>
      <w:rPr>
        <w:rStyle w:val="11"/>
        <w:rFonts w:ascii="宋体" w:hAnsi="宋体" w:eastAsia="宋体"/>
        <w:sz w:val="28"/>
        <w:szCs w:val="28"/>
      </w:rPr>
    </w:pPr>
    <w:r>
      <w:rPr>
        <w:rStyle w:val="11"/>
        <w:rFonts w:hint="eastAsia" w:ascii="宋体" w:hAnsi="宋体" w:eastAsia="宋体"/>
        <w:sz w:val="28"/>
        <w:szCs w:val="28"/>
      </w:rPr>
      <w:t>-</w:t>
    </w:r>
    <w:r>
      <w:rPr>
        <w:rStyle w:val="11"/>
        <w:rFonts w:ascii="宋体" w:hAnsi="宋体" w:eastAsia="宋体"/>
        <w:sz w:val="28"/>
        <w:szCs w:val="28"/>
      </w:rPr>
      <w:fldChar w:fldCharType="begin"/>
    </w:r>
    <w:r>
      <w:rPr>
        <w:rStyle w:val="11"/>
        <w:rFonts w:ascii="宋体" w:hAnsi="宋体" w:eastAsia="宋体"/>
        <w:sz w:val="28"/>
        <w:szCs w:val="28"/>
      </w:rPr>
      <w:instrText xml:space="preserve">PAGE  </w:instrText>
    </w:r>
    <w:r>
      <w:rPr>
        <w:rStyle w:val="11"/>
        <w:rFonts w:ascii="宋体" w:hAnsi="宋体" w:eastAsia="宋体"/>
        <w:sz w:val="28"/>
        <w:szCs w:val="28"/>
      </w:rPr>
      <w:fldChar w:fldCharType="separate"/>
    </w:r>
    <w:r>
      <w:rPr>
        <w:rStyle w:val="11"/>
        <w:rFonts w:ascii="宋体" w:hAnsi="宋体" w:eastAsia="宋体"/>
        <w:sz w:val="28"/>
        <w:szCs w:val="28"/>
      </w:rPr>
      <w:t>6</w:t>
    </w:r>
    <w:r>
      <w:rPr>
        <w:rStyle w:val="11"/>
        <w:rFonts w:ascii="宋体" w:hAnsi="宋体" w:eastAsia="宋体"/>
        <w:sz w:val="28"/>
        <w:szCs w:val="28"/>
      </w:rPr>
      <w:fldChar w:fldCharType="end"/>
    </w:r>
    <w:r>
      <w:rPr>
        <w:rStyle w:val="11"/>
        <w:rFonts w:hint="eastAsia" w:ascii="宋体" w:hAnsi="宋体" w:eastAsia="宋体"/>
        <w:sz w:val="28"/>
        <w:szCs w:val="28"/>
      </w:rPr>
      <w:t>-</w:t>
    </w:r>
  </w:p>
  <w:p w14:paraId="3AE74F3E">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A38CA">
    <w:pPr>
      <w:pStyle w:val="5"/>
      <w:framePr w:wrap="around" w:vAnchor="text" w:hAnchor="margin" w:xAlign="outside" w:y="1"/>
      <w:rPr>
        <w:rStyle w:val="11"/>
      </w:rPr>
    </w:pPr>
    <w:r>
      <w:rPr>
        <w:rStyle w:val="11"/>
      </w:rPr>
      <w:fldChar w:fldCharType="begin"/>
    </w:r>
    <w:r>
      <w:rPr>
        <w:rStyle w:val="11"/>
      </w:rPr>
      <w:instrText xml:space="preserve">PAGE  </w:instrText>
    </w:r>
    <w:r>
      <w:rPr>
        <w:rStyle w:val="11"/>
      </w:rPr>
      <w:fldChar w:fldCharType="end"/>
    </w:r>
  </w:p>
  <w:p w14:paraId="530DC596">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3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933"/>
    <w:rsid w:val="00002F2C"/>
    <w:rsid w:val="000070A8"/>
    <w:rsid w:val="00016CA4"/>
    <w:rsid w:val="000324AE"/>
    <w:rsid w:val="00042933"/>
    <w:rsid w:val="0008033E"/>
    <w:rsid w:val="0008759D"/>
    <w:rsid w:val="00094F2B"/>
    <w:rsid w:val="000B0A83"/>
    <w:rsid w:val="000B6322"/>
    <w:rsid w:val="000C2CC1"/>
    <w:rsid w:val="000E4A5A"/>
    <w:rsid w:val="00103547"/>
    <w:rsid w:val="0017068B"/>
    <w:rsid w:val="00185A3C"/>
    <w:rsid w:val="00192D5A"/>
    <w:rsid w:val="001C59B3"/>
    <w:rsid w:val="001E0886"/>
    <w:rsid w:val="001F7E31"/>
    <w:rsid w:val="002071BC"/>
    <w:rsid w:val="00225AE6"/>
    <w:rsid w:val="00235F0F"/>
    <w:rsid w:val="00255783"/>
    <w:rsid w:val="00290BA1"/>
    <w:rsid w:val="002A6AEA"/>
    <w:rsid w:val="002F2268"/>
    <w:rsid w:val="003C50C2"/>
    <w:rsid w:val="0041099F"/>
    <w:rsid w:val="00436A1D"/>
    <w:rsid w:val="004379D7"/>
    <w:rsid w:val="004A68B1"/>
    <w:rsid w:val="004B64F3"/>
    <w:rsid w:val="004E3B64"/>
    <w:rsid w:val="005020C5"/>
    <w:rsid w:val="00567FE6"/>
    <w:rsid w:val="0058162A"/>
    <w:rsid w:val="005B3616"/>
    <w:rsid w:val="005E12FA"/>
    <w:rsid w:val="00683167"/>
    <w:rsid w:val="006A5056"/>
    <w:rsid w:val="006E64C9"/>
    <w:rsid w:val="007048FF"/>
    <w:rsid w:val="00712100"/>
    <w:rsid w:val="0071700D"/>
    <w:rsid w:val="00742652"/>
    <w:rsid w:val="00772600"/>
    <w:rsid w:val="007D5D41"/>
    <w:rsid w:val="007F01F9"/>
    <w:rsid w:val="00856BA1"/>
    <w:rsid w:val="00867620"/>
    <w:rsid w:val="008709E0"/>
    <w:rsid w:val="008A6A10"/>
    <w:rsid w:val="008A6A31"/>
    <w:rsid w:val="00904AF4"/>
    <w:rsid w:val="00905542"/>
    <w:rsid w:val="00917700"/>
    <w:rsid w:val="00956F74"/>
    <w:rsid w:val="009B0B5F"/>
    <w:rsid w:val="009C04DA"/>
    <w:rsid w:val="009C4C62"/>
    <w:rsid w:val="009E3627"/>
    <w:rsid w:val="009F53E7"/>
    <w:rsid w:val="00A11BF8"/>
    <w:rsid w:val="00A14A33"/>
    <w:rsid w:val="00A6449D"/>
    <w:rsid w:val="00A768DB"/>
    <w:rsid w:val="00AA09C8"/>
    <w:rsid w:val="00AD5F30"/>
    <w:rsid w:val="00B0681D"/>
    <w:rsid w:val="00B9023F"/>
    <w:rsid w:val="00BC1FDC"/>
    <w:rsid w:val="00BD0FD8"/>
    <w:rsid w:val="00C44804"/>
    <w:rsid w:val="00C6362A"/>
    <w:rsid w:val="00C81363"/>
    <w:rsid w:val="00CB27A5"/>
    <w:rsid w:val="00CD55ED"/>
    <w:rsid w:val="00CD63C0"/>
    <w:rsid w:val="00CE62A0"/>
    <w:rsid w:val="00D21F0C"/>
    <w:rsid w:val="00D366C1"/>
    <w:rsid w:val="00D877F7"/>
    <w:rsid w:val="00DB2D43"/>
    <w:rsid w:val="00E266F1"/>
    <w:rsid w:val="00EB16A8"/>
    <w:rsid w:val="00EC7904"/>
    <w:rsid w:val="00F72E93"/>
    <w:rsid w:val="00F87A11"/>
    <w:rsid w:val="00FB7E01"/>
    <w:rsid w:val="00FE5F4C"/>
    <w:rsid w:val="00FF39F6"/>
    <w:rsid w:val="05374814"/>
    <w:rsid w:val="0C8F0285"/>
    <w:rsid w:val="0F8F6BFC"/>
    <w:rsid w:val="107166F3"/>
    <w:rsid w:val="144D4E5A"/>
    <w:rsid w:val="19E51619"/>
    <w:rsid w:val="1C841DE7"/>
    <w:rsid w:val="3791647A"/>
    <w:rsid w:val="455969D8"/>
    <w:rsid w:val="48725571"/>
    <w:rsid w:val="4BDB04ED"/>
    <w:rsid w:val="526A3656"/>
    <w:rsid w:val="53CD5365"/>
    <w:rsid w:val="5D643D56"/>
    <w:rsid w:val="5ECF6869"/>
    <w:rsid w:val="64283056"/>
    <w:rsid w:val="69BD0A47"/>
    <w:rsid w:val="71A911C9"/>
    <w:rsid w:val="7793669D"/>
    <w:rsid w:val="7CCC213E"/>
    <w:rsid w:val="7D1E2A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spacing w:before="100" w:beforeAutospacing="1" w:after="100" w:afterAutospacing="1"/>
      <w:jc w:val="left"/>
      <w:outlineLvl w:val="0"/>
    </w:pPr>
    <w:rPr>
      <w:rFonts w:hint="eastAsia" w:ascii="宋体" w:hAnsi="宋体" w:eastAsia="宋体" w:cs="宋体"/>
      <w:b/>
      <w:kern w:val="44"/>
      <w:sz w:val="48"/>
      <w:szCs w:val="48"/>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99"/>
    <w:pPr>
      <w:autoSpaceDE w:val="0"/>
      <w:autoSpaceDN w:val="0"/>
      <w:adjustRightInd w:val="0"/>
      <w:snapToGrid w:val="0"/>
      <w:spacing w:line="588" w:lineRule="atLeast"/>
    </w:pPr>
    <w:rPr>
      <w:rFonts w:ascii="宋体" w:hAnsi="宋体" w:eastAsia="仿宋_GB2312"/>
      <w:spacing w:val="-2"/>
      <w:sz w:val="32"/>
      <w:szCs w:val="24"/>
    </w:rPr>
  </w:style>
  <w:style w:type="paragraph" w:styleId="4">
    <w:name w:val="Plain Text"/>
    <w:basedOn w:val="1"/>
    <w:link w:val="14"/>
    <w:qFormat/>
    <w:uiPriority w:val="0"/>
    <w:rPr>
      <w:rFonts w:ascii="宋体" w:hAnsi="Courier New" w:eastAsia="宋体" w:cs="Courier New"/>
      <w:szCs w:val="21"/>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page number"/>
    <w:basedOn w:val="9"/>
    <w:semiHidden/>
    <w:unhideWhenUsed/>
    <w:qFormat/>
    <w:uiPriority w:val="99"/>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纯文本 Char"/>
    <w:basedOn w:val="9"/>
    <w:link w:val="4"/>
    <w:qFormat/>
    <w:uiPriority w:val="0"/>
    <w:rPr>
      <w:rFonts w:ascii="宋体" w:hAnsi="Courier New" w:eastAsia="宋体" w:cs="Courier New"/>
      <w:szCs w:val="21"/>
    </w:rPr>
  </w:style>
  <w:style w:type="character" w:customStyle="1" w:styleId="15">
    <w:name w:val="标题 1 Char"/>
    <w:basedOn w:val="9"/>
    <w:link w:val="2"/>
    <w:qFormat/>
    <w:uiPriority w:val="9"/>
    <w:rPr>
      <w:rFonts w:ascii="宋体" w:hAnsi="宋体" w:eastAsia="宋体" w:cs="宋体"/>
      <w:b/>
      <w:kern w:val="44"/>
      <w:sz w:val="48"/>
      <w:szCs w:val="48"/>
    </w:rPr>
  </w:style>
  <w:style w:type="character" w:customStyle="1" w:styleId="16">
    <w:name w:val="font31"/>
    <w:basedOn w:val="9"/>
    <w:qFormat/>
    <w:uiPriority w:val="0"/>
    <w:rPr>
      <w:rFonts w:hint="eastAsia" w:ascii="宋体" w:hAnsi="宋体" w:eastAsia="宋体" w:cs="宋体"/>
      <w:b/>
      <w:color w:val="000000"/>
      <w:sz w:val="36"/>
      <w:szCs w:val="36"/>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4706</Words>
  <Characters>5024</Characters>
  <Lines>37</Lines>
  <Paragraphs>10</Paragraphs>
  <TotalTime>12</TotalTime>
  <ScaleCrop>false</ScaleCrop>
  <LinksUpToDate>false</LinksUpToDate>
  <CharactersWithSpaces>5058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2016-02-22T07:07:00Z</dcterms:created>
  <dc:creator>Administrator</dc:creator>
  <cp:lastModifiedBy>蕙</cp:lastModifiedBy>
  <cp:lastPrinted>2026-07-28T01:32:31Z</cp:lastPrinted>
  <dcterms:modified xsi:type="dcterms:W3CDTF">2026-07-28T01:34:22Z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4588E0390E3B41418FF4298B98D5919E</vt:lpwstr>
  </property>
  <property fmtid="{D5CDD505-2E9C-101B-9397-08002B2CF9AE}" pid="4" name="KSOTemplateDocerSaveRecord">
    <vt:lpwstr>eyJoZGlkIjoiMTJlNjRiNWYxMDFmNTRkOWVjNDdlODQ1Y2QwNWQ0M2MiLCJ1c2VySWQiOiIxMjMyMzY4MzExIn0=</vt:lpwstr>
  </property>
</Properties>
</file>