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F5DF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  <w:t>附件4：</w:t>
      </w:r>
    </w:p>
    <w:tbl>
      <w:tblPr>
        <w:tblStyle w:val="7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674"/>
        <w:gridCol w:w="2083"/>
        <w:gridCol w:w="545"/>
        <w:gridCol w:w="3557"/>
        <w:gridCol w:w="513"/>
      </w:tblGrid>
      <w:tr w14:paraId="14304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33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2F1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40"/>
                <w:szCs w:val="4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40"/>
                <w:szCs w:val="48"/>
                <w:lang w:val="en-US" w:eastAsia="zh-CN"/>
              </w:rPr>
              <w:t>巨鹿县村级综治视联网线路租赁费和设备维护费项目重点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40"/>
                <w:szCs w:val="48"/>
              </w:rPr>
              <w:t>绩效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40"/>
                <w:szCs w:val="48"/>
                <w:lang w:val="en-US" w:eastAsia="zh-CN"/>
              </w:rPr>
              <w:t>自评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40"/>
                <w:szCs w:val="48"/>
              </w:rPr>
              <w:t>报告</w:t>
            </w:r>
          </w:p>
          <w:p w14:paraId="52DE43C9">
            <w:pP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                      </w:t>
            </w:r>
          </w:p>
          <w:p w14:paraId="2F07B224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0002A0DA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4288046D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7E5CF2DD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3D123FA2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68DA1A15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48A14A8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6D1D4029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37EEBE33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D81D152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0C92732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441A2E18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7D7BD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目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村级综治视联网线路租赁费和设备维护费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</w:p>
          <w:p w14:paraId="4CCA2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项目实施单位：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u w:val="single"/>
                <w:lang w:val="en-US" w:eastAsia="zh-CN"/>
              </w:rPr>
              <w:t xml:space="preserve">           中共巨鹿县委政法委员会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</w:t>
            </w:r>
          </w:p>
          <w:p w14:paraId="5F8B4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8"/>
                <w:sz w:val="28"/>
                <w:szCs w:val="28"/>
                <w:u w:val="none"/>
              </w:rPr>
              <w:t>项目总金额：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93万元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</w:t>
            </w:r>
          </w:p>
          <w:p w14:paraId="4BD63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价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  <w:u w:val="none"/>
              </w:rPr>
              <w:t>度：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2025年度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</w:t>
            </w:r>
          </w:p>
          <w:p w14:paraId="4A6B3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8"/>
                <w:sz w:val="28"/>
                <w:szCs w:val="28"/>
                <w:u w:val="none"/>
                <w:lang w:val="en-US" w:eastAsia="zh-CN"/>
              </w:rPr>
              <w:t>评价组组长：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闫立勇                 </w:t>
            </w:r>
          </w:p>
          <w:p w14:paraId="5171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8"/>
                <w:sz w:val="28"/>
                <w:szCs w:val="28"/>
                <w:u w:val="none"/>
                <w:lang w:val="en-US" w:eastAsia="zh-CN"/>
              </w:rPr>
              <w:t>评价组成员：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张剑                  </w:t>
            </w:r>
          </w:p>
          <w:p w14:paraId="596CD714">
            <w:pP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  <w:p w14:paraId="136624CD">
            <w:pPr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</w:rPr>
            </w:pPr>
            <w:bookmarkStart w:id="0" w:name="_Toc5909_WPSOffice_Level1"/>
            <w:bookmarkStart w:id="1" w:name="_Toc7470_WPSOffice_Level1"/>
          </w:p>
          <w:p w14:paraId="44C69C0B">
            <w:pPr>
              <w:spacing w:before="0" w:beforeLines="0" w:after="0" w:afterLines="0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</w:rPr>
            </w:pPr>
          </w:p>
          <w:p w14:paraId="5A78CA00">
            <w:pPr>
              <w:pStyle w:val="6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</w:rPr>
            </w:pPr>
          </w:p>
          <w:p w14:paraId="3F1FD2C0">
            <w:pPr>
              <w:rPr>
                <w:rFonts w:hint="eastAsia" w:ascii="仿宋_GB2312" w:hAnsi="仿宋_GB2312" w:eastAsia="仿宋_GB2312" w:cs="仿宋_GB2312"/>
              </w:rPr>
            </w:pPr>
          </w:p>
          <w:bookmarkEnd w:id="0"/>
          <w:bookmarkEnd w:id="1"/>
          <w:p w14:paraId="462E298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  <w:p w14:paraId="6C94F6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bookmarkStart w:id="2" w:name="_Toc4013"/>
            <w:bookmarkStart w:id="3" w:name="_Toc16913"/>
            <w:bookmarkStart w:id="4" w:name="_Toc23411"/>
            <w:bookmarkStart w:id="5" w:name="_Toc13153"/>
            <w:bookmarkStart w:id="6" w:name="_Toc18334"/>
            <w:bookmarkStart w:id="7" w:name="_Toc11301"/>
            <w:bookmarkStart w:id="8" w:name="_Toc9525"/>
            <w:bookmarkStart w:id="9" w:name="_Toc2245"/>
            <w:bookmarkStart w:id="10" w:name="_Toc30335"/>
            <w:bookmarkStart w:id="11" w:name="_Toc6314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一、项目概况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</w:p>
          <w:p w14:paraId="4E2566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12" w:name="_Toc22453"/>
            <w:bookmarkStart w:id="13" w:name="_Toc937"/>
            <w:bookmarkStart w:id="14" w:name="_Toc30895"/>
            <w:bookmarkStart w:id="15" w:name="_Toc22285"/>
            <w:bookmarkStart w:id="16" w:name="_Toc24784"/>
            <w:bookmarkStart w:id="17" w:name="_Toc19370"/>
            <w:bookmarkStart w:id="18" w:name="_Toc15831"/>
            <w:bookmarkStart w:id="19" w:name="_Toc23957"/>
            <w:bookmarkStart w:id="20" w:name="_Toc32742"/>
            <w:bookmarkStart w:id="21" w:name="_Toc19963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（一）项目单位基本情况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</w:p>
          <w:p w14:paraId="35CEBA0E">
            <w:pPr>
              <w:pStyle w:val="2"/>
              <w:spacing w:before="0" w:after="0" w:line="580" w:lineRule="exact"/>
              <w:ind w:firstLine="640" w:firstLineChars="2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bookmarkStart w:id="22" w:name="_Toc8843"/>
            <w:bookmarkStart w:id="23" w:name="_Toc29308"/>
            <w:bookmarkStart w:id="24" w:name="_Toc15167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>项目由中共巨鹿县委政法委员会实施，地址在巨鹿县新华北街109号，属于行政单位。</w:t>
            </w:r>
          </w:p>
          <w:p w14:paraId="54963C3F">
            <w:pPr>
              <w:spacing w:line="540" w:lineRule="exact"/>
              <w:ind w:right="-153" w:rightChars="-73" w:firstLine="665" w:firstLineChars="208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>1、根据党的路线、方针、政策和县委部署，研究制定贯彻落实的具体措施，统一政法各部门的思想和行动。</w:t>
            </w:r>
          </w:p>
          <w:p w14:paraId="3556714E">
            <w:pPr>
              <w:spacing w:line="540" w:lineRule="exact"/>
              <w:ind w:right="-153" w:rightChars="-73" w:firstLine="505" w:firstLineChars="158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 xml:space="preserve"> 2、研究和制定全县政法工作、维护稳定工作的具体措施。及时向县委提出决策建议；对一定时间内的政法工作、维护稳定工作和社会治安综合治理工作，作出全局性部署，并督促贯彻落实。</w:t>
            </w:r>
          </w:p>
          <w:p w14:paraId="69703AE2">
            <w:pPr>
              <w:spacing w:line="540" w:lineRule="exact"/>
              <w:ind w:right="-153" w:rightChars="-7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 xml:space="preserve">    3、研究制定加强全县政法队伍建设和领导班子建设的意见及措施，按照县委规定的干部管理权限，协助党委及其组织部门管理政法部门的领导班子和政法队伍。检查政法部门公正廉洁执法的情况，结合实际，研究制定促进公正廉洁执法的具体方法。</w:t>
            </w:r>
          </w:p>
          <w:p w14:paraId="614AA23C">
            <w:pPr>
              <w:spacing w:line="540" w:lineRule="exact"/>
              <w:ind w:right="-153" w:rightChars="-7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 xml:space="preserve">    4、支持和严格监督政法各部门依法行使职权；指导和协调政法各部门各负其责，密切配合，督促推动大案要案的查处工作，研究协调有争议的重大疑难案件。</w:t>
            </w:r>
          </w:p>
          <w:p w14:paraId="188F25F3">
            <w:pPr>
              <w:spacing w:line="540" w:lineRule="exact"/>
              <w:ind w:right="-153" w:rightChars="-7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 xml:space="preserve">    5、监督、检查政法部门执行法律法规和党的方针政策情况，结合实际，研究推动严肃执法，落实党的方针政策的意见和措施。</w:t>
            </w:r>
          </w:p>
          <w:p w14:paraId="76A14A9A">
            <w:pPr>
              <w:spacing w:line="540" w:lineRule="exact"/>
              <w:ind w:right="-153" w:rightChars="-7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 xml:space="preserve">    6、组织、协调和指导全县维护社会稳定工作和制止非法宗教活动工作。组织、指导维护社会稳定工作，掌握和分析社会稳定情况，协调处理群体性事件。</w:t>
            </w:r>
          </w:p>
          <w:p w14:paraId="1E37DAAC">
            <w:pPr>
              <w:spacing w:line="540" w:lineRule="exact"/>
              <w:ind w:right="-153" w:rightChars="-7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 xml:space="preserve">    7、组织、推动政法工作重大政策法律问题的研究，指导政法工作改革。</w:t>
            </w:r>
          </w:p>
          <w:p w14:paraId="48300CD7">
            <w:pPr>
              <w:spacing w:line="540" w:lineRule="exact"/>
              <w:ind w:right="-153" w:rightChars="-7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 xml:space="preserve">    8、指导、组织、协调全县社会治安综合治理工作，落实平安建设措施，推进社会管理创新，营造安定的社会环境。</w:t>
            </w:r>
          </w:p>
          <w:p w14:paraId="3B441EBB">
            <w:pPr>
              <w:spacing w:line="540" w:lineRule="exact"/>
              <w:ind w:right="-153" w:rightChars="-73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 xml:space="preserve">    9、组织构建大调解工作体系，排查化解矛盾隐患，指导、协调、推动政法部门做好涉法涉诉信访工作。</w:t>
            </w:r>
          </w:p>
          <w:p w14:paraId="032CBE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（二）项目基本情况</w:t>
            </w:r>
            <w:bookmarkEnd w:id="22"/>
            <w:bookmarkEnd w:id="23"/>
            <w:bookmarkEnd w:id="24"/>
          </w:p>
          <w:p w14:paraId="26EF94DA">
            <w:pPr>
              <w:spacing w:line="580" w:lineRule="auto"/>
              <w:ind w:firstLine="640"/>
              <w:rPr>
                <w:rFonts w:hint="default" w:ascii="仿宋_GB2312" w:hAnsi="仿宋_GB2312" w:eastAsia="仿宋_GB2312" w:cs="仿宋_GB2312"/>
                <w:sz w:val="32"/>
                <w:lang w:val="en-US"/>
              </w:rPr>
            </w:pPr>
            <w:bookmarkStart w:id="25" w:name="_Toc27552"/>
            <w:bookmarkStart w:id="26" w:name="_Toc32656"/>
            <w:bookmarkStart w:id="27" w:name="_Toc24191"/>
            <w:bookmarkStart w:id="28" w:name="_Toc26594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项目资金数285.894万元（含税），增值税税率6%，2023年3月底前和2024年3月底前支付当年维护费96万元，2025年3月底前支付剩余维护费用93万元，具体项目数量291个村级综治视联网传输服务、中心平台及乡镇村级视联网设备维护服务，我单位到账93元支付93万元。</w:t>
            </w:r>
          </w:p>
          <w:p w14:paraId="630BDDB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项目资金数、具体项目数量、工程量与支付资金情况等。</w:t>
            </w:r>
          </w:p>
          <w:bookmarkEnd w:id="25"/>
          <w:bookmarkEnd w:id="26"/>
          <w:bookmarkEnd w:id="27"/>
          <w:bookmarkEnd w:id="28"/>
          <w:p w14:paraId="10CECB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bookmarkStart w:id="29" w:name="_Toc17782"/>
            <w:bookmarkStart w:id="30" w:name="_Toc2988"/>
            <w:bookmarkStart w:id="31" w:name="_Toc6781"/>
            <w:bookmarkStart w:id="32" w:name="_Toc28908"/>
            <w:bookmarkStart w:id="33" w:name="_Toc4859"/>
            <w:bookmarkStart w:id="34" w:name="_Toc12860"/>
            <w:bookmarkStart w:id="35" w:name="_Toc18992"/>
            <w:bookmarkStart w:id="36" w:name="_Toc26109"/>
            <w:bookmarkStart w:id="37" w:name="_Toc14644"/>
            <w:bookmarkStart w:id="38" w:name="_Toc7839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二、项目实施情况</w:t>
            </w:r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</w:p>
          <w:p w14:paraId="5456E3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39" w:name="_Toc5317"/>
            <w:bookmarkStart w:id="40" w:name="_Toc12150"/>
            <w:bookmarkStart w:id="41" w:name="_Toc29800"/>
            <w:bookmarkStart w:id="42" w:name="_Toc5215"/>
            <w:bookmarkStart w:id="43" w:name="_Toc6451"/>
            <w:bookmarkStart w:id="44" w:name="_Toc21501"/>
            <w:bookmarkStart w:id="45" w:name="_Toc26855"/>
            <w:bookmarkStart w:id="46" w:name="_Toc10651"/>
            <w:bookmarkStart w:id="47" w:name="_Toc18915"/>
            <w:bookmarkStart w:id="48" w:name="_Toc20904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传输服务，村级综治视联网控制中心、监控室均采用10GE（万兆）或GE（千兆）接口与承载网络相连，视频会议采用百兆FE接口接入承载网络。291个村级会议视频点到专网独立带宽20M。</w:t>
            </w:r>
          </w:p>
          <w:p w14:paraId="7530C9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0"/>
              <w:rPr>
                <w:rFonts w:hint="default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设备维护服务，服务期限内提供7×27小时响应服务；前端接入网等支线故障，要求立即响应，4小时内恢复；对各类应急任务的保障以及前后端设备调试、检查、清洁等，及时响应。</w:t>
            </w:r>
          </w:p>
          <w:p w14:paraId="723444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三、绩效评价工作情况</w:t>
            </w:r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</w:p>
          <w:p w14:paraId="45C8E8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</w:pPr>
            <w:bookmarkStart w:id="49" w:name="_Toc4056"/>
            <w:bookmarkStart w:id="50" w:name="_Toc7570"/>
            <w:bookmarkStart w:id="51" w:name="_Toc25600"/>
            <w:bookmarkStart w:id="52" w:name="_Toc5105"/>
            <w:bookmarkStart w:id="53" w:name="_Toc23608"/>
            <w:bookmarkStart w:id="54" w:name="_Toc22771"/>
            <w:bookmarkStart w:id="55" w:name="_Toc14742"/>
            <w:bookmarkStart w:id="56" w:name="_Toc15730"/>
            <w:bookmarkStart w:id="57" w:name="_Toc8077"/>
            <w:bookmarkStart w:id="58" w:name="_Toc17355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  <w:t>（一）评价目的</w:t>
            </w:r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</w:p>
          <w:p w14:paraId="5E30F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  <w:t>评价目的是通过绩效管理实现目标，改善单位整体运营管理，提高员工培训、职业发展规划，为下一期的绩效指标完成做准备。</w:t>
            </w:r>
          </w:p>
          <w:p w14:paraId="27500D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highlight w:val="none"/>
                <w:lang w:val="en-US" w:eastAsia="zh-CN"/>
              </w:rPr>
            </w:pPr>
            <w:bookmarkStart w:id="59" w:name="_Toc16971"/>
            <w:bookmarkStart w:id="60" w:name="_Toc8288"/>
            <w:bookmarkStart w:id="61" w:name="_Toc22727"/>
            <w:bookmarkStart w:id="62" w:name="_Toc16121"/>
            <w:bookmarkStart w:id="63" w:name="_Toc18502"/>
            <w:bookmarkStart w:id="64" w:name="_Toc27346"/>
            <w:bookmarkStart w:id="65" w:name="_Toc3910"/>
            <w:bookmarkStart w:id="66" w:name="_Toc25746"/>
            <w:bookmarkStart w:id="67" w:name="_Toc27199"/>
            <w:bookmarkStart w:id="68" w:name="_Toc30351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highlight w:val="none"/>
                <w:lang w:val="en-US" w:eastAsia="zh-CN"/>
              </w:rPr>
              <w:t>评价指标</w:t>
            </w:r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</w:p>
          <w:p w14:paraId="05CF3C20">
            <w:pPr>
              <w:pStyle w:val="11"/>
              <w:ind w:left="195" w:firstLine="640" w:firstLine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>评价指标主要根据财政部门设置的指标、绩效评价管 理制度及单位职能职责、发展规划、年度工作计划、年度绩 效目标制定，选取科学、灵活，具有可操作性，贴近实际。 分为长期、年度绩效指标。其中：一级指标分为：产出指标、效果指标、社会公众满意度 指标。 二级指标分为：产出数量、产出质量、产出时效、产出成本、经济效益、社会效益指标。 指标内容和指标值：充分考虑工作的特殊性选择符合实际，操作性强的方式设定。明确绩效评价等级划分，对相关指标进行解释，并拟定评分标准和考评方式。征求各科室意见了解各科室对指 标体系设计的建议和意见，对绩效评价指标设计进一步细化 完善，提高考评可行性、客观性、全面性。</w:t>
            </w:r>
          </w:p>
          <w:p w14:paraId="37F7E4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69" w:name="_Toc19154"/>
            <w:bookmarkStart w:id="70" w:name="_Toc23270"/>
            <w:bookmarkStart w:id="71" w:name="_Toc5587"/>
            <w:bookmarkStart w:id="72" w:name="_Toc32241"/>
            <w:bookmarkStart w:id="73" w:name="_Toc12572"/>
            <w:bookmarkStart w:id="74" w:name="_Toc11684"/>
            <w:bookmarkStart w:id="75" w:name="_Toc5304"/>
            <w:bookmarkStart w:id="76" w:name="_Toc19068"/>
            <w:bookmarkStart w:id="77" w:name="_Toc32306"/>
            <w:bookmarkStart w:id="78" w:name="_Toc25343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评价依据</w:t>
            </w:r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</w:p>
          <w:p w14:paraId="6C1C19A6">
            <w:pPr>
              <w:numPr>
                <w:ilvl w:val="0"/>
                <w:numId w:val="0"/>
              </w:numPr>
              <w:spacing w:line="580" w:lineRule="auto"/>
              <w:ind w:firstLine="64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>按照规定的程序设立，符合相关要求，目标合理，符合 本单位的职能任务。针对年初绩效目标，通过产出指标、效果指标及社会 公众或服务对象满意度等指标设定，进一步细化评价指标， 层层递进，抓好落实。</w:t>
            </w:r>
          </w:p>
          <w:p w14:paraId="0DF9E2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79" w:name="_Toc9401"/>
            <w:bookmarkStart w:id="80" w:name="_Toc22038"/>
            <w:bookmarkStart w:id="81" w:name="_Toc6747"/>
            <w:bookmarkStart w:id="82" w:name="_Toc26780"/>
            <w:bookmarkStart w:id="83" w:name="_Toc11243"/>
            <w:bookmarkStart w:id="84" w:name="_Toc12940"/>
            <w:bookmarkStart w:id="85" w:name="_Toc24302"/>
            <w:bookmarkStart w:id="86" w:name="_Toc13179"/>
            <w:bookmarkStart w:id="87" w:name="_Toc7393"/>
            <w:bookmarkStart w:id="88" w:name="_Toc1868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评价的主要方法及等级设定</w:t>
            </w:r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</w:p>
          <w:p w14:paraId="6E2DEE98">
            <w:pPr>
              <w:pStyle w:val="11"/>
              <w:numPr>
                <w:ilvl w:val="0"/>
                <w:numId w:val="0"/>
              </w:numPr>
              <w:ind w:firstLine="640" w:firstLine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40"/>
                <w:lang w:val="en-US" w:eastAsia="zh-CN" w:bidi="ar-SA"/>
              </w:rPr>
              <w:t>根据财政部门有关文件要求，围绕主要指标进行绩效 评价，绩效评价结合课题研究及咨询论证实际情况，按照设定的绩效目标，运用合理的评价方法、对照标准，分为优、良、中、差，对项目涉及的各个方面进行客观、公正地评价。根据项目绩效目标有序进行。（1）前期准备，明确工作分工、了解基本情况、设计指标体系。（2）收集信息，分别跟进工作进度，开展实地调研，了解当地实际情况并综合汇总。（3）数据分析、评价，相关部门交流意见，形成报告。</w:t>
            </w:r>
          </w:p>
          <w:p w14:paraId="00B036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bookmarkStart w:id="89" w:name="_Toc17025"/>
            <w:bookmarkStart w:id="90" w:name="_Toc28621"/>
            <w:bookmarkStart w:id="91" w:name="_Toc18842"/>
            <w:bookmarkStart w:id="92" w:name="_Toc10113"/>
            <w:bookmarkStart w:id="93" w:name="_Toc6105"/>
            <w:bookmarkStart w:id="94" w:name="_Toc5623"/>
            <w:bookmarkStart w:id="95" w:name="_Toc20748"/>
            <w:bookmarkStart w:id="96" w:name="_Toc30508"/>
            <w:bookmarkStart w:id="97" w:name="_Toc22222"/>
            <w:bookmarkStart w:id="98" w:name="_Toc21014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四、绩效评价指标体系及得分情况</w:t>
            </w:r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</w:p>
          <w:p w14:paraId="659C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村级综治视联网线路租赁费和设备维护费</w:t>
            </w:r>
          </w:p>
          <w:p w14:paraId="5301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项目重点绩效自评指标表</w:t>
            </w:r>
          </w:p>
        </w:tc>
      </w:tr>
      <w:tr w14:paraId="5B01B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4ED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一级指标  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F7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95F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三级指标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D4A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3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8E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指标说明</w:t>
            </w:r>
          </w:p>
        </w:tc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CD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 w14:paraId="2B837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37A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BDA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86A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CBF0E50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ADCA962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DCB7F3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5F5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0A5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“工作活动”设置（15分）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807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项目立项情况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AA4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是否符合市政府经济和社会总体发展规划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4E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77E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有市政府相关政策、规划、任务等文件得1分；无不得分。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59F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</w:t>
            </w:r>
          </w:p>
        </w:tc>
      </w:tr>
      <w:tr w14:paraId="0E327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986B4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350D5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97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项目活动与职责相关性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463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068C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工作活动与部门职责、工作规划和重点工作相关，工作活动项下确定的预算项目合理，与工作活动密切相关，工作活动和项目预算安排合理，得4分；否则不得分。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72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</w:t>
            </w:r>
          </w:p>
        </w:tc>
      </w:tr>
      <w:tr w14:paraId="6B801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9EB48B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D7F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绩效自评情况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114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项目设立绩效目标合理性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C4C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CBC2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①是否将项目绩效目标细化分解为具体的绩效指标；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②是否通过清晰、可衡量的指标值予以体现；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③是否与项目年度任务数或计划数相对应；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④是否与预算确定的项目投资额或资金量相匹配。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缺少一项扣5分,扣完为止。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D2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</w:t>
            </w:r>
          </w:p>
        </w:tc>
      </w:tr>
      <w:tr w14:paraId="1E829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6D2D7A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F9832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16C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自评报告情况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9FE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5DDFF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是否有绩效评价报告，报告是否依据充分、内容真实完整；数据准确、分析透彻。每存在一项问题扣5分，扣完为止。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87C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</w:tr>
      <w:tr w14:paraId="24635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1F3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“工作活动”管理（25分）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19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7939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预算调整率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44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6F0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预算调整率=（预算调整数/预算数）×100%。预算调整率每大于1%扣5分，扣完为止。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CF7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 w14:paraId="53309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C20526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6F48B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7F2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资金使用合规性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EC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2AF7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项目资金使用是否符合国家财经法规及相关的财务管理制度规定，资金支出程序是否规范,报账手续是否齐全。每存在一项不合规问题扣5分，扣完为止。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41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 w14:paraId="2EB2C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422249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A2571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A2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会计核算规范性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57A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669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会计核算是否符合《会计法》、《政府会计制度》、《会计基础工作规范》等法律法规和相关制度规定。每存在一项不合规问题扣5分，扣完为止。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9E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</w:tr>
      <w:tr w14:paraId="69B6D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FD1A1B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5EF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CA2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项目责任机制是否健全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7D3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2F86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是否建立责任机制，项目管理和责任落实到有关人。每存在一项问题扣5分，扣完为止。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17D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</w:tr>
      <w:tr w14:paraId="4286F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809DD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9D4C6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4B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管理制度健全性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10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6E8D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制定管理制度和措施（包括财务制度）是否明确、清晰、具有可操作性，能否保障工作活动顺利实施。每缺少一项制度扣5分，扣完为止。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BF7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</w:tr>
      <w:tr w14:paraId="0C2FDA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0D8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“工作活动”产出（25分）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45C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D71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指标1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D76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B8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完成租用线路数量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DE4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BB460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3A4458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40787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28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指标2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1B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7DE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完成设备维护数量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69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0AA08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78BB03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B08B72F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A94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指标3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13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1A6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确保线路正常运转数量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71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C98C5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52B88C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197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4EE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指标1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5C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36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工作完成优秀占比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B0A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4EB5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DF238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F4F3D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8A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指标2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B0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FE7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工作合格率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F8C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F488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86E9AC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2BFD7C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7D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指标3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73E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AA3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完成工作标准达到预期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309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33EB6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EAB556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9BFD7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C64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指标4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3F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2DA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工作质量达标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191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D864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44B00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FC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E4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指标1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0D3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BFA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在规定时间内完成建设工作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189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E6B9B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21E81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0153F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45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指标2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388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4C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在规定时间内完成支出进度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64E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6F87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268EDB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  <w:t>“工作活动”效果（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  <w:t>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8F52B9A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满意度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1EF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指标1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552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7BE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对视联网建设质量满意度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DC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62CA1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17CDE9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B843AD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A7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指标2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B5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9B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被服务人对所提供服务满意度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B61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5FEAB7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D3CF628">
            <w:pPr>
              <w:ind w:firstLine="22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合计（100分）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A4ED89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6B1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408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A719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78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</w:tbl>
    <w:p w14:paraId="5E6C2E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</w:pPr>
    </w:p>
    <w:p w14:paraId="055FE00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center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99" w:name="_Toc11279_WPSOffice_Level1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五、意见及建议</w:t>
      </w:r>
      <w:bookmarkEnd w:id="99"/>
    </w:p>
    <w:p w14:paraId="75DB2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一是科学细化整体预算编制工作，提高预算绩效管理水平。二是做好与财政部门的衔接协调，确保工作积极推进。三是加强项目配套资金管理，优化财政资金效益。</w:t>
      </w:r>
    </w:p>
    <w:p w14:paraId="6FCB5F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2026年7月29</w:t>
      </w:r>
      <w:bookmarkStart w:id="100" w:name="_GoBack"/>
      <w:bookmarkEnd w:id="10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</w:t>
      </w:r>
    </w:p>
    <w:p w14:paraId="5D0AA705">
      <w:pPr>
        <w:rPr>
          <w:rFonts w:hint="eastAsia" w:ascii="仿宋_GB2312" w:hAnsi="仿宋_GB2312" w:eastAsia="仿宋_GB2312" w:cs="仿宋_GB2312"/>
        </w:rPr>
      </w:pPr>
    </w:p>
    <w:sectPr>
      <w:footerReference r:id="rId3" w:type="default"/>
      <w:pgSz w:w="11906" w:h="16838"/>
      <w:pgMar w:top="2154" w:right="1474" w:bottom="1984" w:left="1587" w:header="851" w:footer="992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7FC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80014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680014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352312"/>
    <w:multiLevelType w:val="singleLevel"/>
    <w:tmpl w:val="CB35231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zU5OGY5ZjVhYjZiY2Q1NGRkYzJjYTZmOTY5ODkifQ=="/>
  </w:docVars>
  <w:rsids>
    <w:rsidRoot w:val="07CC499B"/>
    <w:rsid w:val="00B60E03"/>
    <w:rsid w:val="01B67D1F"/>
    <w:rsid w:val="01CA2AF2"/>
    <w:rsid w:val="03274687"/>
    <w:rsid w:val="04064A0C"/>
    <w:rsid w:val="04321BCD"/>
    <w:rsid w:val="04FF4482"/>
    <w:rsid w:val="057A0A50"/>
    <w:rsid w:val="064C4C17"/>
    <w:rsid w:val="07342749"/>
    <w:rsid w:val="076C3175"/>
    <w:rsid w:val="07CC499B"/>
    <w:rsid w:val="0815567D"/>
    <w:rsid w:val="0909607F"/>
    <w:rsid w:val="09A64785"/>
    <w:rsid w:val="09E33E93"/>
    <w:rsid w:val="0A3B4E4B"/>
    <w:rsid w:val="0B601B06"/>
    <w:rsid w:val="0BEB58BF"/>
    <w:rsid w:val="0C15027B"/>
    <w:rsid w:val="0C3B2A49"/>
    <w:rsid w:val="0DAA4EE9"/>
    <w:rsid w:val="0E3117D9"/>
    <w:rsid w:val="102B0836"/>
    <w:rsid w:val="10544589"/>
    <w:rsid w:val="1064155D"/>
    <w:rsid w:val="10967DE9"/>
    <w:rsid w:val="10F867AF"/>
    <w:rsid w:val="1156122B"/>
    <w:rsid w:val="11F11891"/>
    <w:rsid w:val="12C35BB4"/>
    <w:rsid w:val="13A84916"/>
    <w:rsid w:val="140849FA"/>
    <w:rsid w:val="14583EA3"/>
    <w:rsid w:val="151D09B5"/>
    <w:rsid w:val="1689469A"/>
    <w:rsid w:val="16DB1E7D"/>
    <w:rsid w:val="175E76BE"/>
    <w:rsid w:val="178C6C5A"/>
    <w:rsid w:val="17CD646A"/>
    <w:rsid w:val="184F3049"/>
    <w:rsid w:val="1B3F225B"/>
    <w:rsid w:val="1B4269FF"/>
    <w:rsid w:val="1C672059"/>
    <w:rsid w:val="1D4B3C83"/>
    <w:rsid w:val="1DBD7AB3"/>
    <w:rsid w:val="1E0B387E"/>
    <w:rsid w:val="209605AD"/>
    <w:rsid w:val="209E05F3"/>
    <w:rsid w:val="21460607"/>
    <w:rsid w:val="21FF1E9B"/>
    <w:rsid w:val="22F323D4"/>
    <w:rsid w:val="232079E6"/>
    <w:rsid w:val="23C1122C"/>
    <w:rsid w:val="243D751D"/>
    <w:rsid w:val="24522B03"/>
    <w:rsid w:val="25ED2FD4"/>
    <w:rsid w:val="2617065B"/>
    <w:rsid w:val="264A346A"/>
    <w:rsid w:val="2686221E"/>
    <w:rsid w:val="270A41B9"/>
    <w:rsid w:val="274B3C4E"/>
    <w:rsid w:val="285356FD"/>
    <w:rsid w:val="288E37E0"/>
    <w:rsid w:val="290243B4"/>
    <w:rsid w:val="2A5C748F"/>
    <w:rsid w:val="2B10000E"/>
    <w:rsid w:val="2B2D56DA"/>
    <w:rsid w:val="2D104627"/>
    <w:rsid w:val="2D391E20"/>
    <w:rsid w:val="30785FD3"/>
    <w:rsid w:val="31702E0D"/>
    <w:rsid w:val="33C32B3C"/>
    <w:rsid w:val="34E52524"/>
    <w:rsid w:val="35CA4ECD"/>
    <w:rsid w:val="35CE5164"/>
    <w:rsid w:val="35F07825"/>
    <w:rsid w:val="360C2FBA"/>
    <w:rsid w:val="363913FE"/>
    <w:rsid w:val="36D6548C"/>
    <w:rsid w:val="376918C7"/>
    <w:rsid w:val="37832AC7"/>
    <w:rsid w:val="38195BED"/>
    <w:rsid w:val="39B23A02"/>
    <w:rsid w:val="3A4766ED"/>
    <w:rsid w:val="3A713A3B"/>
    <w:rsid w:val="3AAB2217"/>
    <w:rsid w:val="3CAE49E3"/>
    <w:rsid w:val="3DAE40CB"/>
    <w:rsid w:val="3E7103A9"/>
    <w:rsid w:val="3E7E746E"/>
    <w:rsid w:val="3EBE2184"/>
    <w:rsid w:val="3F5912F8"/>
    <w:rsid w:val="3F9B4FC0"/>
    <w:rsid w:val="4162149D"/>
    <w:rsid w:val="41B74B09"/>
    <w:rsid w:val="433C187A"/>
    <w:rsid w:val="43DC781A"/>
    <w:rsid w:val="441C7555"/>
    <w:rsid w:val="450A0AA4"/>
    <w:rsid w:val="45236574"/>
    <w:rsid w:val="45661F9C"/>
    <w:rsid w:val="45C36283"/>
    <w:rsid w:val="45E06E35"/>
    <w:rsid w:val="46434BE2"/>
    <w:rsid w:val="46AA6AA7"/>
    <w:rsid w:val="478E0E32"/>
    <w:rsid w:val="48A2447B"/>
    <w:rsid w:val="49430BD9"/>
    <w:rsid w:val="494625CA"/>
    <w:rsid w:val="4A2B1596"/>
    <w:rsid w:val="4BD23ED8"/>
    <w:rsid w:val="4C2846CD"/>
    <w:rsid w:val="4C7A4C55"/>
    <w:rsid w:val="4CBD1914"/>
    <w:rsid w:val="4E3C6BD2"/>
    <w:rsid w:val="4F6A54EE"/>
    <w:rsid w:val="4FDF6ED1"/>
    <w:rsid w:val="514C0EC5"/>
    <w:rsid w:val="51F50157"/>
    <w:rsid w:val="52866F20"/>
    <w:rsid w:val="52EE7A8B"/>
    <w:rsid w:val="535B290E"/>
    <w:rsid w:val="53F1208F"/>
    <w:rsid w:val="54DE5250"/>
    <w:rsid w:val="55495194"/>
    <w:rsid w:val="554A6079"/>
    <w:rsid w:val="56115CEE"/>
    <w:rsid w:val="56D42516"/>
    <w:rsid w:val="56FE5044"/>
    <w:rsid w:val="57E03285"/>
    <w:rsid w:val="5AE71036"/>
    <w:rsid w:val="5B5F30DA"/>
    <w:rsid w:val="5BAF6F84"/>
    <w:rsid w:val="5BE03A0F"/>
    <w:rsid w:val="5D5C7CBD"/>
    <w:rsid w:val="5DF86B3F"/>
    <w:rsid w:val="5F1C1ADB"/>
    <w:rsid w:val="60134031"/>
    <w:rsid w:val="60C120AA"/>
    <w:rsid w:val="6304094B"/>
    <w:rsid w:val="64165E4C"/>
    <w:rsid w:val="6536013A"/>
    <w:rsid w:val="669047A6"/>
    <w:rsid w:val="68DA698B"/>
    <w:rsid w:val="6A2922A9"/>
    <w:rsid w:val="6A3E1F45"/>
    <w:rsid w:val="6B4C36B5"/>
    <w:rsid w:val="6CCC6D4C"/>
    <w:rsid w:val="6D5F4EC3"/>
    <w:rsid w:val="6E3F5A2C"/>
    <w:rsid w:val="6F23790A"/>
    <w:rsid w:val="7008088F"/>
    <w:rsid w:val="712634CC"/>
    <w:rsid w:val="71A3781D"/>
    <w:rsid w:val="724E698E"/>
    <w:rsid w:val="72850298"/>
    <w:rsid w:val="756501CF"/>
    <w:rsid w:val="778F438E"/>
    <w:rsid w:val="7A055146"/>
    <w:rsid w:val="7A757A3F"/>
    <w:rsid w:val="7C647BFE"/>
    <w:rsid w:val="7D9B64C3"/>
    <w:rsid w:val="7FA8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00" w:lineRule="exact"/>
      <w:ind w:firstLine="560" w:firstLineChars="200"/>
      <w:textAlignment w:val="center"/>
    </w:pPr>
    <w:rPr>
      <w:rFonts w:ascii="宋体" w:hAnsi="宋体"/>
      <w:color w:val="FF0000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3"/>
    <w:next w:val="1"/>
    <w:qFormat/>
    <w:uiPriority w:val="0"/>
    <w:pPr>
      <w:ind w:firstLine="420"/>
    </w:p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2021-07-20T09:00:00Z</dcterms:created>
  <dc:creator>user</dc:creator>
  <cp:lastModifiedBy>Administrator</cp:lastModifiedBy>
  <dcterms:modified xsi:type="dcterms:W3CDTF">2026-07-29T02:25:30Z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41260B391483414CBAB659E47BBFBA50</vt:lpwstr>
  </property>
  <property fmtid="{D5CDD505-2E9C-101B-9397-08002B2CF9AE}" pid="4" name="KSOTemplateDocerSaveRecord">
    <vt:lpwstr>eyJoZGlkIjoiOTZkODdjNjBjYjgwMWIzNTVhNmQ2Njg3YzU5Y2RjNTgifQ==</vt:lpwstr>
  </property>
</Properties>
</file>