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7F49F">
      <w:pPr>
        <w:snapToGrid w:val="0"/>
        <w:spacing w:line="580" w:lineRule="exact"/>
        <w:rPr>
          <w:rFonts w:ascii="方正仿宋_GBK" w:hAnsi="Tahoma" w:eastAsia="方正仿宋_GBK" w:cs="Tahoma"/>
          <w:kern w:val="0"/>
          <w:sz w:val="32"/>
          <w:szCs w:val="32"/>
        </w:rPr>
      </w:pPr>
      <w:r>
        <w:rPr>
          <w:rFonts w:hint="eastAsia" w:ascii="方正仿宋_GBK" w:hAnsi="黑体" w:eastAsia="方正仿宋_GBK"/>
          <w:sz w:val="32"/>
          <w:szCs w:val="32"/>
        </w:rPr>
        <w:t>附件</w:t>
      </w:r>
      <w:r>
        <w:rPr>
          <w:rFonts w:hint="eastAsia" w:eastAsia="方正仿宋_GBK"/>
          <w:sz w:val="32"/>
          <w:szCs w:val="32"/>
        </w:rPr>
        <w:t>3</w:t>
      </w:r>
    </w:p>
    <w:p w14:paraId="369B5291">
      <w:pPr>
        <w:snapToGrid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rPr>
        <w:t>202</w:t>
      </w:r>
      <w:r>
        <w:rPr>
          <w:rFonts w:hint="eastAsia" w:ascii="方正小标宋简体" w:hAnsi="方正小标宋简体" w:eastAsia="方正小标宋简体" w:cs="方正小标宋简体"/>
          <w:kern w:val="0"/>
          <w:sz w:val="44"/>
          <w:szCs w:val="44"/>
          <w:lang w:val="en-US" w:eastAsia="zh-CN"/>
        </w:rPr>
        <w:t>5</w:t>
      </w:r>
      <w:r>
        <w:rPr>
          <w:rFonts w:hint="eastAsia" w:ascii="方正小标宋简体" w:hAnsi="方正小标宋简体" w:eastAsia="方正小标宋简体" w:cs="方正小标宋简体"/>
          <w:kern w:val="0"/>
          <w:sz w:val="44"/>
          <w:szCs w:val="44"/>
        </w:rPr>
        <w:t>年度</w:t>
      </w:r>
      <w:r>
        <w:rPr>
          <w:rFonts w:hint="eastAsia" w:ascii="方正小标宋简体" w:hAnsi="方正小标宋简体" w:eastAsia="方正小标宋简体" w:cs="方正小标宋简体"/>
          <w:kern w:val="0"/>
          <w:sz w:val="44"/>
          <w:szCs w:val="44"/>
          <w:lang w:val="en-US" w:eastAsia="zh-CN"/>
        </w:rPr>
        <w:t>巨鹿县总工会</w:t>
      </w:r>
      <w:r>
        <w:rPr>
          <w:rFonts w:hint="eastAsia" w:ascii="方正小标宋简体" w:hAnsi="方正小标宋简体" w:eastAsia="方正小标宋简体" w:cs="方正小标宋简体"/>
          <w:kern w:val="0"/>
          <w:sz w:val="44"/>
          <w:szCs w:val="44"/>
        </w:rPr>
        <w:t>整体</w:t>
      </w:r>
      <w:r>
        <w:rPr>
          <w:rFonts w:hint="eastAsia" w:ascii="方正小标宋简体" w:hAnsi="方正小标宋简体" w:eastAsia="方正小标宋简体" w:cs="方正小标宋简体"/>
          <w:sz w:val="44"/>
          <w:szCs w:val="44"/>
        </w:rPr>
        <w:t>绩效自评工作报告</w:t>
      </w:r>
    </w:p>
    <w:p w14:paraId="10D25500">
      <w:pPr>
        <w:snapToGrid w:val="0"/>
        <w:spacing w:line="580" w:lineRule="exact"/>
        <w:ind w:firstLine="640" w:firstLineChars="200"/>
        <w:jc w:val="left"/>
        <w:rPr>
          <w:rFonts w:hint="eastAsia" w:ascii="方正黑体_GBK" w:hAnsi="宋体" w:eastAsia="方正黑体_GBK"/>
          <w:sz w:val="32"/>
          <w:szCs w:val="32"/>
        </w:rPr>
      </w:pPr>
    </w:p>
    <w:p w14:paraId="1FA925B7">
      <w:pPr>
        <w:snapToGrid w:val="0"/>
        <w:spacing w:line="580" w:lineRule="exact"/>
        <w:ind w:firstLine="0" w:firstLineChars="0"/>
        <w:rPr>
          <w:rFonts w:ascii="仿宋_GB2312" w:hAnsi="宋体" w:eastAsia="仿宋_GB2312"/>
          <w:b/>
          <w:sz w:val="32"/>
          <w:szCs w:val="32"/>
        </w:rPr>
      </w:pPr>
      <w:r>
        <w:rPr>
          <w:rFonts w:hint="eastAsia" w:ascii="方正黑体_GBK" w:hAnsi="宋体" w:eastAsia="方正黑体_GBK"/>
          <w:sz w:val="32"/>
          <w:szCs w:val="32"/>
        </w:rPr>
        <w:t>一、绩效自评工作组织开展情况</w:t>
      </w:r>
    </w:p>
    <w:p w14:paraId="01332463">
      <w:pPr>
        <w:snapToGrid w:val="0"/>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为加强财政</w:t>
      </w:r>
      <w:r>
        <w:rPr>
          <w:rFonts w:hint="eastAsia" w:ascii="仿宋" w:hAnsi="仿宋" w:eastAsia="仿宋" w:cs="仿宋"/>
          <w:sz w:val="32"/>
          <w:szCs w:val="32"/>
          <w:lang w:val="en-US" w:eastAsia="zh-CN"/>
        </w:rPr>
        <w:t>支出</w:t>
      </w:r>
      <w:r>
        <w:rPr>
          <w:rFonts w:hint="eastAsia" w:ascii="仿宋" w:hAnsi="仿宋" w:eastAsia="仿宋" w:cs="仿宋"/>
          <w:sz w:val="32"/>
          <w:szCs w:val="32"/>
        </w:rPr>
        <w:t>管理，</w:t>
      </w:r>
      <w:r>
        <w:rPr>
          <w:rFonts w:hint="eastAsia" w:ascii="仿宋" w:hAnsi="仿宋" w:eastAsia="仿宋" w:cs="仿宋"/>
          <w:sz w:val="32"/>
          <w:szCs w:val="32"/>
          <w:lang w:val="en-US" w:eastAsia="zh-CN"/>
        </w:rPr>
        <w:t>保障</w:t>
      </w:r>
      <w:r>
        <w:rPr>
          <w:rFonts w:hint="eastAsia" w:ascii="仿宋" w:hAnsi="仿宋" w:eastAsia="仿宋" w:cs="仿宋"/>
          <w:sz w:val="32"/>
          <w:szCs w:val="32"/>
        </w:rPr>
        <w:t>资金使用效益，提高财政资金</w:t>
      </w:r>
      <w:r>
        <w:rPr>
          <w:rFonts w:hint="eastAsia" w:ascii="仿宋" w:hAnsi="仿宋" w:eastAsia="仿宋" w:cs="仿宋"/>
          <w:sz w:val="32"/>
          <w:szCs w:val="32"/>
          <w:lang w:val="en-US" w:eastAsia="zh-CN"/>
        </w:rPr>
        <w:t>使用绩效</w:t>
      </w:r>
      <w:r>
        <w:rPr>
          <w:rFonts w:hint="eastAsia" w:ascii="仿宋" w:hAnsi="仿宋" w:eastAsia="仿宋" w:cs="仿宋"/>
          <w:sz w:val="32"/>
          <w:szCs w:val="32"/>
        </w:rPr>
        <w:t>，促进部门更好</w:t>
      </w:r>
      <w:r>
        <w:rPr>
          <w:rFonts w:hint="eastAsia" w:ascii="仿宋" w:hAnsi="仿宋" w:eastAsia="仿宋" w:cs="仿宋"/>
          <w:sz w:val="32"/>
          <w:szCs w:val="32"/>
          <w:lang w:eastAsia="zh-CN"/>
        </w:rPr>
        <w:t>地</w:t>
      </w:r>
      <w:r>
        <w:rPr>
          <w:rFonts w:hint="eastAsia" w:ascii="仿宋" w:hAnsi="仿宋" w:eastAsia="仿宋" w:cs="仿宋"/>
          <w:sz w:val="32"/>
          <w:szCs w:val="32"/>
        </w:rPr>
        <w:t>履行职责，根据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中华人民共和国预算法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中共巨鹿县委组织部巨鹿县人民政府关于全面落实预算绩效管理实施意见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巨发【2019】16号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相关规定，参照巨财【2025】17号文件</w:t>
      </w:r>
      <w:r>
        <w:rPr>
          <w:rFonts w:hint="eastAsia" w:ascii="仿宋" w:hAnsi="仿宋" w:eastAsia="仿宋" w:cs="仿宋"/>
          <w:sz w:val="32"/>
          <w:szCs w:val="32"/>
        </w:rPr>
        <w:t>通知要求，</w:t>
      </w:r>
      <w:r>
        <w:rPr>
          <w:rFonts w:hint="eastAsia" w:ascii="仿宋" w:hAnsi="仿宋" w:eastAsia="仿宋" w:cs="仿宋"/>
          <w:sz w:val="32"/>
          <w:szCs w:val="32"/>
          <w:lang w:val="en-US" w:eastAsia="zh-CN"/>
        </w:rPr>
        <w:t>我部门成立绩效评价工作小组同部门经审小组，对预算项目开展绩效评价工作，2</w:t>
      </w:r>
      <w:r>
        <w:rPr>
          <w:rFonts w:hint="eastAsia" w:ascii="仿宋" w:hAnsi="仿宋" w:eastAsia="仿宋" w:cs="仿宋"/>
          <w:sz w:val="32"/>
          <w:szCs w:val="32"/>
        </w:rPr>
        <w:t>02</w:t>
      </w:r>
      <w:r>
        <w:rPr>
          <w:rFonts w:hint="eastAsia" w:ascii="仿宋" w:hAnsi="仿宋" w:eastAsia="仿宋" w:cs="仿宋"/>
          <w:sz w:val="32"/>
          <w:szCs w:val="32"/>
          <w:lang w:val="en-US" w:eastAsia="zh-CN"/>
        </w:rPr>
        <w:t>5</w:t>
      </w:r>
      <w:r>
        <w:rPr>
          <w:rFonts w:hint="eastAsia" w:ascii="仿宋" w:hAnsi="仿宋" w:eastAsia="仿宋" w:cs="仿宋"/>
          <w:sz w:val="32"/>
          <w:szCs w:val="32"/>
        </w:rPr>
        <w:t>年初安排预算资金</w:t>
      </w:r>
      <w:r>
        <w:rPr>
          <w:rFonts w:hint="eastAsia" w:ascii="仿宋" w:hAnsi="仿宋" w:eastAsia="仿宋" w:cs="仿宋"/>
          <w:sz w:val="32"/>
          <w:szCs w:val="32"/>
          <w:lang w:val="en-US" w:eastAsia="zh-CN"/>
        </w:rPr>
        <w:t>663.45</w:t>
      </w:r>
      <w:r>
        <w:rPr>
          <w:rFonts w:hint="eastAsia" w:ascii="仿宋" w:hAnsi="仿宋" w:eastAsia="仿宋" w:cs="仿宋"/>
          <w:sz w:val="32"/>
          <w:szCs w:val="32"/>
        </w:rPr>
        <w:t>万元，调整预算</w:t>
      </w:r>
      <w:r>
        <w:rPr>
          <w:rFonts w:hint="eastAsia" w:ascii="仿宋" w:hAnsi="仿宋" w:eastAsia="仿宋" w:cs="仿宋"/>
          <w:sz w:val="32"/>
          <w:szCs w:val="32"/>
          <w:lang w:val="en-US" w:eastAsia="zh-CN"/>
        </w:rPr>
        <w:t>后</w:t>
      </w:r>
      <w:r>
        <w:rPr>
          <w:rFonts w:hint="eastAsia" w:ascii="仿宋" w:hAnsi="仿宋" w:eastAsia="仿宋" w:cs="仿宋"/>
          <w:sz w:val="32"/>
          <w:szCs w:val="32"/>
        </w:rPr>
        <w:t>资金</w:t>
      </w:r>
      <w:r>
        <w:rPr>
          <w:rFonts w:hint="eastAsia" w:ascii="仿宋" w:hAnsi="仿宋" w:eastAsia="仿宋" w:cs="仿宋"/>
          <w:sz w:val="32"/>
          <w:szCs w:val="32"/>
          <w:lang w:val="en-US" w:eastAsia="zh-CN"/>
        </w:rPr>
        <w:t>695.277298</w:t>
      </w:r>
      <w:r>
        <w:rPr>
          <w:rFonts w:hint="eastAsia" w:ascii="仿宋" w:hAnsi="仿宋" w:eastAsia="仿宋" w:cs="仿宋"/>
          <w:sz w:val="32"/>
          <w:szCs w:val="32"/>
        </w:rPr>
        <w:t>万元。202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执行</w:t>
      </w:r>
      <w:r>
        <w:rPr>
          <w:rFonts w:hint="eastAsia" w:ascii="仿宋" w:hAnsi="仿宋" w:eastAsia="仿宋" w:cs="仿宋"/>
          <w:sz w:val="32"/>
          <w:szCs w:val="32"/>
        </w:rPr>
        <w:t>资金</w:t>
      </w:r>
      <w:r>
        <w:rPr>
          <w:rFonts w:hint="eastAsia" w:ascii="仿宋" w:hAnsi="仿宋" w:eastAsia="仿宋" w:cs="仿宋"/>
          <w:sz w:val="32"/>
          <w:szCs w:val="32"/>
          <w:lang w:val="en-US" w:eastAsia="zh-CN"/>
        </w:rPr>
        <w:t>691.823498万元</w:t>
      </w:r>
      <w:r>
        <w:rPr>
          <w:rFonts w:hint="eastAsia" w:ascii="仿宋" w:hAnsi="仿宋" w:eastAsia="仿宋" w:cs="仿宋"/>
          <w:sz w:val="32"/>
          <w:szCs w:val="32"/>
        </w:rPr>
        <w:t>。</w:t>
      </w:r>
      <w:r>
        <w:rPr>
          <w:rFonts w:hint="eastAsia" w:ascii="仿宋" w:hAnsi="仿宋" w:eastAsia="仿宋" w:cs="仿宋"/>
          <w:sz w:val="32"/>
          <w:szCs w:val="32"/>
          <w:lang w:val="en-US" w:eastAsia="zh-CN"/>
        </w:rPr>
        <w:t>其中项目支出</w:t>
      </w:r>
      <w:r>
        <w:rPr>
          <w:rFonts w:hint="eastAsia" w:ascii="仿宋" w:hAnsi="仿宋" w:eastAsia="仿宋"/>
          <w:sz w:val="32"/>
          <w:szCs w:val="32"/>
          <w:lang w:val="en-US" w:eastAsia="zh-CN"/>
        </w:rPr>
        <w:t>546.242407</w:t>
      </w:r>
      <w:r>
        <w:rPr>
          <w:rFonts w:hint="eastAsia" w:ascii="仿宋" w:hAnsi="仿宋" w:eastAsia="仿宋" w:cs="仿宋"/>
          <w:sz w:val="32"/>
          <w:szCs w:val="32"/>
          <w:lang w:val="en-US" w:eastAsia="zh-CN"/>
        </w:rPr>
        <w:t>万元，本次纳入自评范围的项目有8个，项目绩效自评得分99.5分。</w:t>
      </w:r>
    </w:p>
    <w:p w14:paraId="5FF5684D">
      <w:pPr>
        <w:snapToGrid w:val="0"/>
        <w:spacing w:line="580" w:lineRule="exact"/>
        <w:ind w:firstLine="640" w:firstLineChars="200"/>
        <w:rPr>
          <w:rFonts w:ascii="方正仿宋_GBK" w:hAnsi="宋体" w:eastAsia="方正仿宋_GBK"/>
          <w:sz w:val="32"/>
          <w:szCs w:val="32"/>
        </w:rPr>
      </w:pPr>
      <w:r>
        <w:rPr>
          <w:rFonts w:hint="eastAsia" w:ascii="仿宋" w:hAnsi="仿宋" w:eastAsia="仿宋" w:cs="仿宋"/>
          <w:sz w:val="32"/>
          <w:szCs w:val="32"/>
        </w:rPr>
        <w:t>根据《</w:t>
      </w:r>
      <w:r>
        <w:rPr>
          <w:rFonts w:hint="eastAsia" w:ascii="仿宋" w:hAnsi="仿宋" w:eastAsia="仿宋" w:cs="仿宋"/>
          <w:sz w:val="32"/>
          <w:szCs w:val="32"/>
          <w:lang w:val="en-US" w:eastAsia="zh-CN"/>
        </w:rPr>
        <w:t>中华人民共和国</w:t>
      </w:r>
      <w:r>
        <w:rPr>
          <w:rFonts w:hint="eastAsia" w:ascii="仿宋" w:hAnsi="仿宋" w:eastAsia="仿宋" w:cs="仿宋"/>
          <w:sz w:val="32"/>
          <w:szCs w:val="32"/>
        </w:rPr>
        <w:t>工会法》和财务管理制度以及有关部门的资金管理办法，我单位制定《</w:t>
      </w:r>
      <w:r>
        <w:rPr>
          <w:rFonts w:hint="eastAsia" w:ascii="仿宋" w:hAnsi="仿宋" w:eastAsia="仿宋" w:cs="仿宋"/>
          <w:sz w:val="32"/>
          <w:szCs w:val="32"/>
          <w:lang w:val="en-US" w:eastAsia="zh-CN"/>
        </w:rPr>
        <w:t>巨鹿县总工会</w:t>
      </w:r>
      <w:r>
        <w:rPr>
          <w:rFonts w:hint="eastAsia" w:ascii="仿宋" w:hAnsi="仿宋" w:eastAsia="仿宋" w:cs="仿宋"/>
          <w:sz w:val="32"/>
          <w:szCs w:val="32"/>
        </w:rPr>
        <w:t>工会财务管理制度》</w:t>
      </w:r>
      <w:r>
        <w:rPr>
          <w:rFonts w:hint="eastAsia" w:ascii="仿宋" w:hAnsi="仿宋" w:eastAsia="仿宋" w:cs="仿宋"/>
          <w:sz w:val="32"/>
          <w:szCs w:val="32"/>
          <w:lang w:val="en-US" w:eastAsia="zh-CN"/>
        </w:rPr>
        <w:t>和《巨鹿县总工会三重一大制度》</w:t>
      </w:r>
      <w:r>
        <w:rPr>
          <w:rFonts w:hint="eastAsia" w:ascii="仿宋" w:hAnsi="仿宋" w:eastAsia="仿宋" w:cs="仿宋"/>
          <w:sz w:val="32"/>
          <w:szCs w:val="32"/>
          <w:lang w:eastAsia="zh-CN"/>
        </w:rPr>
        <w:t>，</w:t>
      </w:r>
      <w:r>
        <w:rPr>
          <w:rFonts w:hint="eastAsia" w:ascii="仿宋" w:hAnsi="仿宋" w:eastAsia="仿宋" w:cs="仿宋"/>
          <w:sz w:val="32"/>
          <w:szCs w:val="32"/>
        </w:rPr>
        <w:t>制度中对资金拨付、审批过程、以及重大开支的使用过程都有明确规定。在预算绩效管理中不存在截留、挤占、挪用和虚列支出情况。</w:t>
      </w:r>
      <w:r>
        <w:rPr>
          <w:rFonts w:hint="eastAsia" w:ascii="仿宋" w:hAnsi="仿宋" w:eastAsia="仿宋" w:cs="仿宋"/>
          <w:sz w:val="32"/>
          <w:szCs w:val="32"/>
          <w:lang w:val="en-US" w:eastAsia="zh-CN"/>
        </w:rPr>
        <w:t>本部门经审小组对日常资金使用进行监督和审计。</w:t>
      </w:r>
    </w:p>
    <w:p w14:paraId="1AD2B0F6">
      <w:pPr>
        <w:snapToGrid w:val="0"/>
        <w:spacing w:line="580" w:lineRule="exact"/>
        <w:ind w:firstLine="640" w:firstLineChars="200"/>
        <w:rPr>
          <w:rFonts w:ascii="方正黑体_GBK" w:hAnsi="宋体" w:eastAsia="方正黑体_GBK"/>
          <w:sz w:val="32"/>
          <w:szCs w:val="32"/>
        </w:rPr>
      </w:pPr>
      <w:r>
        <w:rPr>
          <w:rFonts w:hint="eastAsia" w:ascii="方正黑体_GBK" w:hAnsi="宋体" w:eastAsia="方正黑体_GBK"/>
          <w:sz w:val="32"/>
          <w:szCs w:val="32"/>
        </w:rPr>
        <w:t>二、绩效目标实现情况</w:t>
      </w:r>
    </w:p>
    <w:p w14:paraId="3D514611">
      <w:pPr>
        <w:autoSpaceDE w:val="0"/>
        <w:autoSpaceDN w:val="0"/>
        <w:adjustRightInd w:val="0"/>
        <w:snapToGrid/>
        <w:spacing w:line="240" w:lineRule="auto"/>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02</w:t>
      </w:r>
      <w:r>
        <w:rPr>
          <w:rFonts w:hint="eastAsia" w:ascii="仿宋" w:hAnsi="仿宋" w:eastAsia="仿宋" w:cs="仿宋"/>
          <w:sz w:val="32"/>
          <w:szCs w:val="32"/>
          <w:lang w:val="en-US" w:eastAsia="zh-CN"/>
        </w:rPr>
        <w:t>5</w:t>
      </w:r>
      <w:r>
        <w:rPr>
          <w:rFonts w:hint="eastAsia" w:ascii="仿宋" w:hAnsi="仿宋" w:eastAsia="仿宋" w:cs="仿宋"/>
          <w:sz w:val="32"/>
          <w:szCs w:val="32"/>
        </w:rPr>
        <w:t>年初安排预算资金</w:t>
      </w:r>
      <w:r>
        <w:rPr>
          <w:rFonts w:hint="eastAsia" w:ascii="仿宋" w:hAnsi="仿宋" w:eastAsia="仿宋" w:cs="仿宋"/>
          <w:sz w:val="32"/>
          <w:szCs w:val="32"/>
          <w:lang w:val="en-US" w:eastAsia="zh-CN"/>
        </w:rPr>
        <w:t>663.45</w:t>
      </w:r>
      <w:r>
        <w:rPr>
          <w:rFonts w:hint="eastAsia" w:ascii="仿宋" w:hAnsi="仿宋" w:eastAsia="仿宋" w:cs="仿宋"/>
          <w:sz w:val="32"/>
          <w:szCs w:val="32"/>
        </w:rPr>
        <w:t>万元，调整预算</w:t>
      </w:r>
      <w:r>
        <w:rPr>
          <w:rFonts w:hint="eastAsia" w:ascii="仿宋" w:hAnsi="仿宋" w:eastAsia="仿宋" w:cs="仿宋"/>
          <w:sz w:val="32"/>
          <w:szCs w:val="32"/>
          <w:lang w:val="en-US" w:eastAsia="zh-CN"/>
        </w:rPr>
        <w:t>后</w:t>
      </w:r>
      <w:r>
        <w:rPr>
          <w:rFonts w:hint="eastAsia" w:ascii="仿宋" w:hAnsi="仿宋" w:eastAsia="仿宋" w:cs="仿宋"/>
          <w:sz w:val="32"/>
          <w:szCs w:val="32"/>
        </w:rPr>
        <w:t>资金</w:t>
      </w:r>
      <w:r>
        <w:rPr>
          <w:rFonts w:hint="eastAsia" w:ascii="仿宋" w:hAnsi="仿宋" w:eastAsia="仿宋" w:cs="仿宋"/>
          <w:sz w:val="32"/>
          <w:szCs w:val="32"/>
          <w:lang w:val="en-US" w:eastAsia="zh-CN"/>
        </w:rPr>
        <w:t>695.277298</w:t>
      </w:r>
      <w:r>
        <w:rPr>
          <w:rFonts w:hint="eastAsia" w:ascii="仿宋" w:hAnsi="仿宋" w:eastAsia="仿宋" w:cs="仿宋"/>
          <w:sz w:val="32"/>
          <w:szCs w:val="32"/>
        </w:rPr>
        <w:t>万元。202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执行</w:t>
      </w:r>
      <w:r>
        <w:rPr>
          <w:rFonts w:hint="eastAsia" w:ascii="仿宋" w:hAnsi="仿宋" w:eastAsia="仿宋" w:cs="仿宋"/>
          <w:sz w:val="32"/>
          <w:szCs w:val="32"/>
        </w:rPr>
        <w:t>资金</w:t>
      </w:r>
      <w:r>
        <w:rPr>
          <w:rFonts w:hint="eastAsia" w:ascii="仿宋" w:hAnsi="仿宋" w:eastAsia="仿宋" w:cs="仿宋"/>
          <w:sz w:val="32"/>
          <w:szCs w:val="32"/>
          <w:lang w:val="en-US" w:eastAsia="zh-CN"/>
        </w:rPr>
        <w:t>691.823498万元</w:t>
      </w:r>
      <w:r>
        <w:rPr>
          <w:rFonts w:hint="eastAsia" w:ascii="仿宋" w:hAnsi="仿宋" w:eastAsia="仿宋" w:cs="仿宋"/>
          <w:sz w:val="32"/>
          <w:szCs w:val="32"/>
        </w:rPr>
        <w:t>。</w:t>
      </w:r>
      <w:r>
        <w:rPr>
          <w:rFonts w:hint="eastAsia" w:ascii="仿宋" w:hAnsi="仿宋" w:eastAsia="仿宋" w:cs="仿宋"/>
          <w:sz w:val="32"/>
          <w:szCs w:val="32"/>
          <w:lang w:val="en-US" w:eastAsia="zh-CN"/>
        </w:rPr>
        <w:t>其中项目支出</w:t>
      </w:r>
      <w:r>
        <w:rPr>
          <w:rFonts w:hint="eastAsia" w:ascii="仿宋" w:hAnsi="仿宋" w:eastAsia="仿宋"/>
          <w:sz w:val="32"/>
          <w:szCs w:val="32"/>
          <w:lang w:val="en-US" w:eastAsia="zh-CN"/>
        </w:rPr>
        <w:t>546.242407</w:t>
      </w:r>
      <w:r>
        <w:rPr>
          <w:rFonts w:hint="eastAsia" w:ascii="仿宋" w:hAnsi="仿宋" w:eastAsia="仿宋" w:cs="仿宋"/>
          <w:sz w:val="32"/>
          <w:szCs w:val="32"/>
          <w:lang w:val="en-US" w:eastAsia="zh-CN"/>
        </w:rPr>
        <w:t>万元：1、县直单位及各乡镇工会费500万元，执行500万元，该项资金用于积极开展各种服务职工群众活动、组织开展工会活动，维护职工合法权益；完善工会参与社会管理机制，管好用好工会经费充分发挥工会的政治思想引领作用,完成支出；2、公安局辅警工会费10万元，完成支出；3、全国、省部级、市级劳模荣誉津贴13.31万元，完成支出；4、特岗教师工会经费8万元，完成支出；5、职工书屋租赁费5万元，完成支出；6、2023年度残疾人就业保障金1.012407万元，完成支出；7、冀财行2023年98号提前下达2024年困难职工及劳模帮扶救助专项资金0.05万元，完成支出；8、</w:t>
      </w:r>
      <w:r>
        <w:rPr>
          <w:rFonts w:hint="eastAsia" w:ascii="仿宋" w:hAnsi="仿宋" w:eastAsia="仿宋" w:cs="仿宋"/>
          <w:b w:val="0"/>
          <w:bCs w:val="0"/>
          <w:kern w:val="2"/>
          <w:sz w:val="32"/>
          <w:szCs w:val="32"/>
        </w:rPr>
        <w:t>冀财行2024年97号提前下达2025年省级困难职工及劳模帮扶救助专项资金</w:t>
      </w:r>
      <w:r>
        <w:rPr>
          <w:rFonts w:hint="eastAsia" w:ascii="仿宋" w:hAnsi="仿宋" w:eastAsia="仿宋" w:cs="仿宋"/>
          <w:b w:val="0"/>
          <w:bCs w:val="0"/>
          <w:kern w:val="2"/>
          <w:sz w:val="32"/>
          <w:szCs w:val="32"/>
          <w:lang w:val="en-US" w:eastAsia="zh-CN"/>
        </w:rPr>
        <w:t>8.87万元，完成</w:t>
      </w:r>
      <w:r>
        <w:rPr>
          <w:rFonts w:hint="eastAsia" w:ascii="仿宋" w:hAnsi="仿宋" w:eastAsia="仿宋" w:cs="仿宋"/>
          <w:sz w:val="32"/>
          <w:szCs w:val="32"/>
          <w:lang w:val="en-US" w:eastAsia="zh-CN"/>
        </w:rPr>
        <w:t>支出。</w:t>
      </w:r>
    </w:p>
    <w:p w14:paraId="3F741741">
      <w:pPr>
        <w:snapToGrid/>
        <w:spacing w:line="240" w:lineRule="auto"/>
        <w:ind w:firstLine="640" w:firstLineChars="200"/>
        <w:rPr>
          <w:rFonts w:ascii="方正仿宋_GBK" w:hAnsi="宋体" w:eastAsia="方正仿宋_GBK"/>
          <w:sz w:val="32"/>
          <w:szCs w:val="32"/>
        </w:rPr>
      </w:pPr>
      <w:r>
        <w:rPr>
          <w:rFonts w:hint="eastAsia" w:ascii="仿宋" w:hAnsi="仿宋" w:eastAsia="仿宋" w:cs="仿宋"/>
          <w:sz w:val="32"/>
          <w:szCs w:val="32"/>
        </w:rPr>
        <w:t>根据文件要求，评价由产出指标、效果指标、满意度指标</w:t>
      </w:r>
      <w:r>
        <w:rPr>
          <w:rFonts w:hint="eastAsia" w:ascii="仿宋" w:hAnsi="仿宋" w:eastAsia="仿宋" w:cs="仿宋"/>
          <w:sz w:val="32"/>
          <w:szCs w:val="32"/>
          <w:lang w:eastAsia="zh-CN"/>
        </w:rPr>
        <w:t>、</w:t>
      </w:r>
      <w:r>
        <w:rPr>
          <w:rFonts w:hint="eastAsia" w:ascii="仿宋" w:hAnsi="仿宋" w:eastAsia="仿宋" w:cs="仿宋"/>
          <w:sz w:val="32"/>
          <w:szCs w:val="32"/>
        </w:rPr>
        <w:t>预算执行率四个一级指标构成。一级指标下设数量指标、质量指标、时效指标、成本指标、可持续影响指标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满意度指标</w:t>
      </w:r>
      <w:r>
        <w:rPr>
          <w:rFonts w:hint="eastAsia" w:ascii="仿宋" w:hAnsi="仿宋" w:eastAsia="仿宋" w:cs="仿宋"/>
          <w:sz w:val="32"/>
          <w:szCs w:val="32"/>
        </w:rPr>
        <w:t>、预算执行率八个二级指标。原则上，一级指标权重统一设置为：产出指标50分、效益指标30分、满意度指标10分、预算执行率10分。如某类指标未设定，其分值可合理调至其他指标，预算执行率指标权重占比固定为10%；二、三级指标所占权重，根据指标重要程度、项目实施阶段等因素综合确定。各项指标权重占比之和为100%。</w:t>
      </w:r>
      <w:r>
        <w:rPr>
          <w:rFonts w:hint="eastAsia" w:ascii="仿宋" w:hAnsi="仿宋" w:eastAsia="仿宋" w:cs="仿宋"/>
          <w:sz w:val="32"/>
          <w:szCs w:val="32"/>
          <w:lang w:val="en-US" w:eastAsia="zh-CN"/>
        </w:rPr>
        <w:t>绩效总体目标设定清晰准确，绩效指标全面完整、科学合理，绩效标准</w:t>
      </w:r>
      <w:r>
        <w:rPr>
          <w:rFonts w:hint="eastAsia" w:ascii="仿宋" w:hAnsi="仿宋" w:eastAsia="仿宋" w:cs="仿宋"/>
          <w:sz w:val="32"/>
          <w:szCs w:val="32"/>
        </w:rPr>
        <w:t>恰当适宜、易于评价，</w:t>
      </w:r>
      <w:r>
        <w:rPr>
          <w:rFonts w:hint="eastAsia" w:ascii="仿宋" w:hAnsi="仿宋" w:eastAsia="仿宋" w:cs="仿宋"/>
          <w:sz w:val="32"/>
          <w:szCs w:val="32"/>
          <w:lang w:val="en-US" w:eastAsia="zh-CN"/>
        </w:rPr>
        <w:t>个别绩效指标设置不够准确、不易于评价，已进行调整，在日后工作中继续完善。</w:t>
      </w:r>
    </w:p>
    <w:p w14:paraId="3FD9F282">
      <w:pPr>
        <w:snapToGrid w:val="0"/>
        <w:spacing w:line="580" w:lineRule="exact"/>
        <w:ind w:firstLine="640" w:firstLineChars="200"/>
        <w:rPr>
          <w:rFonts w:ascii="方正黑体_GBK" w:hAnsi="宋体" w:eastAsia="方正黑体_GBK"/>
          <w:sz w:val="32"/>
          <w:szCs w:val="32"/>
        </w:rPr>
      </w:pPr>
      <w:r>
        <w:rPr>
          <w:rFonts w:hint="eastAsia" w:ascii="方正黑体_GBK" w:hAnsi="宋体" w:eastAsia="方正黑体_GBK"/>
          <w:sz w:val="32"/>
          <w:szCs w:val="32"/>
          <w:lang w:val="en-US" w:eastAsia="zh-CN"/>
        </w:rPr>
        <w:t>三</w:t>
      </w:r>
      <w:bookmarkStart w:id="0" w:name="_GoBack"/>
      <w:bookmarkEnd w:id="0"/>
      <w:r>
        <w:rPr>
          <w:rFonts w:hint="eastAsia" w:ascii="方正黑体_GBK" w:hAnsi="宋体" w:eastAsia="方正黑体_GBK"/>
          <w:sz w:val="32"/>
          <w:szCs w:val="32"/>
        </w:rPr>
        <w:t>、整改措施及结果应用</w:t>
      </w:r>
    </w:p>
    <w:p w14:paraId="6ACC45C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、加强预算资金的业务管理，完善项目业务管理制度；</w:t>
      </w:r>
    </w:p>
    <w:p w14:paraId="148181CE">
      <w:pPr>
        <w:snapToGrid w:val="0"/>
        <w:spacing w:line="580" w:lineRule="exact"/>
        <w:ind w:firstLine="640" w:firstLineChars="200"/>
        <w:rPr>
          <w:rFonts w:hint="eastAsia" w:ascii="仿宋_GB2312" w:hAnsi="仿宋_GB2312" w:eastAsia="仿宋_GB2312" w:cs="仿宋_GB2312"/>
        </w:rPr>
      </w:pPr>
      <w:r>
        <w:rPr>
          <w:rFonts w:hint="eastAsia" w:ascii="仿宋" w:hAnsi="仿宋" w:eastAsia="仿宋" w:cs="仿宋"/>
          <w:sz w:val="32"/>
          <w:szCs w:val="32"/>
          <w:lang w:val="en-US" w:eastAsia="zh-CN"/>
        </w:rPr>
        <w:t>2</w:t>
      </w:r>
      <w:r>
        <w:rPr>
          <w:rFonts w:hint="eastAsia" w:ascii="仿宋" w:hAnsi="仿宋" w:eastAsia="仿宋" w:cs="仿宋"/>
          <w:sz w:val="32"/>
          <w:szCs w:val="32"/>
        </w:rPr>
        <w:t>、加强财务监控，对项目资金进行事前、事中、事后的检查分析，并形成监控报告，确保项目资金安全有效运行。</w:t>
      </w:r>
    </w:p>
    <w:sectPr>
      <w:pgSz w:w="11906" w:h="16838"/>
      <w:pgMar w:top="2098" w:right="1418" w:bottom="153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2010601030101010101"/>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6A3"/>
    <w:rsid w:val="0003266D"/>
    <w:rsid w:val="000B5213"/>
    <w:rsid w:val="001627CF"/>
    <w:rsid w:val="00172022"/>
    <w:rsid w:val="00176210"/>
    <w:rsid w:val="001D2D4C"/>
    <w:rsid w:val="00206C22"/>
    <w:rsid w:val="002B509A"/>
    <w:rsid w:val="003444DB"/>
    <w:rsid w:val="00383AC5"/>
    <w:rsid w:val="003A03E0"/>
    <w:rsid w:val="003B412A"/>
    <w:rsid w:val="00432709"/>
    <w:rsid w:val="0047487F"/>
    <w:rsid w:val="00491FCD"/>
    <w:rsid w:val="004E6C05"/>
    <w:rsid w:val="004F6F9F"/>
    <w:rsid w:val="00546BCB"/>
    <w:rsid w:val="005C236C"/>
    <w:rsid w:val="005C5417"/>
    <w:rsid w:val="005E6EC9"/>
    <w:rsid w:val="00665896"/>
    <w:rsid w:val="00693A60"/>
    <w:rsid w:val="006E7D57"/>
    <w:rsid w:val="0071336C"/>
    <w:rsid w:val="0071475B"/>
    <w:rsid w:val="00793214"/>
    <w:rsid w:val="007A651F"/>
    <w:rsid w:val="007D43DA"/>
    <w:rsid w:val="007E50DB"/>
    <w:rsid w:val="007E661D"/>
    <w:rsid w:val="007F4797"/>
    <w:rsid w:val="007F5EE6"/>
    <w:rsid w:val="0081530B"/>
    <w:rsid w:val="008C31C3"/>
    <w:rsid w:val="008E0E58"/>
    <w:rsid w:val="00941865"/>
    <w:rsid w:val="00986803"/>
    <w:rsid w:val="0099577A"/>
    <w:rsid w:val="009F1522"/>
    <w:rsid w:val="00A06D88"/>
    <w:rsid w:val="00A909F6"/>
    <w:rsid w:val="00AB70A8"/>
    <w:rsid w:val="00AF5C06"/>
    <w:rsid w:val="00B0713E"/>
    <w:rsid w:val="00B20499"/>
    <w:rsid w:val="00B27489"/>
    <w:rsid w:val="00B8177D"/>
    <w:rsid w:val="00B86365"/>
    <w:rsid w:val="00BA723B"/>
    <w:rsid w:val="00BE032C"/>
    <w:rsid w:val="00BE07DC"/>
    <w:rsid w:val="00C242EC"/>
    <w:rsid w:val="00CE156F"/>
    <w:rsid w:val="00D23678"/>
    <w:rsid w:val="00D43ED6"/>
    <w:rsid w:val="00DA1AC7"/>
    <w:rsid w:val="00DC2768"/>
    <w:rsid w:val="00DE50A2"/>
    <w:rsid w:val="00DF6FF4"/>
    <w:rsid w:val="00E57322"/>
    <w:rsid w:val="00E841B7"/>
    <w:rsid w:val="00E963F0"/>
    <w:rsid w:val="00ED5E84"/>
    <w:rsid w:val="00EE0B52"/>
    <w:rsid w:val="00EF16A3"/>
    <w:rsid w:val="00F57E52"/>
    <w:rsid w:val="04D06321"/>
    <w:rsid w:val="07287718"/>
    <w:rsid w:val="202844D6"/>
    <w:rsid w:val="24D10999"/>
    <w:rsid w:val="289C6636"/>
    <w:rsid w:val="2A754B7B"/>
    <w:rsid w:val="3D050C53"/>
    <w:rsid w:val="3D2F5249"/>
    <w:rsid w:val="45B34A23"/>
    <w:rsid w:val="4F934F18"/>
    <w:rsid w:val="56CB143B"/>
    <w:rsid w:val="57232A93"/>
    <w:rsid w:val="6DF919B4"/>
    <w:rsid w:val="718F1E62"/>
    <w:rsid w:val="73304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1144</Words>
  <Characters>1282</Characters>
  <Lines>3</Lines>
  <Paragraphs>1</Paragraphs>
  <TotalTime>10</TotalTime>
  <ScaleCrop>false</ScaleCrop>
  <LinksUpToDate>false</LinksUpToDate>
  <CharactersWithSpaces>1282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2019-11-14T00:58:00Z</dcterms:created>
  <dc:creator>user</dc:creator>
  <cp:lastModifiedBy>WPS_1654611079</cp:lastModifiedBy>
  <cp:lastPrinted>2020-01-06T00:47:00Z</cp:lastPrinted>
  <dcterms:modified xsi:type="dcterms:W3CDTF">2026-08-03T02:46:04Z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3A96FEC672D44A6BA17BCAA7F19EAE79</vt:lpwstr>
  </property>
  <property fmtid="{D5CDD505-2E9C-101B-9397-08002B2CF9AE}" pid="4" name="KSOTemplateDocerSaveRecord">
    <vt:lpwstr>eyJoZGlkIjoiN2Y5YTVmNzQ1NzEzNGM0NGZmNGQ1MzRhN2U0OTkzNmEiLCJ1c2VySWQiOiIxMzgxNzYwMTk0In0=</vt:lpwstr>
  </property>
</Properties>
</file>