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DD6EB">
      <w:pPr>
        <w:pageBreakBefore w:val="0"/>
        <w:kinsoku/>
        <w:wordWrap/>
        <w:overflowPunct/>
        <w:topLinePunct w:val="0"/>
        <w:autoSpaceDE/>
        <w:autoSpaceDN/>
        <w:bidi w:val="0"/>
        <w:adjustRightInd/>
        <w:snapToGrid/>
        <w:spacing w:line="560" w:lineRule="exact"/>
        <w:jc w:val="both"/>
        <w:textAlignment w:val="bottom"/>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附件4：</w:t>
      </w:r>
    </w:p>
    <w:tbl>
      <w:tblPr>
        <w:tblStyle w:val="6"/>
        <w:tblW w:w="8330" w:type="dxa"/>
        <w:tblInd w:w="0" w:type="dxa"/>
        <w:tblLayout w:type="fixed"/>
        <w:tblCellMar>
          <w:top w:w="0" w:type="dxa"/>
          <w:left w:w="0" w:type="dxa"/>
          <w:bottom w:w="0" w:type="dxa"/>
          <w:right w:w="0" w:type="dxa"/>
        </w:tblCellMar>
      </w:tblPr>
      <w:tblGrid>
        <w:gridCol w:w="958"/>
        <w:gridCol w:w="674"/>
        <w:gridCol w:w="2083"/>
        <w:gridCol w:w="545"/>
        <w:gridCol w:w="3557"/>
        <w:gridCol w:w="513"/>
      </w:tblGrid>
      <w:tr w14:paraId="299FA1AF">
        <w:tblPrEx>
          <w:tblCellMar>
            <w:top w:w="0" w:type="dxa"/>
            <w:left w:w="0" w:type="dxa"/>
            <w:bottom w:w="0" w:type="dxa"/>
            <w:right w:w="0" w:type="dxa"/>
          </w:tblCellMar>
        </w:tblPrEx>
        <w:trPr>
          <w:trHeight w:val="660" w:hRule="atLeast"/>
        </w:trPr>
        <w:tc>
          <w:tcPr>
            <w:tcW w:w="8330" w:type="dxa"/>
            <w:gridSpan w:val="6"/>
            <w:tcBorders>
              <w:top w:val="nil"/>
              <w:left w:val="nil"/>
              <w:bottom w:val="single" w:color="000000" w:sz="4" w:space="0"/>
              <w:right w:val="nil"/>
            </w:tcBorders>
            <w:noWrap w:val="0"/>
            <w:tcMar>
              <w:top w:w="12" w:type="dxa"/>
              <w:left w:w="12" w:type="dxa"/>
              <w:right w:w="12" w:type="dxa"/>
            </w:tcMar>
            <w:vAlign w:val="center"/>
          </w:tcPr>
          <w:p w14:paraId="22D5A82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b/>
                <w:bCs/>
                <w:color w:val="auto"/>
                <w:sz w:val="40"/>
                <w:szCs w:val="48"/>
              </w:rPr>
            </w:pPr>
            <w:r>
              <w:rPr>
                <w:rFonts w:hint="eastAsia" w:ascii="仿宋_GB2312" w:hAnsi="仿宋_GB2312" w:eastAsia="仿宋_GB2312" w:cs="仿宋_GB2312"/>
                <w:b/>
                <w:bCs/>
                <w:color w:val="auto"/>
                <w:kern w:val="2"/>
                <w:sz w:val="40"/>
                <w:szCs w:val="48"/>
                <w:lang w:eastAsia="zh-CN"/>
              </w:rPr>
              <w:t>巨鹿县</w:t>
            </w:r>
            <w:r>
              <w:rPr>
                <w:rFonts w:hint="eastAsia" w:ascii="仿宋_GB2312" w:hAnsi="仿宋_GB2312" w:eastAsia="仿宋_GB2312" w:cs="仿宋_GB2312"/>
                <w:b/>
                <w:bCs/>
                <w:color w:val="auto"/>
                <w:kern w:val="2"/>
                <w:sz w:val="40"/>
                <w:szCs w:val="48"/>
                <w:lang w:val="en-US" w:eastAsia="zh-CN"/>
              </w:rPr>
              <w:t>总工会</w:t>
            </w:r>
            <w:r>
              <w:rPr>
                <w:rFonts w:hint="eastAsia" w:ascii="仿宋_GB2312" w:hAnsi="仿宋_GB2312" w:eastAsia="仿宋_GB2312" w:cs="仿宋_GB2312"/>
                <w:b/>
                <w:bCs/>
                <w:color w:val="auto"/>
                <w:spacing w:val="0"/>
                <w:sz w:val="40"/>
                <w:szCs w:val="48"/>
                <w:lang w:val="en-US" w:eastAsia="zh-CN"/>
              </w:rPr>
              <w:t>项目重点</w:t>
            </w:r>
            <w:r>
              <w:rPr>
                <w:rFonts w:hint="eastAsia" w:ascii="仿宋_GB2312" w:hAnsi="仿宋_GB2312" w:eastAsia="仿宋_GB2312" w:cs="仿宋_GB2312"/>
                <w:b/>
                <w:bCs/>
                <w:color w:val="auto"/>
                <w:sz w:val="40"/>
                <w:szCs w:val="48"/>
              </w:rPr>
              <w:t>绩效</w:t>
            </w:r>
            <w:r>
              <w:rPr>
                <w:rFonts w:hint="eastAsia" w:ascii="仿宋_GB2312" w:hAnsi="仿宋_GB2312" w:eastAsia="仿宋_GB2312" w:cs="仿宋_GB2312"/>
                <w:b/>
                <w:bCs/>
                <w:color w:val="auto"/>
                <w:spacing w:val="0"/>
                <w:sz w:val="40"/>
                <w:szCs w:val="48"/>
                <w:lang w:val="en-US" w:eastAsia="zh-CN"/>
              </w:rPr>
              <w:t>自评</w:t>
            </w:r>
            <w:r>
              <w:rPr>
                <w:rFonts w:hint="eastAsia" w:ascii="仿宋_GB2312" w:hAnsi="仿宋_GB2312" w:eastAsia="仿宋_GB2312" w:cs="仿宋_GB2312"/>
                <w:b/>
                <w:bCs/>
                <w:color w:val="auto"/>
                <w:sz w:val="40"/>
                <w:szCs w:val="48"/>
              </w:rPr>
              <w:t>报告</w:t>
            </w:r>
          </w:p>
          <w:p w14:paraId="545829A8">
            <w:pP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 xml:space="preserve">                              </w:t>
            </w:r>
            <w:r>
              <w:rPr>
                <w:rFonts w:hint="eastAsia" w:ascii="仿宋_GB2312" w:hAnsi="仿宋_GB2312" w:eastAsia="仿宋_GB2312" w:cs="仿宋_GB2312"/>
                <w:color w:val="auto"/>
                <w:sz w:val="28"/>
                <w:szCs w:val="28"/>
                <w:lang w:val="en-US" w:eastAsia="zh-CN"/>
              </w:rPr>
              <w:t xml:space="preserve">  </w:t>
            </w:r>
          </w:p>
          <w:p w14:paraId="024897C7">
            <w:pPr>
              <w:rPr>
                <w:rFonts w:hint="eastAsia" w:ascii="仿宋_GB2312" w:hAnsi="仿宋_GB2312" w:eastAsia="仿宋_GB2312" w:cs="仿宋_GB2312"/>
                <w:color w:val="auto"/>
              </w:rPr>
            </w:pPr>
          </w:p>
          <w:p w14:paraId="7B51A912">
            <w:pPr>
              <w:rPr>
                <w:rFonts w:hint="eastAsia" w:ascii="仿宋_GB2312" w:hAnsi="仿宋_GB2312" w:eastAsia="仿宋_GB2312" w:cs="仿宋_GB2312"/>
                <w:color w:val="auto"/>
              </w:rPr>
            </w:pPr>
          </w:p>
          <w:p w14:paraId="6881F48D">
            <w:pPr>
              <w:rPr>
                <w:rFonts w:hint="eastAsia" w:ascii="仿宋_GB2312" w:hAnsi="仿宋_GB2312" w:eastAsia="仿宋_GB2312" w:cs="仿宋_GB2312"/>
                <w:color w:val="auto"/>
              </w:rPr>
            </w:pPr>
          </w:p>
          <w:p w14:paraId="0D5C7A50">
            <w:pPr>
              <w:rPr>
                <w:rFonts w:hint="eastAsia" w:ascii="仿宋_GB2312" w:hAnsi="仿宋_GB2312" w:eastAsia="仿宋_GB2312" w:cs="仿宋_GB2312"/>
                <w:color w:val="auto"/>
              </w:rPr>
            </w:pPr>
          </w:p>
          <w:p w14:paraId="4F2249F0">
            <w:pPr>
              <w:rPr>
                <w:rFonts w:hint="eastAsia" w:ascii="仿宋_GB2312" w:hAnsi="仿宋_GB2312" w:eastAsia="仿宋_GB2312" w:cs="仿宋_GB2312"/>
                <w:color w:val="auto"/>
              </w:rPr>
            </w:pPr>
          </w:p>
          <w:p w14:paraId="7640C3F2">
            <w:pPr>
              <w:rPr>
                <w:rFonts w:hint="eastAsia" w:ascii="仿宋_GB2312" w:hAnsi="仿宋_GB2312" w:eastAsia="仿宋_GB2312" w:cs="仿宋_GB2312"/>
                <w:color w:val="auto"/>
              </w:rPr>
            </w:pPr>
          </w:p>
          <w:p w14:paraId="22324953">
            <w:pPr>
              <w:rPr>
                <w:rFonts w:hint="eastAsia" w:ascii="仿宋_GB2312" w:hAnsi="仿宋_GB2312" w:eastAsia="仿宋_GB2312" w:cs="仿宋_GB2312"/>
                <w:color w:val="auto"/>
              </w:rPr>
            </w:pPr>
          </w:p>
          <w:p w14:paraId="45A9C034">
            <w:pPr>
              <w:rPr>
                <w:rFonts w:hint="eastAsia" w:ascii="仿宋_GB2312" w:hAnsi="仿宋_GB2312" w:eastAsia="仿宋_GB2312" w:cs="仿宋_GB2312"/>
                <w:color w:val="auto"/>
              </w:rPr>
            </w:pPr>
          </w:p>
          <w:p w14:paraId="06CE2EA1">
            <w:pPr>
              <w:rPr>
                <w:rFonts w:hint="eastAsia" w:ascii="仿宋_GB2312" w:hAnsi="仿宋_GB2312" w:eastAsia="仿宋_GB2312" w:cs="仿宋_GB2312"/>
                <w:color w:val="auto"/>
              </w:rPr>
            </w:pPr>
          </w:p>
          <w:p w14:paraId="36DE2F23">
            <w:pPr>
              <w:rPr>
                <w:rFonts w:hint="eastAsia" w:ascii="仿宋_GB2312" w:hAnsi="仿宋_GB2312" w:eastAsia="仿宋_GB2312" w:cs="仿宋_GB2312"/>
                <w:color w:val="auto"/>
              </w:rPr>
            </w:pPr>
          </w:p>
          <w:p w14:paraId="49237998">
            <w:pPr>
              <w:rPr>
                <w:rFonts w:hint="eastAsia" w:ascii="仿宋_GB2312" w:hAnsi="仿宋_GB2312" w:eastAsia="仿宋_GB2312" w:cs="仿宋_GB2312"/>
                <w:color w:val="auto"/>
              </w:rPr>
            </w:pPr>
          </w:p>
          <w:p w14:paraId="351A45AC">
            <w:pPr>
              <w:rPr>
                <w:rFonts w:hint="eastAsia" w:ascii="仿宋_GB2312" w:hAnsi="仿宋_GB2312" w:eastAsia="仿宋_GB2312" w:cs="仿宋_GB2312"/>
                <w:color w:val="auto"/>
              </w:rPr>
            </w:pPr>
          </w:p>
          <w:p w14:paraId="1B7CDE27">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pacing w:val="-20"/>
                <w:sz w:val="28"/>
                <w:szCs w:val="28"/>
                <w:u w:val="single"/>
                <w:lang w:val="en-US"/>
              </w:rPr>
            </w:pPr>
            <w:r>
              <w:rPr>
                <w:rFonts w:hint="eastAsia" w:ascii="仿宋_GB2312" w:hAnsi="仿宋_GB2312" w:eastAsia="仿宋_GB2312" w:cs="仿宋_GB2312"/>
                <w:color w:val="auto"/>
                <w:spacing w:val="11"/>
                <w:sz w:val="28"/>
                <w:szCs w:val="28"/>
                <w:u w:val="none"/>
              </w:rPr>
              <w:t>项</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目</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名</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称：</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县直单位及各乡镇工会费         </w:t>
            </w:r>
            <w:r>
              <w:rPr>
                <w:rFonts w:hint="eastAsia" w:ascii="仿宋_GB2312" w:hAnsi="仿宋_GB2312" w:eastAsia="仿宋_GB2312" w:cs="仿宋_GB2312"/>
                <w:b/>
                <w:bCs/>
                <w:color w:val="auto"/>
                <w:spacing w:val="0"/>
                <w:sz w:val="28"/>
                <w:szCs w:val="28"/>
                <w:u w:val="single"/>
                <w:lang w:val="en-US" w:eastAsia="zh-CN"/>
              </w:rPr>
              <w:t xml:space="preserve">  </w:t>
            </w:r>
            <w:r>
              <w:rPr>
                <w:rFonts w:hint="eastAsia" w:ascii="仿宋_GB2312" w:hAnsi="仿宋_GB2312" w:eastAsia="仿宋_GB2312" w:cs="仿宋_GB2312"/>
                <w:b/>
                <w:bCs/>
                <w:color w:val="auto"/>
                <w:spacing w:val="0"/>
                <w:sz w:val="40"/>
                <w:szCs w:val="48"/>
                <w:u w:val="single"/>
                <w:lang w:val="en-US" w:eastAsia="zh-CN"/>
              </w:rPr>
              <w:t xml:space="preserve">  </w:t>
            </w:r>
            <w:r>
              <w:rPr>
                <w:rFonts w:hint="eastAsia" w:ascii="仿宋_GB2312" w:hAnsi="仿宋_GB2312" w:eastAsia="仿宋_GB2312" w:cs="仿宋_GB2312"/>
                <w:color w:val="auto"/>
                <w:spacing w:val="0"/>
                <w:sz w:val="28"/>
                <w:szCs w:val="28"/>
                <w:u w:val="single"/>
                <w:lang w:val="en-US" w:eastAsia="zh-CN"/>
              </w:rPr>
              <w:t xml:space="preserve">                   </w:t>
            </w:r>
          </w:p>
          <w:p w14:paraId="34F498E7">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u w:val="none"/>
              </w:rPr>
              <w:t>项目实施单位：</w:t>
            </w:r>
            <w:r>
              <w:rPr>
                <w:rFonts w:hint="eastAsia" w:ascii="仿宋_GB2312" w:hAnsi="仿宋_GB2312" w:eastAsia="仿宋_GB2312" w:cs="仿宋_GB2312"/>
                <w:color w:val="auto"/>
                <w:spacing w:val="-20"/>
                <w:sz w:val="28"/>
                <w:szCs w:val="28"/>
                <w:u w:val="none"/>
                <w:lang w:val="en-US" w:eastAsia="zh-CN"/>
              </w:rPr>
              <w:t xml:space="preserve">  </w:t>
            </w:r>
            <w:r>
              <w:rPr>
                <w:rFonts w:hint="eastAsia" w:ascii="仿宋_GB2312" w:hAnsi="仿宋_GB2312" w:eastAsia="仿宋_GB2312" w:cs="仿宋_GB2312"/>
                <w:color w:val="auto"/>
                <w:spacing w:val="-20"/>
                <w:sz w:val="28"/>
                <w:szCs w:val="28"/>
                <w:u w:val="single"/>
                <w:lang w:val="en-US" w:eastAsia="zh-CN"/>
              </w:rPr>
              <w:t xml:space="preserve">           巨鹿县总工会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5BD40050">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pacing w:val="28"/>
                <w:sz w:val="28"/>
                <w:szCs w:val="28"/>
                <w:u w:val="none"/>
              </w:rPr>
              <w:t>项目总金额：</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500万元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p>
          <w:p w14:paraId="3BD82F39">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pacing w:val="11"/>
                <w:sz w:val="28"/>
                <w:szCs w:val="28"/>
                <w:u w:val="none"/>
              </w:rPr>
              <w:t>评</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价</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年</w:t>
            </w:r>
            <w:r>
              <w:rPr>
                <w:rFonts w:hint="eastAsia" w:ascii="仿宋_GB2312" w:hAnsi="仿宋_GB2312" w:eastAsia="仿宋_GB2312" w:cs="仿宋_GB2312"/>
                <w:color w:val="auto"/>
                <w:spacing w:val="11"/>
                <w:sz w:val="28"/>
                <w:szCs w:val="28"/>
                <w:u w:val="none"/>
                <w:lang w:val="en-US" w:eastAsia="zh-CN"/>
              </w:rPr>
              <w:t xml:space="preserve"> </w:t>
            </w:r>
            <w:r>
              <w:rPr>
                <w:rFonts w:hint="eastAsia" w:ascii="仿宋_GB2312" w:hAnsi="仿宋_GB2312" w:eastAsia="仿宋_GB2312" w:cs="仿宋_GB2312"/>
                <w:color w:val="auto"/>
                <w:spacing w:val="11"/>
                <w:sz w:val="28"/>
                <w:szCs w:val="28"/>
                <w:u w:val="none"/>
              </w:rPr>
              <w:t>度：</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u w:val="single"/>
                <w:lang w:val="en-US" w:eastAsia="zh-CN"/>
              </w:rPr>
              <w:t xml:space="preserve"> 2025年度                        </w:t>
            </w:r>
            <w:r>
              <w:rPr>
                <w:rFonts w:hint="eastAsia" w:ascii="仿宋_GB2312" w:hAnsi="仿宋_GB2312" w:eastAsia="仿宋_GB2312" w:cs="仿宋_GB2312"/>
                <w:color w:val="auto"/>
                <w:sz w:val="28"/>
                <w:szCs w:val="28"/>
                <w:u w:val="single"/>
              </w:rPr>
              <w:t xml:space="preserve">    </w:t>
            </w:r>
          </w:p>
          <w:p w14:paraId="1DFBBE0A">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pacing w:val="28"/>
                <w:sz w:val="28"/>
                <w:szCs w:val="28"/>
                <w:u w:val="none"/>
                <w:lang w:val="en-US" w:eastAsia="zh-CN"/>
              </w:rPr>
              <w:t>评价组组长：</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宋体" w:hAnsi="宋体" w:eastAsia="宋体" w:cs="宋体"/>
                <w:sz w:val="28"/>
                <w:u w:val="single"/>
                <w:lang w:val="en-US" w:eastAsia="zh-CN"/>
              </w:rPr>
              <w:t>樊占勇</w:t>
            </w:r>
            <w:r>
              <w:rPr>
                <w:rFonts w:hint="eastAsia" w:ascii="仿宋_GB2312" w:hAnsi="仿宋_GB2312" w:eastAsia="仿宋_GB2312" w:cs="仿宋_GB2312"/>
                <w:color w:val="auto"/>
                <w:sz w:val="28"/>
                <w:szCs w:val="28"/>
                <w:u w:val="single"/>
                <w:lang w:val="en-US" w:eastAsia="zh-CN"/>
              </w:rPr>
              <w:t xml:space="preserve">                          </w:t>
            </w:r>
          </w:p>
          <w:p w14:paraId="082965C9">
            <w:pPr>
              <w:keepNext w:val="0"/>
              <w:keepLines w:val="0"/>
              <w:pageBreakBefore w:val="0"/>
              <w:widowControl w:val="0"/>
              <w:kinsoku/>
              <w:wordWrap/>
              <w:overflowPunct/>
              <w:topLinePunct w:val="0"/>
              <w:autoSpaceDE/>
              <w:autoSpaceDN/>
              <w:bidi w:val="0"/>
              <w:adjustRightInd/>
              <w:snapToGrid/>
              <w:spacing w:line="760" w:lineRule="exact"/>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28"/>
                <w:sz w:val="28"/>
                <w:szCs w:val="28"/>
                <w:u w:val="none"/>
                <w:lang w:val="en-US" w:eastAsia="zh-CN"/>
              </w:rPr>
              <w:t>评价组成员：</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宋体" w:hAnsi="宋体" w:eastAsia="宋体" w:cs="宋体"/>
                <w:sz w:val="28"/>
                <w:u w:val="single"/>
                <w:lang w:val="en-US" w:eastAsia="zh-CN"/>
              </w:rPr>
              <w:t>刘金虎、武耀爽、王晓芳</w:t>
            </w:r>
            <w:r>
              <w:rPr>
                <w:rFonts w:hint="eastAsia" w:ascii="仿宋_GB2312" w:hAnsi="仿宋_GB2312" w:eastAsia="仿宋_GB2312" w:cs="仿宋_GB2312"/>
                <w:color w:val="auto"/>
                <w:sz w:val="28"/>
                <w:szCs w:val="28"/>
                <w:u w:val="single"/>
                <w:lang w:val="en-US" w:eastAsia="zh-CN"/>
              </w:rPr>
              <w:t xml:space="preserve">                            </w:t>
            </w:r>
          </w:p>
          <w:p w14:paraId="0757CC75">
            <w:pPr>
              <w:rPr>
                <w:rFonts w:hint="eastAsia" w:ascii="仿宋_GB2312" w:hAnsi="仿宋_GB2312" w:eastAsia="仿宋_GB2312" w:cs="仿宋_GB2312"/>
                <w:color w:val="auto"/>
                <w:lang w:val="en-US" w:eastAsia="zh-CN"/>
              </w:rPr>
            </w:pPr>
          </w:p>
          <w:p w14:paraId="390EC00A">
            <w:pPr>
              <w:spacing w:before="0" w:beforeLines="0" w:after="0" w:afterLines="0" w:line="240" w:lineRule="auto"/>
              <w:ind w:left="0" w:leftChars="0" w:right="0" w:rightChars="0" w:firstLine="0" w:firstLineChars="0"/>
              <w:jc w:val="center"/>
              <w:rPr>
                <w:rFonts w:hint="eastAsia" w:ascii="仿宋_GB2312" w:hAnsi="仿宋_GB2312" w:eastAsia="仿宋_GB2312" w:cs="仿宋_GB2312"/>
                <w:color w:val="auto"/>
                <w:sz w:val="32"/>
                <w:szCs w:val="40"/>
              </w:rPr>
            </w:pPr>
            <w:bookmarkStart w:id="0" w:name="_Toc5909_WPSOffice_Level1"/>
            <w:bookmarkStart w:id="1" w:name="_Toc7470_WPSOffice_Level1"/>
          </w:p>
          <w:p w14:paraId="73C18C03">
            <w:pPr>
              <w:spacing w:before="0" w:beforeLines="0" w:after="0" w:afterLines="0" w:line="240" w:lineRule="auto"/>
              <w:ind w:left="0" w:leftChars="0" w:right="0" w:rightChars="0" w:firstLine="0" w:firstLineChars="0"/>
              <w:jc w:val="both"/>
              <w:rPr>
                <w:rFonts w:hint="eastAsia" w:ascii="仿宋_GB2312" w:hAnsi="仿宋_GB2312" w:eastAsia="仿宋_GB2312" w:cs="仿宋_GB2312"/>
                <w:color w:val="auto"/>
                <w:sz w:val="32"/>
                <w:szCs w:val="40"/>
              </w:rPr>
            </w:pPr>
          </w:p>
          <w:p w14:paraId="5A9FB04C">
            <w:pPr>
              <w:pStyle w:val="2"/>
              <w:rPr>
                <w:rFonts w:hint="eastAsia" w:ascii="仿宋_GB2312" w:hAnsi="仿宋_GB2312" w:eastAsia="仿宋_GB2312" w:cs="仿宋_GB2312"/>
                <w:color w:val="auto"/>
                <w:sz w:val="32"/>
                <w:szCs w:val="40"/>
              </w:rPr>
            </w:pPr>
          </w:p>
          <w:p w14:paraId="6FE12FF1">
            <w:pPr>
              <w:rPr>
                <w:rFonts w:hint="eastAsia" w:ascii="仿宋_GB2312" w:hAnsi="仿宋_GB2312" w:eastAsia="仿宋_GB2312" w:cs="仿宋_GB2312"/>
              </w:rPr>
            </w:pPr>
          </w:p>
          <w:bookmarkEnd w:id="0"/>
          <w:bookmarkEnd w:id="1"/>
          <w:p w14:paraId="19770AFF">
            <w:pPr>
              <w:pStyle w:val="2"/>
              <w:keepNext w:val="0"/>
              <w:keepLines w:val="0"/>
              <w:pageBreakBefore w:val="0"/>
              <w:widowControl w:val="0"/>
              <w:kinsoku/>
              <w:wordWrap/>
              <w:overflowPunct/>
              <w:topLinePunct w:val="0"/>
              <w:autoSpaceDE/>
              <w:autoSpaceDN/>
              <w:bidi w:val="0"/>
              <w:adjustRightInd/>
              <w:snapToGrid/>
              <w:spacing w:line="120" w:lineRule="exact"/>
              <w:textAlignment w:val="center"/>
              <w:rPr>
                <w:rFonts w:hint="eastAsia" w:ascii="仿宋_GB2312" w:hAnsi="仿宋_GB2312" w:eastAsia="仿宋_GB2312" w:cs="仿宋_GB2312"/>
              </w:rPr>
            </w:pPr>
          </w:p>
          <w:p w14:paraId="3F79872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outlineLvl w:val="0"/>
              <w:rPr>
                <w:rFonts w:hint="eastAsia" w:ascii="仿宋_GB2312" w:hAnsi="仿宋_GB2312" w:eastAsia="仿宋_GB2312" w:cs="仿宋_GB2312"/>
                <w:b/>
                <w:bCs/>
                <w:color w:val="auto"/>
                <w:sz w:val="32"/>
                <w:szCs w:val="40"/>
                <w:lang w:val="en-US" w:eastAsia="zh-CN"/>
              </w:rPr>
            </w:pPr>
            <w:bookmarkStart w:id="2" w:name="_Toc18334"/>
            <w:bookmarkStart w:id="3" w:name="_Toc16913"/>
            <w:bookmarkStart w:id="4" w:name="_Toc9525"/>
            <w:bookmarkStart w:id="5" w:name="_Toc6314"/>
            <w:bookmarkStart w:id="6" w:name="_Toc13153"/>
            <w:bookmarkStart w:id="7" w:name="_Toc2245"/>
            <w:bookmarkStart w:id="8" w:name="_Toc23411"/>
            <w:bookmarkStart w:id="9" w:name="_Toc4013"/>
            <w:bookmarkStart w:id="10" w:name="_Toc30335"/>
            <w:bookmarkStart w:id="11" w:name="_Toc11301"/>
            <w:r>
              <w:rPr>
                <w:rFonts w:hint="eastAsia" w:ascii="仿宋_GB2312" w:hAnsi="仿宋_GB2312" w:eastAsia="仿宋_GB2312" w:cs="仿宋_GB2312"/>
                <w:b/>
                <w:bCs/>
                <w:color w:val="auto"/>
                <w:sz w:val="32"/>
                <w:szCs w:val="40"/>
                <w:lang w:val="en-US" w:eastAsia="zh-CN"/>
              </w:rPr>
              <w:t>一、项目概况</w:t>
            </w:r>
            <w:bookmarkEnd w:id="2"/>
            <w:bookmarkEnd w:id="3"/>
            <w:bookmarkEnd w:id="4"/>
            <w:bookmarkEnd w:id="5"/>
            <w:bookmarkEnd w:id="6"/>
            <w:bookmarkEnd w:id="7"/>
            <w:bookmarkEnd w:id="8"/>
            <w:bookmarkEnd w:id="9"/>
            <w:bookmarkEnd w:id="10"/>
            <w:bookmarkEnd w:id="11"/>
          </w:p>
          <w:p w14:paraId="4E516CE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color w:val="auto"/>
                <w:sz w:val="32"/>
                <w:szCs w:val="40"/>
                <w:lang w:val="en-US" w:eastAsia="zh-CN"/>
              </w:rPr>
            </w:pPr>
            <w:bookmarkStart w:id="12" w:name="_Toc937"/>
            <w:bookmarkStart w:id="13" w:name="_Toc22453"/>
            <w:bookmarkStart w:id="14" w:name="_Toc19370"/>
            <w:bookmarkStart w:id="15" w:name="_Toc24784"/>
            <w:bookmarkStart w:id="16" w:name="_Toc30895"/>
            <w:bookmarkStart w:id="17" w:name="_Toc32742"/>
            <w:bookmarkStart w:id="18" w:name="_Toc19963"/>
            <w:bookmarkStart w:id="19" w:name="_Toc23957"/>
            <w:bookmarkStart w:id="20" w:name="_Toc22285"/>
            <w:bookmarkStart w:id="21" w:name="_Toc15831"/>
            <w:r>
              <w:rPr>
                <w:rFonts w:hint="eastAsia" w:ascii="仿宋_GB2312" w:hAnsi="仿宋_GB2312" w:eastAsia="仿宋_GB2312" w:cs="仿宋_GB2312"/>
                <w:color w:val="auto"/>
                <w:sz w:val="32"/>
                <w:szCs w:val="40"/>
                <w:lang w:val="en-US" w:eastAsia="zh-CN"/>
              </w:rPr>
              <w:t>（一）项目单位基本情况</w:t>
            </w:r>
            <w:bookmarkEnd w:id="12"/>
            <w:bookmarkEnd w:id="13"/>
            <w:bookmarkEnd w:id="14"/>
            <w:bookmarkEnd w:id="15"/>
            <w:bookmarkEnd w:id="16"/>
            <w:bookmarkEnd w:id="17"/>
            <w:bookmarkEnd w:id="18"/>
            <w:bookmarkEnd w:id="19"/>
            <w:bookmarkEnd w:id="20"/>
            <w:bookmarkEnd w:id="21"/>
          </w:p>
          <w:p w14:paraId="5EE4CB45">
            <w:pPr>
              <w:pStyle w:val="10"/>
              <w:keepNext w:val="0"/>
              <w:keepLines w:val="0"/>
              <w:pageBreakBefore w:val="0"/>
              <w:widowControl w:val="0"/>
              <w:kinsoku/>
              <w:wordWrap/>
              <w:overflowPunct/>
              <w:topLinePunct w:val="0"/>
              <w:autoSpaceDE/>
              <w:autoSpaceDN/>
              <w:bidi w:val="0"/>
              <w:adjustRightInd/>
              <w:snapToGrid/>
              <w:spacing w:line="600" w:lineRule="exact"/>
              <w:ind w:left="210" w:leftChars="100" w:firstLine="640"/>
              <w:textAlignment w:val="auto"/>
              <w:rPr>
                <w:rFonts w:hint="eastAsia" w:ascii="仿宋" w:hAnsi="仿宋" w:eastAsia="仿宋" w:cs="仿宋"/>
                <w:sz w:val="32"/>
                <w:szCs w:val="32"/>
                <w:lang w:val="en-US" w:eastAsia="zh-CN"/>
              </w:rPr>
            </w:pPr>
            <w:bookmarkStart w:id="22" w:name="_Toc8843"/>
            <w:bookmarkStart w:id="23" w:name="_Toc29308"/>
            <w:bookmarkStart w:id="24" w:name="_Toc15167"/>
            <w:r>
              <w:rPr>
                <w:rFonts w:hint="eastAsia" w:ascii="仿宋" w:hAnsi="仿宋" w:eastAsia="仿宋" w:cs="仿宋"/>
                <w:sz w:val="32"/>
                <w:szCs w:val="32"/>
              </w:rPr>
              <w:t>单位名称</w:t>
            </w:r>
            <w:r>
              <w:rPr>
                <w:rFonts w:hint="eastAsia" w:ascii="仿宋" w:hAnsi="仿宋" w:eastAsia="仿宋" w:cs="仿宋"/>
                <w:sz w:val="32"/>
                <w:szCs w:val="32"/>
                <w:lang w:val="en-US" w:eastAsia="zh-CN"/>
              </w:rPr>
              <w:t>：巨鹿县总工会，</w:t>
            </w:r>
            <w:r>
              <w:rPr>
                <w:rFonts w:hint="eastAsia" w:ascii="仿宋" w:hAnsi="仿宋" w:eastAsia="仿宋" w:cs="仿宋"/>
                <w:sz w:val="32"/>
                <w:szCs w:val="32"/>
              </w:rPr>
              <w:t>地址</w:t>
            </w:r>
            <w:r>
              <w:rPr>
                <w:rFonts w:hint="eastAsia" w:ascii="仿宋" w:hAnsi="仿宋" w:eastAsia="仿宋" w:cs="仿宋"/>
                <w:sz w:val="32"/>
                <w:szCs w:val="32"/>
                <w:lang w:val="en-US" w:eastAsia="zh-CN"/>
              </w:rPr>
              <w:t>在巨鹿县富强东路</w:t>
            </w:r>
            <w:r>
              <w:rPr>
                <w:rFonts w:hint="eastAsia" w:ascii="仿宋" w:hAnsi="仿宋" w:eastAsia="仿宋" w:cs="仿宋"/>
                <w:sz w:val="32"/>
                <w:szCs w:val="32"/>
                <w:lang w:eastAsia="zh-CN"/>
              </w:rPr>
              <w:t>，</w:t>
            </w:r>
            <w:r>
              <w:rPr>
                <w:rFonts w:hint="eastAsia" w:ascii="仿宋" w:hAnsi="仿宋" w:eastAsia="仿宋" w:cs="仿宋"/>
                <w:sz w:val="32"/>
                <w:szCs w:val="32"/>
              </w:rPr>
              <w:t>性质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社会团体。</w:t>
            </w:r>
          </w:p>
          <w:p w14:paraId="5E5C1F2D">
            <w:pPr>
              <w:ind w:left="357" w:firstLine="640" w:firstLineChars="200"/>
              <w:rPr>
                <w:rFonts w:ascii="仿宋" w:hAnsi="仿宋" w:eastAsia="仿宋"/>
                <w:sz w:val="32"/>
                <w:szCs w:val="32"/>
              </w:rPr>
            </w:pPr>
            <w:r>
              <w:rPr>
                <w:rFonts w:ascii="仿宋" w:hAnsi="仿宋" w:eastAsia="仿宋"/>
                <w:sz w:val="32"/>
                <w:szCs w:val="32"/>
              </w:rPr>
              <w:t>中国工会是中国共产党领导的职工自愿结合的工人阶级的群众组织，是党联系职工群众的桥梁和纽带，是国家政权的重要社会支柱，是工会会员和职工利益的代表者、维护</w:t>
            </w:r>
            <w:r>
              <w:rPr>
                <w:rFonts w:hint="eastAsia" w:ascii="仿宋" w:hAnsi="仿宋" w:eastAsia="仿宋"/>
                <w:sz w:val="32"/>
                <w:szCs w:val="32"/>
                <w:lang w:val="en-US" w:eastAsia="zh-CN"/>
              </w:rPr>
              <w:t>者</w:t>
            </w:r>
            <w:r>
              <w:rPr>
                <w:rFonts w:ascii="仿宋" w:hAnsi="仿宋" w:eastAsia="仿宋"/>
                <w:sz w:val="32"/>
                <w:szCs w:val="32"/>
              </w:rPr>
              <w:t>。根据中国工会的性质和特点，依法维护职工的合法权益是其主要职能。县总工会受县委和市总工会领导。其机关的主要工作任务是：</w:t>
            </w:r>
          </w:p>
          <w:p w14:paraId="059103AC">
            <w:pPr>
              <w:ind w:left="357"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根据党的基本理论、基本路线、基本纲领和工运方针，围绕全县工作大局，贯彻执行中国工会全国代表大会和全市代表大会、全县工会代表大会确定的方针任务和做出的决议。</w:t>
            </w:r>
          </w:p>
          <w:p w14:paraId="2C6EC60E">
            <w:pPr>
              <w:ind w:left="357"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依照法律和《中国工会章程》，组织和指导全县各级工会坚定不移地推动党的全心全意依靠工人阶级根本指导方针的贯彻落实，进一步突出和履行</w:t>
            </w:r>
            <w:r>
              <w:rPr>
                <w:rFonts w:hint="eastAsia" w:ascii="仿宋" w:hAnsi="仿宋" w:eastAsia="仿宋"/>
                <w:sz w:val="32"/>
                <w:szCs w:val="32"/>
                <w:lang w:val="en-US" w:eastAsia="zh-CN"/>
              </w:rPr>
              <w:t>工会</w:t>
            </w:r>
            <w:r>
              <w:rPr>
                <w:rFonts w:ascii="仿宋" w:hAnsi="仿宋" w:eastAsia="仿宋"/>
                <w:sz w:val="32"/>
                <w:szCs w:val="32"/>
              </w:rPr>
              <w:t>职能。</w:t>
            </w:r>
          </w:p>
          <w:p w14:paraId="77C85126">
            <w:pPr>
              <w:ind w:left="357"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围绕职工合法权益的重大问题进行调查研究，向县委、县政府和市工会反映职工群众的思想、愿望和要求，提出意见和建议；参与涉及职工切身利益的有关立法和政策、措施、制度的</w:t>
            </w:r>
            <w:r>
              <w:rPr>
                <w:rFonts w:hint="eastAsia" w:ascii="仿宋" w:hAnsi="仿宋" w:eastAsia="仿宋"/>
                <w:sz w:val="32"/>
                <w:szCs w:val="32"/>
                <w:lang w:val="en-US" w:eastAsia="zh-CN"/>
              </w:rPr>
              <w:t>制定</w:t>
            </w:r>
            <w:r>
              <w:rPr>
                <w:rFonts w:ascii="仿宋" w:hAnsi="仿宋" w:eastAsia="仿宋"/>
                <w:sz w:val="32"/>
                <w:szCs w:val="32"/>
              </w:rPr>
              <w:t>；参与侵犯职工合法权益重大事件的调查处理和参与职工重大伤亡事故的调查处理。</w:t>
            </w:r>
          </w:p>
          <w:p w14:paraId="5A6EA218">
            <w:pPr>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负责工会理论政策研究，为全县各级工会提供理论政策服务；研究制定工会的组织制度和民主制度，监督检查《中国工会章程》的贯彻执行;研究指导全县各级工会自身改革和建设，指导全县基层工会组织开展以职工代表大会为基本制度的民主选举、民主决策、民主管理和民主监督工作；研究和推动基层工会建立集体合同制度、工资集体协商制度和监督保证机制;参与指导劳动合同签订工作；指导全县基层工会开展群众性经济技术创新活动。</w:t>
            </w:r>
          </w:p>
          <w:p w14:paraId="7455ACC0">
            <w:pPr>
              <w:ind w:firstLine="640" w:firstLineChars="200"/>
              <w:rPr>
                <w:rFonts w:ascii="仿宋" w:hAnsi="仿宋" w:eastAsia="仿宋"/>
                <w:sz w:val="32"/>
                <w:szCs w:val="32"/>
              </w:rPr>
            </w:pPr>
            <w:r>
              <w:rPr>
                <w:rFonts w:hint="eastAsia" w:ascii="仿宋" w:hAnsi="仿宋" w:eastAsia="仿宋"/>
                <w:sz w:val="32"/>
                <w:szCs w:val="32"/>
              </w:rPr>
              <w:t>5.协助县委、县政府做好全国及省、市劳模的推荐、评选工作，负责县“全国五一劳动奖章”、“全国五一劳动奖状”获得者的评选表彰和“省五一劳动奖章”、“省五一劳动奖状”、“市五一劳动奖章”、“市五一劳动奖状”获得者的管理工作。</w:t>
            </w:r>
          </w:p>
          <w:p w14:paraId="465F8176">
            <w:pPr>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负责工会经费和工会资产的管理、审查、审计工作;研究制定兴办职工劳动福利事业的有关制度和办法，负责对职工劳动福利事业的指导、协调工作。</w:t>
            </w:r>
          </w:p>
          <w:p w14:paraId="19C83F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承担县委、县政府及市总工会交办的其他事项。</w:t>
            </w:r>
          </w:p>
          <w:bookmarkEnd w:id="22"/>
          <w:bookmarkEnd w:id="23"/>
          <w:bookmarkEnd w:id="24"/>
          <w:p w14:paraId="62AE797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sz w:val="32"/>
                <w:szCs w:val="32"/>
              </w:rPr>
            </w:pPr>
            <w:bookmarkStart w:id="25" w:name="_Toc28621"/>
            <w:bookmarkStart w:id="26" w:name="_Toc18842"/>
            <w:bookmarkStart w:id="27" w:name="_Toc17025"/>
            <w:bookmarkStart w:id="28" w:name="_Toc5623"/>
            <w:bookmarkStart w:id="29" w:name="_Toc6105"/>
            <w:bookmarkStart w:id="30" w:name="_Toc30508"/>
            <w:bookmarkStart w:id="31" w:name="_Toc21014"/>
            <w:bookmarkStart w:id="32" w:name="_Toc20748"/>
            <w:bookmarkStart w:id="33" w:name="_Toc22222"/>
            <w:bookmarkStart w:id="34" w:name="_Toc10113"/>
            <w:r>
              <w:rPr>
                <w:rFonts w:hint="eastAsia" w:ascii="仿宋" w:hAnsi="仿宋" w:eastAsia="仿宋" w:cs="仿宋"/>
                <w:sz w:val="32"/>
                <w:szCs w:val="32"/>
              </w:rPr>
              <w:t>（二）项目基本情况</w:t>
            </w:r>
          </w:p>
          <w:p w14:paraId="053A67F6">
            <w:pPr>
              <w:pStyle w:val="10"/>
              <w:keepNext w:val="0"/>
              <w:keepLines w:val="0"/>
              <w:pageBreakBefore w:val="0"/>
              <w:widowControl w:val="0"/>
              <w:kinsoku/>
              <w:wordWrap/>
              <w:overflowPunct/>
              <w:topLinePunct w:val="0"/>
              <w:autoSpaceDE/>
              <w:autoSpaceDN/>
              <w:bidi w:val="0"/>
              <w:adjustRightInd/>
              <w:snapToGrid/>
              <w:spacing w:line="600" w:lineRule="exact"/>
              <w:ind w:left="210" w:leftChars="100" w:firstLine="64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项目资金数</w:t>
            </w:r>
            <w:r>
              <w:rPr>
                <w:rFonts w:hint="eastAsia" w:ascii="仿宋" w:hAnsi="仿宋" w:eastAsia="仿宋" w:cs="仿宋"/>
                <w:sz w:val="32"/>
                <w:szCs w:val="32"/>
                <w:lang w:eastAsia="zh-CN"/>
              </w:rPr>
              <w:t>：</w:t>
            </w:r>
            <w:r>
              <w:rPr>
                <w:rFonts w:hint="eastAsia" w:ascii="仿宋" w:hAnsi="仿宋" w:eastAsia="仿宋" w:cs="仿宋"/>
                <w:sz w:val="32"/>
                <w:szCs w:val="32"/>
              </w:rPr>
              <w:t>工会经费是各级工会组织生存和开展工作的物质基础，是工会组织发挥党联系职工桥梁与纽带作用的经济保障，根据市总工会、市财政局《关于依法足额划拨财政拨款的行政事业单位工会经费有关问题的通知》、《河北省基层工会经费收支管理实施细则》的文件精神，县财政局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年预算安排县直单位及各乡镇工会经费</w:t>
            </w:r>
            <w:r>
              <w:rPr>
                <w:rFonts w:hint="eastAsia" w:ascii="仿宋" w:hAnsi="仿宋" w:eastAsia="仿宋" w:cs="仿宋"/>
                <w:sz w:val="32"/>
                <w:szCs w:val="32"/>
                <w:lang w:val="en-US" w:eastAsia="zh-CN"/>
              </w:rPr>
              <w:t>500</w:t>
            </w:r>
            <w:r>
              <w:rPr>
                <w:rFonts w:hint="eastAsia" w:ascii="仿宋" w:hAnsi="仿宋" w:eastAsia="仿宋" w:cs="仿宋"/>
                <w:sz w:val="32"/>
                <w:szCs w:val="32"/>
              </w:rPr>
              <w:t>万元设立本项目。</w:t>
            </w:r>
          </w:p>
          <w:p w14:paraId="25948E69">
            <w:pPr>
              <w:pStyle w:val="10"/>
              <w:keepNext w:val="0"/>
              <w:keepLines w:val="0"/>
              <w:pageBreakBefore w:val="0"/>
              <w:widowControl w:val="0"/>
              <w:kinsoku/>
              <w:wordWrap/>
              <w:overflowPunct/>
              <w:topLinePunct w:val="0"/>
              <w:autoSpaceDE/>
              <w:autoSpaceDN/>
              <w:bidi w:val="0"/>
              <w:adjustRightInd/>
              <w:snapToGrid/>
              <w:spacing w:line="600" w:lineRule="exact"/>
              <w:ind w:left="210" w:leftChars="100"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具体项目数量</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1个</w:t>
            </w:r>
          </w:p>
          <w:p w14:paraId="00EC8D2B">
            <w:pPr>
              <w:pStyle w:val="10"/>
              <w:spacing w:line="600" w:lineRule="exact"/>
              <w:ind w:left="210" w:leftChars="100" w:firstLine="640"/>
              <w:rPr>
                <w:rFonts w:hint="eastAsia" w:ascii="仿宋_GB2312" w:hAnsi="仿宋_GB2312" w:eastAsia="仿宋_GB2312" w:cs="仿宋_GB2312"/>
                <w:color w:val="auto"/>
                <w:sz w:val="32"/>
                <w:szCs w:val="40"/>
                <w:lang w:val="en-US" w:eastAsia="zh-CN"/>
              </w:rPr>
            </w:pPr>
            <w:r>
              <w:rPr>
                <w:rFonts w:hint="eastAsia" w:ascii="仿宋" w:hAnsi="仿宋" w:eastAsia="仿宋" w:cs="仿宋"/>
                <w:sz w:val="32"/>
                <w:szCs w:val="32"/>
                <w:lang w:val="en-US" w:eastAsia="zh-CN"/>
              </w:rPr>
              <w:t>3.投资支付</w:t>
            </w:r>
            <w:r>
              <w:rPr>
                <w:rFonts w:hint="eastAsia" w:ascii="仿宋" w:hAnsi="仿宋" w:eastAsia="仿宋" w:cs="仿宋"/>
                <w:sz w:val="32"/>
                <w:szCs w:val="32"/>
              </w:rPr>
              <w:t>情况</w:t>
            </w:r>
            <w:r>
              <w:rPr>
                <w:rFonts w:hint="eastAsia" w:ascii="仿宋" w:hAnsi="仿宋" w:eastAsia="仿宋" w:cs="仿宋"/>
                <w:sz w:val="32"/>
                <w:szCs w:val="32"/>
                <w:lang w:eastAsia="zh-CN"/>
              </w:rPr>
              <w:t>：本年度高质量完成了工会经费的下拨、上划，积极开展各种服务职工群众活动、组织开展工会活动，激发了职工群众爱岗敬业的高尚品德，</w:t>
            </w:r>
            <w:r>
              <w:rPr>
                <w:rFonts w:hint="eastAsia" w:ascii="仿宋" w:hAnsi="仿宋" w:eastAsia="仿宋" w:cs="仿宋"/>
                <w:sz w:val="32"/>
                <w:szCs w:val="32"/>
                <w:lang w:val="en-US" w:eastAsia="zh-CN"/>
              </w:rPr>
              <w:t>使</w:t>
            </w:r>
            <w:r>
              <w:rPr>
                <w:rFonts w:hint="eastAsia" w:ascii="仿宋" w:hAnsi="仿宋" w:eastAsia="仿宋" w:cs="仿宋"/>
                <w:sz w:val="32"/>
                <w:szCs w:val="32"/>
                <w:lang w:eastAsia="zh-CN"/>
              </w:rPr>
              <w:t>工会经费发挥了最大效益，得到了广大职工的高度赞扬。</w:t>
            </w:r>
          </w:p>
          <w:p w14:paraId="0D96D5D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outlineLvl w:val="0"/>
              <w:rPr>
                <w:rFonts w:hint="eastAsia" w:ascii="仿宋_GB2312" w:hAnsi="仿宋_GB2312" w:eastAsia="仿宋_GB2312" w:cs="仿宋_GB2312"/>
                <w:b/>
                <w:bCs/>
                <w:color w:val="auto"/>
                <w:sz w:val="32"/>
                <w:szCs w:val="40"/>
                <w:lang w:val="en-US" w:eastAsia="zh-CN"/>
              </w:rPr>
            </w:pPr>
            <w:bookmarkStart w:id="35" w:name="_Toc4859"/>
            <w:bookmarkStart w:id="36" w:name="_Toc6781"/>
            <w:bookmarkStart w:id="37" w:name="_Toc17782"/>
            <w:bookmarkStart w:id="38" w:name="_Toc7839"/>
            <w:bookmarkStart w:id="39" w:name="_Toc14644"/>
            <w:bookmarkStart w:id="40" w:name="_Toc2988"/>
            <w:bookmarkStart w:id="41" w:name="_Toc12860"/>
            <w:bookmarkStart w:id="42" w:name="_Toc18992"/>
            <w:bookmarkStart w:id="43" w:name="_Toc26109"/>
            <w:bookmarkStart w:id="44" w:name="_Toc28908"/>
            <w:r>
              <w:rPr>
                <w:rFonts w:hint="eastAsia" w:ascii="仿宋_GB2312" w:hAnsi="仿宋_GB2312" w:eastAsia="仿宋_GB2312" w:cs="仿宋_GB2312"/>
                <w:b/>
                <w:bCs/>
                <w:color w:val="auto"/>
                <w:sz w:val="32"/>
                <w:szCs w:val="40"/>
                <w:lang w:val="en-US" w:eastAsia="zh-CN"/>
              </w:rPr>
              <w:t>二、项目实施情况</w:t>
            </w:r>
            <w:bookmarkEnd w:id="35"/>
            <w:bookmarkEnd w:id="36"/>
            <w:bookmarkEnd w:id="37"/>
            <w:bookmarkEnd w:id="38"/>
            <w:bookmarkEnd w:id="39"/>
            <w:bookmarkEnd w:id="40"/>
            <w:bookmarkEnd w:id="41"/>
            <w:bookmarkEnd w:id="42"/>
            <w:bookmarkEnd w:id="43"/>
            <w:bookmarkEnd w:id="44"/>
          </w:p>
          <w:p w14:paraId="263E1D81">
            <w:pPr>
              <w:pStyle w:val="10"/>
              <w:ind w:left="210" w:leftChars="100"/>
              <w:rPr>
                <w:rFonts w:hint="eastAsia" w:ascii="仿宋" w:hAnsi="仿宋" w:eastAsia="仿宋" w:cs="仿宋"/>
                <w:sz w:val="32"/>
                <w:szCs w:val="32"/>
              </w:rPr>
            </w:pPr>
            <w:bookmarkStart w:id="45" w:name="_Toc11365"/>
            <w:bookmarkStart w:id="46" w:name="_Toc22812"/>
            <w:bookmarkStart w:id="47" w:name="_Toc9227"/>
            <w:bookmarkStart w:id="48" w:name="_Toc10886"/>
            <w:bookmarkStart w:id="49" w:name="_Toc4138"/>
            <w:bookmarkStart w:id="50" w:name="_Toc31876"/>
            <w:bookmarkStart w:id="51" w:name="_Toc13114"/>
            <w:bookmarkStart w:id="52" w:name="_Toc17067"/>
            <w:bookmarkStart w:id="53" w:name="_Toc20844"/>
            <w:bookmarkStart w:id="54" w:name="_Toc17743"/>
            <w:r>
              <w:rPr>
                <w:rFonts w:hint="eastAsia" w:ascii="仿宋" w:hAnsi="仿宋" w:eastAsia="仿宋" w:cs="仿宋"/>
                <w:sz w:val="32"/>
                <w:szCs w:val="32"/>
                <w:lang w:val="en-US" w:eastAsia="zh-CN"/>
              </w:rPr>
              <w:t>（一）</w:t>
            </w:r>
            <w:r>
              <w:rPr>
                <w:rFonts w:hint="eastAsia" w:ascii="仿宋" w:hAnsi="仿宋" w:eastAsia="仿宋" w:cs="仿宋"/>
                <w:sz w:val="32"/>
                <w:szCs w:val="32"/>
              </w:rPr>
              <w:t>项目具体实施情况</w:t>
            </w:r>
          </w:p>
          <w:p w14:paraId="45CA3759">
            <w:pPr>
              <w:pStyle w:val="10"/>
              <w:keepNext w:val="0"/>
              <w:keepLines w:val="0"/>
              <w:pageBreakBefore w:val="0"/>
              <w:widowControl/>
              <w:kinsoku/>
              <w:wordWrap/>
              <w:overflowPunct/>
              <w:topLinePunct w:val="0"/>
              <w:bidi w:val="0"/>
              <w:snapToGrid/>
              <w:spacing w:line="600" w:lineRule="exact"/>
              <w:ind w:left="210" w:leftChars="100" w:firstLine="640"/>
              <w:textAlignment w:val="auto"/>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年县直单位及各乡镇工会经费项目安排总投入</w:t>
            </w:r>
            <w:r>
              <w:rPr>
                <w:rFonts w:hint="eastAsia" w:ascii="仿宋" w:hAnsi="仿宋" w:eastAsia="仿宋" w:cs="仿宋"/>
                <w:sz w:val="32"/>
                <w:szCs w:val="32"/>
                <w:lang w:val="en-US" w:eastAsia="zh-CN"/>
              </w:rPr>
              <w:t>500</w:t>
            </w:r>
            <w:r>
              <w:rPr>
                <w:rFonts w:hint="eastAsia" w:ascii="仿宋" w:hAnsi="仿宋" w:eastAsia="仿宋" w:cs="仿宋"/>
                <w:sz w:val="32"/>
                <w:szCs w:val="32"/>
              </w:rPr>
              <w:t>万元。全部是县级财政资金，没有自筹资金。</w:t>
            </w:r>
          </w:p>
          <w:p w14:paraId="684E1210">
            <w:pPr>
              <w:pStyle w:val="10"/>
              <w:spacing w:line="600" w:lineRule="exact"/>
              <w:ind w:left="210" w:leftChars="10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年预算资金</w:t>
            </w:r>
            <w:r>
              <w:rPr>
                <w:rFonts w:hint="eastAsia" w:ascii="仿宋" w:hAnsi="仿宋" w:eastAsia="仿宋" w:cs="仿宋"/>
                <w:sz w:val="32"/>
                <w:szCs w:val="32"/>
                <w:lang w:val="en-US" w:eastAsia="zh-CN"/>
              </w:rPr>
              <w:t>500</w:t>
            </w:r>
            <w:r>
              <w:rPr>
                <w:rFonts w:hint="eastAsia" w:ascii="仿宋" w:hAnsi="仿宋" w:eastAsia="仿宋" w:cs="仿宋"/>
                <w:sz w:val="32"/>
                <w:szCs w:val="32"/>
              </w:rPr>
              <w:t>万元，其中返还基层单位</w:t>
            </w:r>
            <w:r>
              <w:rPr>
                <w:rFonts w:hint="eastAsia" w:ascii="仿宋" w:hAnsi="仿宋" w:eastAsia="仿宋" w:cs="仿宋"/>
                <w:sz w:val="32"/>
                <w:szCs w:val="32"/>
                <w:lang w:val="en-US" w:eastAsia="zh-CN"/>
              </w:rPr>
              <w:t>300</w:t>
            </w:r>
            <w:r>
              <w:rPr>
                <w:rFonts w:hint="eastAsia" w:ascii="仿宋" w:hAnsi="仿宋" w:eastAsia="仿宋" w:cs="仿宋"/>
                <w:sz w:val="32"/>
                <w:szCs w:val="32"/>
              </w:rPr>
              <w:t>万元，应付上级工会</w:t>
            </w:r>
            <w:r>
              <w:rPr>
                <w:rFonts w:hint="eastAsia" w:ascii="仿宋" w:hAnsi="仿宋" w:eastAsia="仿宋" w:cs="仿宋"/>
                <w:sz w:val="32"/>
                <w:szCs w:val="32"/>
                <w:lang w:val="en-US" w:eastAsia="zh-CN"/>
              </w:rPr>
              <w:t>75</w:t>
            </w:r>
            <w:r>
              <w:rPr>
                <w:rFonts w:hint="eastAsia" w:ascii="仿宋" w:hAnsi="仿宋" w:eastAsia="仿宋" w:cs="仿宋"/>
                <w:sz w:val="32"/>
                <w:szCs w:val="32"/>
              </w:rPr>
              <w:t>万元，</w:t>
            </w:r>
            <w:r>
              <w:rPr>
                <w:rFonts w:hint="eastAsia" w:ascii="仿宋" w:hAnsi="仿宋" w:eastAsia="仿宋" w:cs="仿宋"/>
                <w:sz w:val="32"/>
                <w:szCs w:val="32"/>
                <w:lang w:val="en-US" w:eastAsia="zh-CN"/>
              </w:rPr>
              <w:t>实际</w:t>
            </w:r>
            <w:r>
              <w:rPr>
                <w:rFonts w:hint="eastAsia" w:ascii="仿宋" w:hAnsi="仿宋" w:eastAsia="仿宋" w:cs="仿宋"/>
                <w:sz w:val="32"/>
                <w:szCs w:val="32"/>
              </w:rPr>
              <w:t>支出</w:t>
            </w:r>
            <w:r>
              <w:rPr>
                <w:rFonts w:hint="eastAsia" w:ascii="仿宋" w:hAnsi="仿宋" w:eastAsia="仿宋" w:cs="仿宋"/>
                <w:sz w:val="32"/>
                <w:szCs w:val="32"/>
                <w:lang w:val="en-US" w:eastAsia="zh-CN"/>
              </w:rPr>
              <w:t>500</w:t>
            </w:r>
            <w:r>
              <w:rPr>
                <w:rFonts w:hint="eastAsia" w:ascii="仿宋" w:hAnsi="仿宋" w:eastAsia="仿宋" w:cs="仿宋"/>
                <w:sz w:val="32"/>
                <w:szCs w:val="32"/>
              </w:rPr>
              <w:t>万元。主要用于关心关爱女职工活动、庆“三八”活动、新就业群体活动、</w:t>
            </w:r>
            <w:r>
              <w:rPr>
                <w:rFonts w:hint="eastAsia" w:ascii="仿宋" w:hAnsi="仿宋" w:eastAsia="仿宋" w:cs="仿宋"/>
                <w:sz w:val="32"/>
                <w:szCs w:val="32"/>
                <w:lang w:val="en-US" w:eastAsia="zh-CN"/>
              </w:rPr>
              <w:t>宣传《中华人民共和国</w:t>
            </w:r>
            <w:r>
              <w:rPr>
                <w:rFonts w:hint="eastAsia" w:ascii="仿宋" w:hAnsi="仿宋" w:eastAsia="仿宋" w:cs="仿宋"/>
                <w:sz w:val="32"/>
                <w:szCs w:val="32"/>
              </w:rPr>
              <w:t>工会法</w:t>
            </w:r>
            <w:r>
              <w:rPr>
                <w:rFonts w:hint="eastAsia" w:ascii="仿宋" w:hAnsi="仿宋" w:eastAsia="仿宋" w:cs="仿宋"/>
                <w:sz w:val="32"/>
                <w:szCs w:val="32"/>
                <w:lang w:val="en-US"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宣传</w:t>
            </w:r>
            <w:r>
              <w:rPr>
                <w:rFonts w:hint="eastAsia" w:ascii="仿宋" w:hAnsi="仿宋" w:eastAsia="仿宋" w:cs="仿宋"/>
                <w:sz w:val="32"/>
                <w:szCs w:val="32"/>
              </w:rPr>
              <w:t>医疗互助</w:t>
            </w:r>
            <w:r>
              <w:rPr>
                <w:rFonts w:hint="eastAsia" w:ascii="仿宋" w:hAnsi="仿宋" w:eastAsia="仿宋" w:cs="仿宋"/>
                <w:sz w:val="32"/>
                <w:szCs w:val="32"/>
                <w:lang w:val="en-US" w:eastAsia="zh-CN"/>
              </w:rPr>
              <w:t>活动</w:t>
            </w:r>
            <w:r>
              <w:rPr>
                <w:rFonts w:hint="eastAsia" w:ascii="仿宋" w:hAnsi="仿宋" w:eastAsia="仿宋" w:cs="仿宋"/>
                <w:sz w:val="32"/>
                <w:szCs w:val="32"/>
              </w:rPr>
              <w:t>、</w:t>
            </w:r>
            <w:r>
              <w:rPr>
                <w:rFonts w:hint="eastAsia" w:ascii="仿宋" w:hAnsi="仿宋" w:eastAsia="仿宋" w:cs="仿宋"/>
                <w:sz w:val="32"/>
                <w:szCs w:val="32"/>
                <w:lang w:val="en-US" w:eastAsia="zh-CN"/>
              </w:rPr>
              <w:t>法治</w:t>
            </w:r>
            <w:r>
              <w:rPr>
                <w:rFonts w:hint="eastAsia" w:ascii="仿宋" w:hAnsi="仿宋" w:eastAsia="仿宋" w:cs="仿宋"/>
                <w:sz w:val="32"/>
                <w:szCs w:val="32"/>
              </w:rPr>
              <w:t>宣传、</w:t>
            </w:r>
            <w:r>
              <w:rPr>
                <w:rFonts w:hint="eastAsia" w:ascii="仿宋" w:hAnsi="仿宋" w:eastAsia="仿宋" w:cs="仿宋"/>
                <w:sz w:val="32"/>
                <w:szCs w:val="32"/>
                <w:lang w:val="en-US" w:eastAsia="zh-CN"/>
              </w:rPr>
              <w:t>宣传</w:t>
            </w:r>
            <w:r>
              <w:rPr>
                <w:rFonts w:hint="eastAsia" w:ascii="仿宋" w:hAnsi="仿宋" w:eastAsia="仿宋" w:cs="仿宋"/>
                <w:sz w:val="32"/>
                <w:szCs w:val="32"/>
              </w:rPr>
              <w:t>网络安全、</w:t>
            </w:r>
            <w:r>
              <w:rPr>
                <w:rFonts w:hint="eastAsia" w:ascii="仿宋" w:hAnsi="仿宋" w:eastAsia="仿宋" w:cs="仿宋"/>
                <w:sz w:val="32"/>
                <w:szCs w:val="32"/>
                <w:lang w:val="en-US" w:eastAsia="zh-CN"/>
              </w:rPr>
              <w:t>宣传</w:t>
            </w:r>
            <w:r>
              <w:rPr>
                <w:rFonts w:hint="eastAsia" w:ascii="仿宋" w:hAnsi="仿宋" w:eastAsia="仿宋" w:cs="仿宋"/>
                <w:sz w:val="32"/>
                <w:szCs w:val="32"/>
              </w:rPr>
              <w:t>就业创业五一普法、</w:t>
            </w:r>
            <w:r>
              <w:rPr>
                <w:rFonts w:hint="eastAsia" w:ascii="仿宋" w:hAnsi="仿宋" w:eastAsia="仿宋" w:cs="仿宋"/>
                <w:sz w:val="32"/>
                <w:szCs w:val="32"/>
                <w:lang w:val="en-US" w:eastAsia="zh-CN"/>
              </w:rPr>
              <w:t>宣传</w:t>
            </w:r>
            <w:r>
              <w:rPr>
                <w:rFonts w:hint="eastAsia" w:ascii="仿宋" w:hAnsi="仿宋" w:eastAsia="仿宋" w:cs="仿宋"/>
                <w:sz w:val="32"/>
                <w:szCs w:val="32"/>
              </w:rPr>
              <w:t>职业病防治、组织职工书画摄影展等</w:t>
            </w:r>
            <w:r>
              <w:rPr>
                <w:rFonts w:hint="eastAsia" w:ascii="仿宋" w:hAnsi="仿宋" w:eastAsia="仿宋" w:cs="仿宋"/>
                <w:sz w:val="32"/>
                <w:szCs w:val="32"/>
                <w:lang w:val="en-US" w:eastAsia="zh-CN"/>
              </w:rPr>
              <w:t>活动</w:t>
            </w:r>
            <w:r>
              <w:rPr>
                <w:rFonts w:hint="eastAsia" w:ascii="仿宋" w:hAnsi="仿宋" w:eastAsia="仿宋" w:cs="仿宋"/>
                <w:sz w:val="32"/>
                <w:szCs w:val="32"/>
              </w:rPr>
              <w:t>。</w:t>
            </w:r>
          </w:p>
          <w:p w14:paraId="45173E01">
            <w:pPr>
              <w:pStyle w:val="10"/>
              <w:ind w:left="210" w:leftChars="1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财务管理情况</w:t>
            </w:r>
            <w:r>
              <w:rPr>
                <w:rFonts w:hint="eastAsia" w:ascii="仿宋" w:hAnsi="仿宋" w:eastAsia="仿宋" w:cs="仿宋"/>
                <w:sz w:val="32"/>
                <w:szCs w:val="32"/>
                <w:lang w:eastAsia="zh-CN"/>
              </w:rPr>
              <w:t>。</w:t>
            </w:r>
          </w:p>
          <w:p w14:paraId="2E05C162">
            <w:pPr>
              <w:pStyle w:val="10"/>
              <w:rPr>
                <w:rFonts w:hint="eastAsia" w:ascii="仿宋" w:hAnsi="仿宋" w:eastAsia="仿宋" w:cs="仿宋"/>
                <w:sz w:val="32"/>
                <w:szCs w:val="32"/>
              </w:rPr>
            </w:pPr>
            <w:r>
              <w:rPr>
                <w:rFonts w:hint="eastAsia" w:ascii="仿宋" w:hAnsi="仿宋" w:eastAsia="仿宋" w:cs="仿宋"/>
                <w:sz w:val="32"/>
                <w:szCs w:val="32"/>
              </w:rPr>
              <w:t>我单位根据专项资金管理办法，</w:t>
            </w:r>
            <w:r>
              <w:rPr>
                <w:rFonts w:hint="eastAsia" w:ascii="仿宋" w:hAnsi="仿宋" w:eastAsia="仿宋" w:cs="仿宋"/>
                <w:sz w:val="32"/>
                <w:szCs w:val="32"/>
                <w:lang w:val="en-US" w:eastAsia="zh-CN"/>
              </w:rPr>
              <w:t>确保</w:t>
            </w:r>
            <w:r>
              <w:rPr>
                <w:rFonts w:hint="eastAsia" w:ascii="仿宋" w:hAnsi="仿宋" w:eastAsia="仿宋" w:cs="仿宋"/>
                <w:sz w:val="32"/>
                <w:szCs w:val="32"/>
              </w:rPr>
              <w:t>专款专用项目资金执行使用到位。根据《</w:t>
            </w:r>
            <w:r>
              <w:rPr>
                <w:rFonts w:hint="eastAsia" w:ascii="仿宋" w:hAnsi="仿宋" w:eastAsia="仿宋" w:cs="仿宋"/>
                <w:sz w:val="32"/>
                <w:szCs w:val="32"/>
                <w:lang w:val="en-US" w:eastAsia="zh-CN"/>
              </w:rPr>
              <w:t>中华人民共和国工会法</w:t>
            </w:r>
            <w:r>
              <w:rPr>
                <w:rFonts w:hint="eastAsia" w:ascii="仿宋" w:hAnsi="仿宋" w:eastAsia="仿宋" w:cs="仿宋"/>
                <w:sz w:val="32"/>
                <w:szCs w:val="32"/>
              </w:rPr>
              <w:t>》和财务管理制度以及有关部门的资金管理办法，我单位制定《</w:t>
            </w:r>
            <w:r>
              <w:rPr>
                <w:rFonts w:hint="eastAsia" w:ascii="仿宋" w:hAnsi="仿宋" w:eastAsia="仿宋" w:cs="仿宋"/>
                <w:sz w:val="32"/>
                <w:szCs w:val="32"/>
                <w:lang w:val="en-US" w:eastAsia="zh-CN"/>
              </w:rPr>
              <w:t>巨鹿县总工会</w:t>
            </w:r>
            <w:r>
              <w:rPr>
                <w:rFonts w:hint="eastAsia" w:ascii="仿宋" w:hAnsi="仿宋" w:eastAsia="仿宋" w:cs="仿宋"/>
                <w:sz w:val="32"/>
                <w:szCs w:val="32"/>
              </w:rPr>
              <w:t>工会财务管理制度》</w:t>
            </w:r>
            <w:r>
              <w:rPr>
                <w:rFonts w:hint="eastAsia" w:ascii="仿宋" w:hAnsi="仿宋" w:eastAsia="仿宋" w:cs="仿宋"/>
                <w:sz w:val="32"/>
                <w:szCs w:val="32"/>
                <w:lang w:val="en-US" w:eastAsia="zh-CN"/>
              </w:rPr>
              <w:t>及《巨鹿县总工会三重一大制度》</w:t>
            </w:r>
            <w:r>
              <w:rPr>
                <w:rFonts w:hint="eastAsia" w:ascii="仿宋" w:hAnsi="仿宋" w:eastAsia="仿宋" w:cs="仿宋"/>
                <w:sz w:val="32"/>
                <w:szCs w:val="32"/>
              </w:rPr>
              <w:t>。制度中对资金拨付、审批过程、以及重大开支的使用过程都有明确规定。在资金管理中不存在截留、挤占、挪用和虚列支出情况。</w:t>
            </w:r>
          </w:p>
          <w:p w14:paraId="68DF57DE">
            <w:pPr>
              <w:pStyle w:val="10"/>
              <w:rPr>
                <w:rFonts w:hint="eastAsia" w:ascii="仿宋" w:hAnsi="仿宋" w:eastAsia="仿宋" w:cs="仿宋"/>
                <w:sz w:val="32"/>
                <w:szCs w:val="32"/>
                <w:lang w:eastAsia="zh-CN"/>
              </w:rPr>
            </w:pPr>
            <w:r>
              <w:rPr>
                <w:rFonts w:hint="eastAsia" w:ascii="仿宋" w:hAnsi="仿宋" w:eastAsia="仿宋" w:cs="仿宋"/>
                <w:sz w:val="32"/>
                <w:szCs w:val="32"/>
              </w:rPr>
              <w:t>项目资金支出及</w:t>
            </w:r>
            <w:r>
              <w:rPr>
                <w:rFonts w:hint="eastAsia" w:ascii="仿宋" w:hAnsi="仿宋" w:eastAsia="仿宋" w:cs="仿宋"/>
                <w:sz w:val="32"/>
                <w:szCs w:val="32"/>
                <w:lang w:val="en-US" w:eastAsia="zh-CN"/>
              </w:rPr>
              <w:t>拨付</w:t>
            </w:r>
            <w:r>
              <w:rPr>
                <w:rFonts w:hint="eastAsia" w:ascii="仿宋" w:hAnsi="仿宋" w:eastAsia="仿宋" w:cs="仿宋"/>
                <w:sz w:val="32"/>
                <w:szCs w:val="32"/>
              </w:rPr>
              <w:t>都严格按照相关财务管理制度执行，根据年度任务，逐项对量化指标完成情况、实施效果、和责任制建立情况进行了分析。对每项任务建立了目标责任制，工作落实到具体部门和人员，制定了明确、具体、可量化、可衡量的绩效指标，年度预算资金全部形成</w:t>
            </w:r>
            <w:r>
              <w:rPr>
                <w:rFonts w:hint="eastAsia" w:ascii="仿宋" w:hAnsi="仿宋" w:eastAsia="仿宋" w:cs="仿宋"/>
                <w:sz w:val="32"/>
                <w:szCs w:val="32"/>
                <w:lang w:val="en-US" w:eastAsia="zh-CN"/>
              </w:rPr>
              <w:t>了</w:t>
            </w:r>
            <w:r>
              <w:rPr>
                <w:rFonts w:hint="eastAsia" w:ascii="仿宋" w:hAnsi="仿宋" w:eastAsia="仿宋" w:cs="仿宋"/>
                <w:sz w:val="32"/>
                <w:szCs w:val="32"/>
              </w:rPr>
              <w:t>支出。</w:t>
            </w:r>
          </w:p>
          <w:bookmarkEnd w:id="45"/>
          <w:bookmarkEnd w:id="46"/>
          <w:bookmarkEnd w:id="47"/>
          <w:bookmarkEnd w:id="48"/>
          <w:bookmarkEnd w:id="49"/>
          <w:bookmarkEnd w:id="50"/>
          <w:bookmarkEnd w:id="51"/>
          <w:bookmarkEnd w:id="52"/>
          <w:bookmarkEnd w:id="53"/>
          <w:bookmarkEnd w:id="54"/>
          <w:p w14:paraId="368FBD57">
            <w:pPr>
              <w:pStyle w:val="10"/>
              <w:spacing w:line="600" w:lineRule="exact"/>
              <w:ind w:left="210" w:leftChars="100" w:firstLine="640"/>
              <w:rPr>
                <w:rFonts w:hint="eastAsia" w:ascii="仿宋" w:hAnsi="仿宋" w:eastAsia="仿宋" w:cs="仿宋"/>
                <w:b/>
                <w:bCs/>
                <w:sz w:val="32"/>
                <w:szCs w:val="32"/>
                <w:lang w:val="en-US" w:eastAsia="zh-CN"/>
              </w:rPr>
            </w:pPr>
            <w:bookmarkStart w:id="55" w:name="_Toc5317"/>
            <w:bookmarkStart w:id="56" w:name="_Toc10651"/>
            <w:bookmarkStart w:id="57" w:name="_Toc5215"/>
            <w:bookmarkStart w:id="58" w:name="_Toc12150"/>
            <w:bookmarkStart w:id="59" w:name="_Toc20904"/>
            <w:bookmarkStart w:id="60" w:name="_Toc18915"/>
            <w:bookmarkStart w:id="61" w:name="_Toc6451"/>
            <w:bookmarkStart w:id="62" w:name="_Toc26855"/>
            <w:bookmarkStart w:id="63" w:name="_Toc29800"/>
            <w:bookmarkStart w:id="64" w:name="_Toc21501"/>
            <w:r>
              <w:rPr>
                <w:rFonts w:hint="eastAsia" w:ascii="仿宋" w:hAnsi="仿宋" w:eastAsia="仿宋" w:cs="仿宋"/>
                <w:b/>
                <w:bCs/>
                <w:sz w:val="32"/>
                <w:szCs w:val="32"/>
                <w:lang w:val="en-US" w:eastAsia="zh-CN"/>
              </w:rPr>
              <w:t>三、绩效评价工作情况</w:t>
            </w:r>
            <w:bookmarkEnd w:id="55"/>
            <w:bookmarkEnd w:id="56"/>
            <w:bookmarkEnd w:id="57"/>
            <w:bookmarkEnd w:id="58"/>
            <w:bookmarkEnd w:id="59"/>
            <w:bookmarkEnd w:id="60"/>
            <w:bookmarkEnd w:id="61"/>
            <w:bookmarkEnd w:id="62"/>
            <w:bookmarkEnd w:id="63"/>
            <w:bookmarkEnd w:id="64"/>
          </w:p>
          <w:p w14:paraId="417AB52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b w:val="0"/>
                <w:bCs w:val="0"/>
                <w:color w:val="auto"/>
                <w:sz w:val="32"/>
                <w:szCs w:val="40"/>
                <w:lang w:val="en-US" w:eastAsia="zh-CN"/>
              </w:rPr>
            </w:pPr>
            <w:bookmarkStart w:id="65" w:name="_Toc7570"/>
            <w:bookmarkStart w:id="66" w:name="_Toc5105"/>
            <w:bookmarkStart w:id="67" w:name="_Toc23608"/>
            <w:bookmarkStart w:id="68" w:name="_Toc22771"/>
            <w:bookmarkStart w:id="69" w:name="_Toc4056"/>
            <w:bookmarkStart w:id="70" w:name="_Toc15730"/>
            <w:bookmarkStart w:id="71" w:name="_Toc17355"/>
            <w:bookmarkStart w:id="72" w:name="_Toc25600"/>
            <w:bookmarkStart w:id="73" w:name="_Toc8077"/>
            <w:bookmarkStart w:id="74" w:name="_Toc14742"/>
            <w:r>
              <w:rPr>
                <w:rFonts w:hint="eastAsia" w:ascii="仿宋_GB2312" w:hAnsi="仿宋_GB2312" w:eastAsia="仿宋_GB2312" w:cs="仿宋_GB2312"/>
                <w:b w:val="0"/>
                <w:bCs w:val="0"/>
                <w:color w:val="auto"/>
                <w:sz w:val="32"/>
                <w:szCs w:val="40"/>
                <w:lang w:val="en-US" w:eastAsia="zh-CN"/>
              </w:rPr>
              <w:t>（一）评价目的</w:t>
            </w:r>
            <w:bookmarkEnd w:id="65"/>
            <w:bookmarkEnd w:id="66"/>
            <w:bookmarkEnd w:id="67"/>
            <w:bookmarkEnd w:id="68"/>
            <w:bookmarkEnd w:id="69"/>
            <w:bookmarkEnd w:id="70"/>
            <w:bookmarkEnd w:id="71"/>
            <w:bookmarkEnd w:id="72"/>
            <w:bookmarkEnd w:id="73"/>
            <w:bookmarkEnd w:id="74"/>
          </w:p>
          <w:p w14:paraId="285B0BB9">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0"/>
              <w:textAlignment w:val="auto"/>
              <w:outlineLvl w:val="9"/>
              <w:rPr>
                <w:rFonts w:hint="eastAsia" w:ascii="仿宋_GB2312" w:hAnsi="仿宋_GB2312" w:eastAsia="仿宋_GB2312" w:cs="仿宋_GB2312"/>
                <w:b w:val="0"/>
                <w:bCs w:val="0"/>
                <w:color w:val="auto"/>
                <w:sz w:val="32"/>
                <w:szCs w:val="40"/>
                <w:lang w:val="en-US" w:eastAsia="zh-CN"/>
              </w:rPr>
            </w:pPr>
            <w:r>
              <w:rPr>
                <w:rFonts w:hint="eastAsia" w:ascii="仿宋" w:hAnsi="仿宋" w:eastAsia="仿宋" w:cs="仿宋"/>
                <w:sz w:val="32"/>
                <w:szCs w:val="32"/>
                <w:lang w:val="en-US" w:eastAsia="zh-CN"/>
              </w:rPr>
              <w:t>为贯彻落实中共中央、国务院《关于全面实施预算绩效管理的意见》，切实加强财政支出管理，提高财政资金使用绩效，特开展此项工作。</w:t>
            </w:r>
          </w:p>
          <w:p w14:paraId="7BB846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color w:val="auto"/>
                <w:sz w:val="32"/>
                <w:szCs w:val="40"/>
                <w:highlight w:val="none"/>
                <w:lang w:val="en-US" w:eastAsia="zh-CN"/>
              </w:rPr>
            </w:pPr>
            <w:bookmarkStart w:id="75" w:name="_Toc22727"/>
            <w:bookmarkStart w:id="76" w:name="_Toc8288"/>
            <w:bookmarkStart w:id="77" w:name="_Toc18502"/>
            <w:bookmarkStart w:id="78" w:name="_Toc27346"/>
            <w:bookmarkStart w:id="79" w:name="_Toc27199"/>
            <w:bookmarkStart w:id="80" w:name="_Toc16121"/>
            <w:bookmarkStart w:id="81" w:name="_Toc30351"/>
            <w:bookmarkStart w:id="82" w:name="_Toc3910"/>
            <w:bookmarkStart w:id="83" w:name="_Toc25746"/>
            <w:bookmarkStart w:id="84" w:name="_Toc16971"/>
            <w:r>
              <w:rPr>
                <w:rFonts w:hint="eastAsia" w:ascii="仿宋_GB2312" w:hAnsi="仿宋_GB2312" w:eastAsia="仿宋_GB2312" w:cs="仿宋_GB2312"/>
                <w:color w:val="auto"/>
                <w:sz w:val="32"/>
                <w:szCs w:val="40"/>
                <w:highlight w:val="none"/>
                <w:lang w:val="en-US" w:eastAsia="zh-CN"/>
              </w:rPr>
              <w:t>（二）评价指标</w:t>
            </w:r>
            <w:bookmarkEnd w:id="75"/>
            <w:bookmarkEnd w:id="76"/>
            <w:bookmarkEnd w:id="77"/>
            <w:bookmarkEnd w:id="78"/>
            <w:bookmarkEnd w:id="79"/>
            <w:bookmarkEnd w:id="80"/>
            <w:bookmarkEnd w:id="81"/>
            <w:bookmarkEnd w:id="82"/>
            <w:bookmarkEnd w:id="83"/>
            <w:bookmarkEnd w:id="84"/>
          </w:p>
          <w:p w14:paraId="7966116B">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40"/>
                <w:highlight w:val="none"/>
                <w:lang w:val="en-US" w:eastAsia="zh-CN"/>
              </w:rPr>
            </w:pPr>
            <w:r>
              <w:rPr>
                <w:rFonts w:hint="eastAsia" w:ascii="仿宋" w:hAnsi="仿宋" w:eastAsia="仿宋" w:cs="仿宋"/>
                <w:sz w:val="32"/>
                <w:szCs w:val="32"/>
              </w:rPr>
              <w:t>根据文件要求，评价由产出指标、效果指标、满意度指标</w:t>
            </w:r>
            <w:r>
              <w:rPr>
                <w:rFonts w:hint="eastAsia" w:ascii="仿宋" w:hAnsi="仿宋" w:eastAsia="仿宋" w:cs="仿宋"/>
                <w:sz w:val="32"/>
                <w:szCs w:val="32"/>
                <w:lang w:eastAsia="zh-CN"/>
              </w:rPr>
              <w:t>、</w:t>
            </w:r>
            <w:r>
              <w:rPr>
                <w:rFonts w:hint="eastAsia" w:ascii="仿宋" w:hAnsi="仿宋" w:eastAsia="仿宋" w:cs="仿宋"/>
                <w:sz w:val="32"/>
                <w:szCs w:val="32"/>
              </w:rPr>
              <w:t>预算执行率四个一级指标构成。一级指标下设数量指标、质量指标、时效指标、成本指标、可持续影响指标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满意度</w:t>
            </w:r>
            <w:r>
              <w:rPr>
                <w:rFonts w:hint="eastAsia" w:ascii="仿宋" w:hAnsi="仿宋" w:eastAsia="仿宋" w:cs="仿宋"/>
                <w:sz w:val="32"/>
                <w:szCs w:val="32"/>
              </w:rPr>
              <w:t>、预算执行率八个二级指标。原则上，一级指标权重统一设置为：产出指标50分、效益指标30分、满意度指标10分、预算执行率10分。</w:t>
            </w:r>
          </w:p>
          <w:p w14:paraId="1B5E9BF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color w:val="auto"/>
                <w:sz w:val="32"/>
                <w:szCs w:val="40"/>
                <w:lang w:val="en-US" w:eastAsia="zh-CN"/>
              </w:rPr>
            </w:pPr>
            <w:bookmarkStart w:id="85" w:name="_Toc5304"/>
            <w:bookmarkStart w:id="86" w:name="_Toc23270"/>
            <w:bookmarkStart w:id="87" w:name="_Toc5587"/>
            <w:bookmarkStart w:id="88" w:name="_Toc12572"/>
            <w:bookmarkStart w:id="89" w:name="_Toc19154"/>
            <w:bookmarkStart w:id="90" w:name="_Toc32241"/>
            <w:bookmarkStart w:id="91" w:name="_Toc11684"/>
            <w:bookmarkStart w:id="92" w:name="_Toc25343"/>
            <w:bookmarkStart w:id="93" w:name="_Toc32306"/>
            <w:bookmarkStart w:id="94" w:name="_Toc19068"/>
            <w:r>
              <w:rPr>
                <w:rFonts w:hint="eastAsia" w:ascii="仿宋_GB2312" w:hAnsi="仿宋_GB2312" w:eastAsia="仿宋_GB2312" w:cs="仿宋_GB2312"/>
                <w:color w:val="auto"/>
                <w:sz w:val="32"/>
                <w:szCs w:val="40"/>
                <w:lang w:val="en-US" w:eastAsia="zh-CN"/>
              </w:rPr>
              <w:t>（三）评价依据</w:t>
            </w:r>
            <w:bookmarkEnd w:id="85"/>
            <w:bookmarkEnd w:id="86"/>
            <w:bookmarkEnd w:id="87"/>
            <w:bookmarkEnd w:id="88"/>
            <w:bookmarkEnd w:id="89"/>
            <w:bookmarkEnd w:id="90"/>
            <w:bookmarkEnd w:id="91"/>
            <w:bookmarkEnd w:id="92"/>
            <w:bookmarkEnd w:id="93"/>
            <w:bookmarkEnd w:id="94"/>
          </w:p>
          <w:p w14:paraId="5E4F3AB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color w:val="auto"/>
                <w:sz w:val="32"/>
                <w:szCs w:val="40"/>
                <w:lang w:val="en-US" w:eastAsia="zh-CN"/>
              </w:rPr>
            </w:pPr>
            <w:r>
              <w:rPr>
                <w:rFonts w:hint="eastAsia" w:ascii="仿宋" w:hAnsi="仿宋" w:eastAsia="仿宋" w:cs="仿宋"/>
                <w:sz w:val="32"/>
                <w:szCs w:val="32"/>
                <w:lang w:val="en-US" w:eastAsia="zh-CN"/>
              </w:rPr>
              <w:t>通过对绩效目标与实施效果、历史支出与当期支出的比较，综合分析绩效目标实现程度，依据下达的预算，对照实际完成内容，评价实际实施与批复预算的完成情况；依据相关政策文件和凭证，评价项目资金下拨、到位及使用情况；将项目绩效目标与实施结果对比分析，判断项目目标的实现情况；将项目预期效益与实施效果数据对比分析，结合开展文件调查，评价绩效目标实现程度。</w:t>
            </w:r>
          </w:p>
          <w:p w14:paraId="73E3FC3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eastAsia" w:ascii="仿宋_GB2312" w:hAnsi="仿宋_GB2312" w:eastAsia="仿宋_GB2312" w:cs="仿宋_GB2312"/>
                <w:color w:val="auto"/>
                <w:sz w:val="32"/>
                <w:szCs w:val="40"/>
                <w:lang w:val="en-US" w:eastAsia="zh-CN"/>
              </w:rPr>
            </w:pPr>
            <w:bookmarkStart w:id="95" w:name="_Toc9401"/>
            <w:bookmarkStart w:id="96" w:name="_Toc6747"/>
            <w:bookmarkStart w:id="97" w:name="_Toc26780"/>
            <w:bookmarkStart w:id="98" w:name="_Toc1868"/>
            <w:bookmarkStart w:id="99" w:name="_Toc24302"/>
            <w:bookmarkStart w:id="100" w:name="_Toc7393"/>
            <w:bookmarkStart w:id="101" w:name="_Toc11243"/>
            <w:bookmarkStart w:id="102" w:name="_Toc22038"/>
            <w:bookmarkStart w:id="103" w:name="_Toc12940"/>
            <w:bookmarkStart w:id="104" w:name="_Toc13179"/>
            <w:r>
              <w:rPr>
                <w:rFonts w:hint="eastAsia" w:ascii="仿宋_GB2312" w:hAnsi="仿宋_GB2312" w:eastAsia="仿宋_GB2312" w:cs="仿宋_GB2312"/>
                <w:color w:val="auto"/>
                <w:sz w:val="32"/>
                <w:szCs w:val="40"/>
                <w:lang w:val="en-US" w:eastAsia="zh-CN"/>
              </w:rPr>
              <w:t>（四）评价的主要方法及等级设定</w:t>
            </w:r>
            <w:bookmarkEnd w:id="95"/>
            <w:bookmarkEnd w:id="96"/>
            <w:bookmarkEnd w:id="97"/>
            <w:bookmarkEnd w:id="98"/>
            <w:bookmarkEnd w:id="99"/>
            <w:bookmarkEnd w:id="100"/>
            <w:bookmarkEnd w:id="101"/>
            <w:bookmarkEnd w:id="102"/>
            <w:bookmarkEnd w:id="103"/>
            <w:bookmarkEnd w:id="104"/>
          </w:p>
          <w:p w14:paraId="0A6AB0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40"/>
                <w:lang w:val="en-US" w:eastAsia="zh-CN"/>
              </w:rPr>
            </w:pPr>
            <w:r>
              <w:rPr>
                <w:rFonts w:hint="eastAsia" w:ascii="仿宋" w:hAnsi="仿宋" w:eastAsia="仿宋" w:cs="仿宋"/>
                <w:sz w:val="32"/>
                <w:szCs w:val="32"/>
                <w:lang w:val="en-US" w:eastAsia="zh-CN"/>
              </w:rPr>
              <w:t>绩效评级标准：主要针对项目完成情况按照百分比计算得分。绩效评价按照百分制，各项指标依据权重确定分值，根据评价情况对各项指标进行打分，最终得分由各项评价指标加总。</w:t>
            </w:r>
          </w:p>
          <w:p w14:paraId="10C0160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outlineLvl w:val="0"/>
              <w:rPr>
                <w:rFonts w:hint="eastAsia" w:ascii="仿宋_GB2312" w:hAnsi="仿宋_GB2312" w:eastAsia="仿宋_GB2312" w:cs="仿宋_GB2312"/>
                <w:b/>
                <w:bCs/>
                <w:color w:val="auto"/>
                <w:sz w:val="32"/>
                <w:szCs w:val="40"/>
                <w:lang w:val="en-US" w:eastAsia="zh-CN"/>
              </w:rPr>
            </w:pPr>
          </w:p>
          <w:p w14:paraId="1FBEA8C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outlineLvl w:val="0"/>
              <w:rPr>
                <w:rFonts w:hint="eastAsia" w:ascii="仿宋_GB2312" w:hAnsi="仿宋_GB2312" w:eastAsia="仿宋_GB2312" w:cs="仿宋_GB2312"/>
                <w:b/>
                <w:bCs/>
                <w:color w:val="auto"/>
                <w:sz w:val="32"/>
                <w:szCs w:val="40"/>
                <w:lang w:val="en-US" w:eastAsia="zh-CN"/>
              </w:rPr>
            </w:pPr>
          </w:p>
          <w:p w14:paraId="3F3FE07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outlineLvl w:val="0"/>
              <w:rPr>
                <w:rFonts w:hint="eastAsia" w:ascii="仿宋_GB2312" w:hAnsi="仿宋_GB2312" w:eastAsia="仿宋_GB2312" w:cs="仿宋_GB2312"/>
                <w:lang w:val="en-US" w:eastAsia="zh-CN"/>
              </w:rPr>
            </w:pPr>
            <w:r>
              <w:rPr>
                <w:rFonts w:hint="eastAsia" w:ascii="仿宋_GB2312" w:hAnsi="仿宋_GB2312" w:eastAsia="仿宋_GB2312" w:cs="仿宋_GB2312"/>
                <w:b/>
                <w:bCs/>
                <w:color w:val="auto"/>
                <w:sz w:val="32"/>
                <w:szCs w:val="40"/>
                <w:lang w:val="en-US" w:eastAsia="zh-CN"/>
              </w:rPr>
              <w:t>四、绩效评价指标体系及得分情况</w:t>
            </w:r>
            <w:bookmarkEnd w:id="25"/>
            <w:bookmarkEnd w:id="26"/>
            <w:bookmarkEnd w:id="27"/>
            <w:bookmarkEnd w:id="28"/>
            <w:bookmarkEnd w:id="29"/>
            <w:bookmarkEnd w:id="30"/>
            <w:bookmarkEnd w:id="31"/>
            <w:bookmarkEnd w:id="32"/>
            <w:bookmarkEnd w:id="33"/>
            <w:bookmarkEnd w:id="34"/>
          </w:p>
          <w:p w14:paraId="77AFBE4C">
            <w:pPr>
              <w:pStyle w:val="2"/>
              <w:spacing w:line="240" w:lineRule="auto"/>
              <w:ind w:left="0" w:leftChars="0" w:firstLine="0" w:firstLineChars="0"/>
              <w:jc w:val="center"/>
              <w:rPr>
                <w:rFonts w:hint="eastAsia"/>
              </w:rPr>
            </w:pPr>
            <w:r>
              <w:rPr>
                <w:rFonts w:hint="eastAsia"/>
              </w:rPr>
              <w:drawing>
                <wp:inline distT="0" distB="0" distL="114300" distR="114300">
                  <wp:extent cx="5269865" cy="4315460"/>
                  <wp:effectExtent l="0" t="0" r="3175" b="12700"/>
                  <wp:docPr id="29" name="图片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
                          <pic:cNvPicPr>
                            <a:picLocks noChangeAspect="1"/>
                          </pic:cNvPicPr>
                        </pic:nvPicPr>
                        <pic:blipFill>
                          <a:blip r:embed="rId5"/>
                          <a:stretch>
                            <a:fillRect/>
                          </a:stretch>
                        </pic:blipFill>
                        <pic:spPr>
                          <a:xfrm>
                            <a:off x="0" y="0"/>
                            <a:ext cx="5269865" cy="4315460"/>
                          </a:xfrm>
                          <a:prstGeom prst="rect">
                            <a:avLst/>
                          </a:prstGeom>
                        </pic:spPr>
                      </pic:pic>
                    </a:graphicData>
                  </a:graphic>
                </wp:inline>
              </w:drawing>
            </w:r>
            <w:r>
              <w:rPr>
                <w:rFonts w:hint="eastAsia"/>
              </w:rPr>
              <w:drawing>
                <wp:inline distT="0" distB="0" distL="114300" distR="114300">
                  <wp:extent cx="5267325" cy="1509395"/>
                  <wp:effectExtent l="0" t="0" r="5715" b="14605"/>
                  <wp:docPr id="28" name="图片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
                          <pic:cNvPicPr>
                            <a:picLocks noChangeAspect="1"/>
                          </pic:cNvPicPr>
                        </pic:nvPicPr>
                        <pic:blipFill>
                          <a:blip r:embed="rId6"/>
                          <a:stretch>
                            <a:fillRect/>
                          </a:stretch>
                        </pic:blipFill>
                        <pic:spPr>
                          <a:xfrm>
                            <a:off x="0" y="0"/>
                            <a:ext cx="5267325" cy="1509395"/>
                          </a:xfrm>
                          <a:prstGeom prst="rect">
                            <a:avLst/>
                          </a:prstGeom>
                        </pic:spPr>
                      </pic:pic>
                    </a:graphicData>
                  </a:graphic>
                </wp:inline>
              </w:drawing>
            </w:r>
          </w:p>
        </w:tc>
      </w:tr>
      <w:tr w14:paraId="25FBC70B">
        <w:tblPrEx>
          <w:tblCellMar>
            <w:top w:w="0" w:type="dxa"/>
            <w:left w:w="0" w:type="dxa"/>
            <w:bottom w:w="0" w:type="dxa"/>
            <w:right w:w="0" w:type="dxa"/>
          </w:tblCellMar>
        </w:tblPrEx>
        <w:trPr>
          <w:trHeight w:val="660" w:hRule="atLeast"/>
        </w:trPr>
        <w:tc>
          <w:tcPr>
            <w:tcW w:w="8330" w:type="dxa"/>
            <w:gridSpan w:val="6"/>
            <w:tcBorders>
              <w:top w:val="nil"/>
              <w:left w:val="nil"/>
              <w:bottom w:val="single" w:color="000000" w:sz="4" w:space="0"/>
              <w:right w:val="nil"/>
            </w:tcBorders>
            <w:noWrap w:val="0"/>
            <w:tcMar>
              <w:top w:w="12" w:type="dxa"/>
              <w:left w:w="12" w:type="dxa"/>
              <w:right w:w="12" w:type="dxa"/>
            </w:tcMar>
            <w:vAlign w:val="center"/>
          </w:tcPr>
          <w:p w14:paraId="0E11F965">
            <w:pPr>
              <w:pStyle w:val="2"/>
              <w:spacing w:line="240" w:lineRule="auto"/>
              <w:ind w:left="0" w:leftChars="0" w:firstLine="0" w:firstLineChars="0"/>
              <w:rPr>
                <w:rFonts w:hint="eastAsia"/>
              </w:rPr>
            </w:pPr>
            <w:bookmarkStart w:id="105" w:name="_Toc2634_WPSOffice_Level1"/>
          </w:p>
          <w:p w14:paraId="1F287FC5">
            <w:pPr>
              <w:rPr>
                <w:rFonts w:hint="eastAsia"/>
              </w:rPr>
            </w:pPr>
          </w:p>
          <w:p w14:paraId="0E9C5B91">
            <w:pPr>
              <w:widowControl/>
              <w:spacing w:line="240" w:lineRule="auto"/>
              <w:jc w:val="center"/>
              <w:textAlignment w:val="center"/>
              <w:rPr>
                <w:rFonts w:hint="eastAsia" w:ascii="仿宋_GB2312" w:hAnsi="仿宋_GB2312" w:eastAsia="仿宋_GB2312" w:cs="仿宋_GB2312"/>
                <w:b/>
                <w:color w:val="000000"/>
                <w:kern w:val="0"/>
                <w:sz w:val="28"/>
                <w:szCs w:val="28"/>
                <w:u w:val="none"/>
                <w:lang w:val="en-US" w:eastAsia="zh-CN" w:bidi="ar"/>
              </w:rPr>
            </w:pPr>
          </w:p>
          <w:p w14:paraId="12A9DEC1">
            <w:pPr>
              <w:widowControl/>
              <w:spacing w:line="240" w:lineRule="auto"/>
              <w:jc w:val="center"/>
              <w:textAlignment w:val="center"/>
              <w:rPr>
                <w:rFonts w:hint="eastAsia" w:ascii="仿宋_GB2312" w:hAnsi="仿宋_GB2312" w:eastAsia="仿宋_GB2312" w:cs="仿宋_GB2312"/>
                <w:b/>
                <w:color w:val="000000"/>
                <w:kern w:val="0"/>
                <w:sz w:val="28"/>
                <w:szCs w:val="28"/>
                <w:u w:val="none"/>
                <w:lang w:val="en-US" w:eastAsia="zh-CN" w:bidi="ar"/>
              </w:rPr>
            </w:pPr>
          </w:p>
          <w:p w14:paraId="117620C0">
            <w:pPr>
              <w:widowControl/>
              <w:spacing w:line="240" w:lineRule="auto"/>
              <w:jc w:val="center"/>
              <w:textAlignment w:val="center"/>
              <w:rPr>
                <w:rFonts w:hint="eastAsia" w:ascii="仿宋_GB2312" w:hAnsi="仿宋_GB2312" w:eastAsia="仿宋_GB2312" w:cs="仿宋_GB2312"/>
                <w:b/>
                <w:color w:val="000000"/>
                <w:kern w:val="0"/>
                <w:sz w:val="28"/>
                <w:szCs w:val="28"/>
                <w:u w:val="none"/>
                <w:lang w:val="en-US" w:eastAsia="zh-CN" w:bidi="ar"/>
              </w:rPr>
            </w:pPr>
            <w:r>
              <w:rPr>
                <w:rFonts w:hint="eastAsia" w:ascii="仿宋_GB2312" w:hAnsi="仿宋_GB2312" w:eastAsia="仿宋_GB2312" w:cs="仿宋_GB2312"/>
                <w:b/>
                <w:color w:val="000000"/>
                <w:kern w:val="0"/>
                <w:sz w:val="28"/>
                <w:szCs w:val="28"/>
                <w:u w:val="none"/>
                <w:lang w:val="en-US" w:eastAsia="zh-CN" w:bidi="ar"/>
              </w:rPr>
              <w:t>县直单位及各乡镇工会经费</w:t>
            </w:r>
          </w:p>
          <w:p w14:paraId="6F0F1538">
            <w:pPr>
              <w:pStyle w:val="2"/>
              <w:jc w:val="center"/>
              <w:rPr>
                <w:rFonts w:hint="eastAsia"/>
              </w:rPr>
            </w:pPr>
            <w:r>
              <w:rPr>
                <w:rFonts w:hint="eastAsia" w:ascii="仿宋_GB2312" w:hAnsi="仿宋_GB2312" w:eastAsia="仿宋_GB2312" w:cs="仿宋_GB2312"/>
                <w:b/>
                <w:i w:val="0"/>
                <w:color w:val="000000"/>
                <w:kern w:val="0"/>
                <w:sz w:val="28"/>
                <w:szCs w:val="28"/>
                <w:u w:val="none"/>
                <w:lang w:val="en-US" w:eastAsia="zh-CN" w:bidi="ar"/>
              </w:rPr>
              <w:t>项目重点绩</w:t>
            </w:r>
            <w:bookmarkStart w:id="106" w:name="_GoBack"/>
            <w:bookmarkEnd w:id="106"/>
            <w:r>
              <w:rPr>
                <w:rFonts w:hint="eastAsia" w:ascii="仿宋_GB2312" w:hAnsi="仿宋_GB2312" w:eastAsia="仿宋_GB2312" w:cs="仿宋_GB2312"/>
                <w:b/>
                <w:i w:val="0"/>
                <w:color w:val="000000"/>
                <w:kern w:val="0"/>
                <w:sz w:val="28"/>
                <w:szCs w:val="28"/>
                <w:u w:val="none"/>
                <w:lang w:val="en-US" w:eastAsia="zh-CN" w:bidi="ar"/>
              </w:rPr>
              <w:t>效自评指标表</w:t>
            </w:r>
          </w:p>
          <w:p w14:paraId="67C3439B">
            <w:pPr>
              <w:rPr>
                <w:rFonts w:hint="eastAsia"/>
              </w:rPr>
            </w:pPr>
          </w:p>
        </w:tc>
      </w:tr>
      <w:tr w14:paraId="4F3C3025">
        <w:tblPrEx>
          <w:tblCellMar>
            <w:top w:w="0" w:type="dxa"/>
            <w:left w:w="0" w:type="dxa"/>
            <w:bottom w:w="0" w:type="dxa"/>
            <w:right w:w="0" w:type="dxa"/>
          </w:tblCellMar>
        </w:tblPrEx>
        <w:trPr>
          <w:trHeight w:val="585" w:hRule="atLeast"/>
        </w:trPr>
        <w:tc>
          <w:tcPr>
            <w:tcW w:w="958" w:type="dxa"/>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14:paraId="10CDC874">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 xml:space="preserve">一级指标  </w:t>
            </w:r>
          </w:p>
        </w:tc>
        <w:tc>
          <w:tcPr>
            <w:tcW w:w="6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BDD50E">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二级指标</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42C7D2">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 xml:space="preserve"> 三级指标</w:t>
            </w:r>
          </w:p>
        </w:tc>
        <w:tc>
          <w:tcPr>
            <w:tcW w:w="545" w:type="dxa"/>
            <w:vMerge w:val="restart"/>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08F035C8">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分值</w:t>
            </w:r>
          </w:p>
        </w:tc>
        <w:tc>
          <w:tcPr>
            <w:tcW w:w="355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6BC4C">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指标说明</w:t>
            </w:r>
          </w:p>
        </w:tc>
        <w:tc>
          <w:tcPr>
            <w:tcW w:w="51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BFCCFD">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得分</w:t>
            </w:r>
          </w:p>
        </w:tc>
      </w:tr>
      <w:tr w14:paraId="344164DD">
        <w:tblPrEx>
          <w:tblCellMar>
            <w:top w:w="0" w:type="dxa"/>
            <w:left w:w="0" w:type="dxa"/>
            <w:bottom w:w="0" w:type="dxa"/>
            <w:right w:w="0" w:type="dxa"/>
          </w:tblCellMar>
        </w:tblPrEx>
        <w:trPr>
          <w:trHeight w:val="345" w:hRule="atLeast"/>
        </w:trPr>
        <w:tc>
          <w:tcPr>
            <w:tcW w:w="95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76E93C">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6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3F6777">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C5E40B">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名称</w:t>
            </w:r>
          </w:p>
        </w:tc>
        <w:tc>
          <w:tcPr>
            <w:tcW w:w="545" w:type="dxa"/>
            <w:vMerge w:val="continue"/>
            <w:tcBorders>
              <w:top w:val="single" w:color="000000" w:sz="4" w:space="0"/>
              <w:left w:val="nil"/>
              <w:bottom w:val="single" w:color="000000" w:sz="4" w:space="0"/>
              <w:right w:val="single" w:color="000000" w:sz="4" w:space="0"/>
            </w:tcBorders>
            <w:noWrap w:val="0"/>
            <w:tcMar>
              <w:top w:w="12" w:type="dxa"/>
              <w:left w:w="12" w:type="dxa"/>
              <w:right w:w="12" w:type="dxa"/>
            </w:tcMar>
            <w:vAlign w:val="center"/>
          </w:tcPr>
          <w:p w14:paraId="45D2AD99">
            <w:pPr>
              <w:jc w:val="center"/>
              <w:rPr>
                <w:rFonts w:hint="eastAsia" w:ascii="仿宋_GB2312" w:hAnsi="仿宋_GB2312" w:eastAsia="仿宋_GB2312" w:cs="仿宋_GB2312"/>
                <w:b/>
                <w:i w:val="0"/>
                <w:color w:val="000000"/>
                <w:sz w:val="24"/>
                <w:szCs w:val="24"/>
                <w:u w:val="none"/>
              </w:rPr>
            </w:pPr>
          </w:p>
        </w:tc>
        <w:tc>
          <w:tcPr>
            <w:tcW w:w="355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F017FB">
            <w:pPr>
              <w:jc w:val="center"/>
              <w:rPr>
                <w:rFonts w:hint="eastAsia" w:ascii="仿宋_GB2312" w:hAnsi="仿宋_GB2312" w:eastAsia="仿宋_GB2312" w:cs="仿宋_GB2312"/>
                <w:b/>
                <w:i w:val="0"/>
                <w:color w:val="000000"/>
                <w:sz w:val="24"/>
                <w:szCs w:val="24"/>
                <w:u w:val="none"/>
              </w:rPr>
            </w:pPr>
          </w:p>
        </w:tc>
        <w:tc>
          <w:tcPr>
            <w:tcW w:w="51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662741">
            <w:pPr>
              <w:jc w:val="center"/>
              <w:rPr>
                <w:rFonts w:hint="eastAsia" w:ascii="仿宋_GB2312" w:hAnsi="仿宋_GB2312" w:eastAsia="仿宋_GB2312" w:cs="仿宋_GB2312"/>
                <w:b/>
                <w:i w:val="0"/>
                <w:color w:val="000000"/>
                <w:sz w:val="24"/>
                <w:szCs w:val="24"/>
                <w:u w:val="none"/>
              </w:rPr>
            </w:pPr>
          </w:p>
        </w:tc>
      </w:tr>
      <w:tr w14:paraId="2CF1E19E">
        <w:tblPrEx>
          <w:tblCellMar>
            <w:top w:w="0" w:type="dxa"/>
            <w:left w:w="0" w:type="dxa"/>
            <w:bottom w:w="0" w:type="dxa"/>
            <w:right w:w="0" w:type="dxa"/>
          </w:tblCellMar>
        </w:tblPrEx>
        <w:trPr>
          <w:trHeight w:val="660" w:hRule="atLeast"/>
        </w:trPr>
        <w:tc>
          <w:tcPr>
            <w:tcW w:w="95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DA952">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“工作活动”设置（20分）</w:t>
            </w:r>
          </w:p>
        </w:tc>
        <w:tc>
          <w:tcPr>
            <w:tcW w:w="6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8BC59A">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项目立项情况</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24917B">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是否符合市政府经济和社会总体发展规划</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DCDF1">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AF2B68">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有市政府相关政策、规划、任务等文件得*分；无不得分。</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CDB2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5 </w:t>
            </w:r>
          </w:p>
        </w:tc>
      </w:tr>
      <w:tr w14:paraId="05C7837D">
        <w:tblPrEx>
          <w:tblCellMar>
            <w:top w:w="0" w:type="dxa"/>
            <w:left w:w="0" w:type="dxa"/>
            <w:bottom w:w="0" w:type="dxa"/>
            <w:right w:w="0" w:type="dxa"/>
          </w:tblCellMar>
        </w:tblPrEx>
        <w:trPr>
          <w:trHeight w:val="1164" w:hRule="atLeast"/>
        </w:trPr>
        <w:tc>
          <w:tcPr>
            <w:tcW w:w="95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43F0B">
            <w:pPr>
              <w:jc w:val="center"/>
              <w:rPr>
                <w:rFonts w:hint="eastAsia" w:ascii="仿宋_GB2312" w:hAnsi="仿宋_GB2312" w:eastAsia="仿宋_GB2312" w:cs="仿宋_GB2312"/>
                <w:i w:val="0"/>
                <w:color w:val="000000"/>
                <w:sz w:val="22"/>
                <w:szCs w:val="22"/>
                <w:u w:val="none"/>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0EE2C">
            <w:pPr>
              <w:jc w:val="center"/>
              <w:rPr>
                <w:rFonts w:hint="eastAsia" w:ascii="仿宋_GB2312" w:hAnsi="仿宋_GB2312" w:eastAsia="仿宋_GB2312" w:cs="仿宋_GB2312"/>
                <w:i w:val="0"/>
                <w:color w:val="000000"/>
                <w:sz w:val="22"/>
                <w:szCs w:val="22"/>
                <w:u w:val="none"/>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3CFFE0">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项目活动与职责相关性</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5F1D7D">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8C064">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工作活动与部门职责、工作规划和重点工作相关，工作活动项下确定的预算项目合理，与工作活动密切相关，工作活动和项目预算安排合理，得*分；否则不得分。</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12FF6">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5 </w:t>
            </w:r>
          </w:p>
        </w:tc>
      </w:tr>
      <w:tr w14:paraId="19424023">
        <w:tblPrEx>
          <w:tblCellMar>
            <w:top w:w="0" w:type="dxa"/>
            <w:left w:w="0" w:type="dxa"/>
            <w:bottom w:w="0" w:type="dxa"/>
            <w:right w:w="0" w:type="dxa"/>
          </w:tblCellMar>
        </w:tblPrEx>
        <w:trPr>
          <w:trHeight w:val="564" w:hRule="atLeast"/>
        </w:trPr>
        <w:tc>
          <w:tcPr>
            <w:tcW w:w="95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CCE7B3">
            <w:pPr>
              <w:jc w:val="center"/>
              <w:rPr>
                <w:rFonts w:hint="eastAsia" w:ascii="仿宋_GB2312" w:hAnsi="仿宋_GB2312" w:eastAsia="仿宋_GB2312" w:cs="仿宋_GB2312"/>
                <w:i w:val="0"/>
                <w:color w:val="000000"/>
                <w:sz w:val="22"/>
                <w:szCs w:val="22"/>
                <w:u w:val="none"/>
              </w:rPr>
            </w:pPr>
          </w:p>
        </w:tc>
        <w:tc>
          <w:tcPr>
            <w:tcW w:w="6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B5695F">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绩效自评情况</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E42D6A">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项目设立绩效目标合理性</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163C67">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615676">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①是否将项目绩效目标细化分解为具体的绩效指标；</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②是否通过清晰、可衡量的指标值予以体现；</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③是否与项目年度任务数或计划数相对应；</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④是否与预算确定的项目投资额或资金量相匹配。</w:t>
            </w:r>
            <w:r>
              <w:rPr>
                <w:rFonts w:hint="eastAsia" w:ascii="仿宋_GB2312" w:hAnsi="仿宋_GB2312" w:eastAsia="仿宋_GB2312" w:cs="仿宋_GB2312"/>
                <w:i w:val="0"/>
                <w:color w:val="000000"/>
                <w:kern w:val="0"/>
                <w:sz w:val="22"/>
                <w:szCs w:val="22"/>
                <w:u w:val="none"/>
                <w:lang w:val="en-US" w:eastAsia="zh-CN" w:bidi="ar"/>
              </w:rPr>
              <w:br w:type="textWrapping"/>
            </w:r>
            <w:r>
              <w:rPr>
                <w:rFonts w:hint="eastAsia" w:ascii="仿宋_GB2312" w:hAnsi="仿宋_GB2312" w:eastAsia="仿宋_GB2312" w:cs="仿宋_GB2312"/>
                <w:i w:val="0"/>
                <w:color w:val="000000"/>
                <w:kern w:val="0"/>
                <w:sz w:val="22"/>
                <w:szCs w:val="22"/>
                <w:u w:val="none"/>
                <w:lang w:val="en-US" w:eastAsia="zh-CN" w:bidi="ar"/>
              </w:rPr>
              <w:t>缺少一项扣*分,扣完为止。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1932F6">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5 </w:t>
            </w:r>
          </w:p>
        </w:tc>
      </w:tr>
      <w:tr w14:paraId="2081E49B">
        <w:tblPrEx>
          <w:tblCellMar>
            <w:top w:w="0" w:type="dxa"/>
            <w:left w:w="0" w:type="dxa"/>
            <w:bottom w:w="0" w:type="dxa"/>
            <w:right w:w="0" w:type="dxa"/>
          </w:tblCellMar>
        </w:tblPrEx>
        <w:trPr>
          <w:trHeight w:val="1460" w:hRule="atLeast"/>
        </w:trPr>
        <w:tc>
          <w:tcPr>
            <w:tcW w:w="95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7283E3">
            <w:pPr>
              <w:jc w:val="center"/>
              <w:rPr>
                <w:rFonts w:hint="eastAsia" w:ascii="仿宋_GB2312" w:hAnsi="仿宋_GB2312" w:eastAsia="仿宋_GB2312" w:cs="仿宋_GB2312"/>
                <w:i w:val="0"/>
                <w:color w:val="000000"/>
                <w:sz w:val="22"/>
                <w:szCs w:val="22"/>
                <w:u w:val="none"/>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2E99EE">
            <w:pPr>
              <w:jc w:val="center"/>
              <w:rPr>
                <w:rFonts w:hint="eastAsia" w:ascii="仿宋_GB2312" w:hAnsi="仿宋_GB2312" w:eastAsia="仿宋_GB2312" w:cs="仿宋_GB2312"/>
                <w:i w:val="0"/>
                <w:color w:val="000000"/>
                <w:sz w:val="22"/>
                <w:szCs w:val="22"/>
                <w:u w:val="none"/>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5BEB9E">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自评报告情况</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E16B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490BDD">
            <w:pPr>
              <w:keepNext w:val="0"/>
              <w:keepLines w:val="0"/>
              <w:widowControl/>
              <w:suppressLineNumbers w:val="0"/>
              <w:jc w:val="both"/>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是否有绩效评价报告，报告是否依据充分、内容真实完整；数据准确、分析透彻。每存在一项问题扣*分，扣完为止。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7D4A6D">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5 </w:t>
            </w:r>
          </w:p>
        </w:tc>
      </w:tr>
      <w:tr w14:paraId="569E2260">
        <w:tblPrEx>
          <w:tblCellMar>
            <w:top w:w="0" w:type="dxa"/>
            <w:left w:w="0" w:type="dxa"/>
            <w:bottom w:w="0" w:type="dxa"/>
            <w:right w:w="0" w:type="dxa"/>
          </w:tblCellMar>
        </w:tblPrEx>
        <w:trPr>
          <w:trHeight w:val="1020" w:hRule="atLeast"/>
        </w:trPr>
        <w:tc>
          <w:tcPr>
            <w:tcW w:w="95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F61F5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“工作活动”管理（20分）</w:t>
            </w:r>
          </w:p>
        </w:tc>
        <w:tc>
          <w:tcPr>
            <w:tcW w:w="6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1D8F74">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资金管理</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9D85EA">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预算调整率</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2B7A92">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0745C">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预算调整率=（预算调整数/预算数）×100%。预算调整率每大于1%扣*分，扣完为止。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29BCFB">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r>
      <w:tr w14:paraId="545E538D">
        <w:tblPrEx>
          <w:tblCellMar>
            <w:top w:w="0" w:type="dxa"/>
            <w:left w:w="0" w:type="dxa"/>
            <w:bottom w:w="0" w:type="dxa"/>
            <w:right w:w="0" w:type="dxa"/>
          </w:tblCellMar>
        </w:tblPrEx>
        <w:trPr>
          <w:trHeight w:val="1020" w:hRule="atLeast"/>
        </w:trPr>
        <w:tc>
          <w:tcPr>
            <w:tcW w:w="958" w:type="dxa"/>
            <w:vMerge w:val="continue"/>
            <w:tcBorders>
              <w:top w:val="single" w:color="000000" w:sz="4" w:space="0"/>
              <w:left w:val="single" w:color="000000" w:sz="4" w:space="0"/>
              <w:bottom w:val="nil"/>
              <w:right w:val="single" w:color="000000" w:sz="4" w:space="0"/>
            </w:tcBorders>
            <w:shd w:val="clear" w:color="auto" w:fill="auto"/>
            <w:noWrap w:val="0"/>
            <w:tcMar>
              <w:top w:w="12" w:type="dxa"/>
              <w:left w:w="12" w:type="dxa"/>
              <w:right w:w="12" w:type="dxa"/>
            </w:tcMar>
            <w:vAlign w:val="center"/>
          </w:tcPr>
          <w:p w14:paraId="79CD7233">
            <w:pPr>
              <w:jc w:val="center"/>
              <w:rPr>
                <w:rFonts w:hint="eastAsia" w:ascii="仿宋_GB2312" w:hAnsi="仿宋_GB2312" w:eastAsia="仿宋_GB2312" w:cs="仿宋_GB2312"/>
                <w:i w:val="0"/>
                <w:color w:val="000000"/>
                <w:sz w:val="22"/>
                <w:szCs w:val="22"/>
                <w:u w:val="none"/>
              </w:rPr>
            </w:pPr>
          </w:p>
        </w:tc>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23C117E">
            <w:pPr>
              <w:jc w:val="center"/>
              <w:rPr>
                <w:rFonts w:hint="eastAsia" w:ascii="仿宋_GB2312" w:hAnsi="仿宋_GB2312" w:eastAsia="仿宋_GB2312" w:cs="仿宋_GB2312"/>
                <w:i w:val="0"/>
                <w:color w:val="000000"/>
                <w:sz w:val="22"/>
                <w:szCs w:val="22"/>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1033B6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资金使用合规性</w:t>
            </w:r>
          </w:p>
        </w:tc>
        <w:tc>
          <w:tcPr>
            <w:tcW w:w="545" w:type="dxa"/>
            <w:tcBorders>
              <w:top w:val="single" w:color="000000" w:sz="4" w:space="0"/>
              <w:left w:val="single" w:color="000000" w:sz="4" w:space="0"/>
              <w:bottom w:val="single" w:color="000000" w:sz="4" w:space="0"/>
              <w:right w:val="single" w:color="000000" w:sz="4" w:space="0"/>
            </w:tcBorders>
            <w:shd w:val="clear" w:color="auto" w:fill="auto"/>
            <w:noWrap w:val="0"/>
            <w:tcMar>
              <w:top w:w="12" w:type="dxa"/>
              <w:left w:w="12" w:type="dxa"/>
              <w:right w:w="12" w:type="dxa"/>
            </w:tcMar>
            <w:vAlign w:val="center"/>
          </w:tcPr>
          <w:p w14:paraId="659470A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c>
          <w:tcPr>
            <w:tcW w:w="3557" w:type="dxa"/>
            <w:tcBorders>
              <w:top w:val="single" w:color="000000" w:sz="4" w:space="0"/>
              <w:left w:val="single" w:color="000000" w:sz="4" w:space="0"/>
              <w:bottom w:val="single" w:color="000000" w:sz="4" w:space="0"/>
              <w:right w:val="single" w:color="000000" w:sz="4" w:space="0"/>
            </w:tcBorders>
            <w:shd w:val="clear" w:color="auto" w:fill="FFFFFF"/>
            <w:noWrap w:val="0"/>
            <w:tcMar>
              <w:top w:w="12" w:type="dxa"/>
              <w:left w:w="12" w:type="dxa"/>
              <w:right w:w="12" w:type="dxa"/>
            </w:tcMar>
            <w:vAlign w:val="center"/>
          </w:tcPr>
          <w:p w14:paraId="3127CA99">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项目资金使用是否符合国家财经法规及相关的财务管理制度规定，资金支出程序是否规范,报账手续是否齐全。每存在一项不合规问题扣*分，扣完为止。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7C2F64">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r>
      <w:tr w14:paraId="2DA5EAC3">
        <w:tblPrEx>
          <w:tblCellMar>
            <w:top w:w="0" w:type="dxa"/>
            <w:left w:w="0" w:type="dxa"/>
            <w:bottom w:w="0" w:type="dxa"/>
            <w:right w:w="0" w:type="dxa"/>
          </w:tblCellMar>
        </w:tblPrEx>
        <w:trPr>
          <w:trHeight w:val="1220" w:hRule="atLeast"/>
        </w:trPr>
        <w:tc>
          <w:tcPr>
            <w:tcW w:w="958" w:type="dxa"/>
            <w:vMerge w:val="continue"/>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A4D91A3">
            <w:pPr>
              <w:jc w:val="center"/>
              <w:rPr>
                <w:rFonts w:hint="eastAsia" w:ascii="仿宋_GB2312" w:hAnsi="仿宋_GB2312" w:eastAsia="仿宋_GB2312" w:cs="仿宋_GB2312"/>
                <w:i w:val="0"/>
                <w:color w:val="000000"/>
                <w:sz w:val="22"/>
                <w:szCs w:val="22"/>
                <w:u w:val="none"/>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957C66">
            <w:pPr>
              <w:jc w:val="center"/>
              <w:rPr>
                <w:rFonts w:hint="eastAsia" w:ascii="仿宋_GB2312" w:hAnsi="仿宋_GB2312" w:eastAsia="仿宋_GB2312" w:cs="仿宋_GB2312"/>
                <w:i w:val="0"/>
                <w:color w:val="000000"/>
                <w:sz w:val="22"/>
                <w:szCs w:val="22"/>
                <w:u w:val="none"/>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F79480">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会计核算规范性</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D7C3B1">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A08343">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会计核算是否符合《中华人民共和国会计法》、《政府会计制度》、《会计基础工作规范》等法律法规和相关制度规定。每存在一项不合规问题扣*分，扣完为止。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3171BB">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4 </w:t>
            </w:r>
          </w:p>
        </w:tc>
      </w:tr>
      <w:tr w14:paraId="4EB428EE">
        <w:tblPrEx>
          <w:tblCellMar>
            <w:top w:w="0" w:type="dxa"/>
            <w:left w:w="0" w:type="dxa"/>
            <w:bottom w:w="0" w:type="dxa"/>
            <w:right w:w="0" w:type="dxa"/>
          </w:tblCellMar>
        </w:tblPrEx>
        <w:trPr>
          <w:trHeight w:val="1740" w:hRule="atLeast"/>
        </w:trPr>
        <w:tc>
          <w:tcPr>
            <w:tcW w:w="958" w:type="dxa"/>
            <w:vMerge w:val="continue"/>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CF10A59">
            <w:pPr>
              <w:jc w:val="center"/>
              <w:rPr>
                <w:rFonts w:hint="eastAsia" w:ascii="仿宋_GB2312" w:hAnsi="仿宋_GB2312" w:eastAsia="仿宋_GB2312" w:cs="仿宋_GB2312"/>
                <w:i w:val="0"/>
                <w:color w:val="000000"/>
                <w:sz w:val="22"/>
                <w:szCs w:val="22"/>
                <w:u w:val="none"/>
              </w:rPr>
            </w:pPr>
          </w:p>
        </w:tc>
        <w:tc>
          <w:tcPr>
            <w:tcW w:w="6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763D6">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项目管理</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CDE52A">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项目责任机制是否健全</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54B2E4">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3F9335">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是否建立责任机制，项目管理和责任落实到有关人。每存在一项问题扣*分，扣完为止。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085795">
            <w:pPr>
              <w:keepNext w:val="0"/>
              <w:keepLines w:val="0"/>
              <w:widowControl/>
              <w:suppressLineNumbers w:val="0"/>
              <w:jc w:val="center"/>
              <w:textAlignment w:val="center"/>
              <w:rPr>
                <w:rFonts w:hint="default" w:ascii="仿宋_GB2312" w:hAnsi="仿宋_GB2312" w:eastAsia="仿宋_GB2312" w:cs="仿宋_GB2312"/>
                <w:i w:val="0"/>
                <w:color w:val="000000"/>
                <w:sz w:val="22"/>
                <w:szCs w:val="22"/>
                <w:u w:val="none"/>
                <w:lang w:val="en-US"/>
              </w:rPr>
            </w:pPr>
            <w:r>
              <w:rPr>
                <w:rFonts w:hint="eastAsia" w:ascii="仿宋_GB2312" w:hAnsi="仿宋_GB2312" w:eastAsia="仿宋_GB2312" w:cs="仿宋_GB2312"/>
                <w:i w:val="0"/>
                <w:color w:val="000000"/>
                <w:kern w:val="0"/>
                <w:sz w:val="22"/>
                <w:szCs w:val="22"/>
                <w:u w:val="none"/>
                <w:lang w:val="en-US" w:eastAsia="zh-CN" w:bidi="ar"/>
              </w:rPr>
              <w:t xml:space="preserve"> 4</w:t>
            </w:r>
          </w:p>
        </w:tc>
      </w:tr>
      <w:tr w14:paraId="458DA769">
        <w:tblPrEx>
          <w:tblCellMar>
            <w:top w:w="0" w:type="dxa"/>
            <w:left w:w="0" w:type="dxa"/>
            <w:bottom w:w="0" w:type="dxa"/>
            <w:right w:w="0" w:type="dxa"/>
          </w:tblCellMar>
        </w:tblPrEx>
        <w:trPr>
          <w:trHeight w:val="756" w:hRule="atLeast"/>
        </w:trPr>
        <w:tc>
          <w:tcPr>
            <w:tcW w:w="958" w:type="dxa"/>
            <w:vMerge w:val="continue"/>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4511780">
            <w:pPr>
              <w:jc w:val="center"/>
              <w:rPr>
                <w:rFonts w:hint="eastAsia" w:ascii="仿宋_GB2312" w:hAnsi="仿宋_GB2312" w:eastAsia="仿宋_GB2312" w:cs="仿宋_GB2312"/>
                <w:i w:val="0"/>
                <w:color w:val="000000"/>
                <w:sz w:val="22"/>
                <w:szCs w:val="22"/>
                <w:u w:val="none"/>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E9858C">
            <w:pPr>
              <w:jc w:val="center"/>
              <w:rPr>
                <w:rFonts w:hint="eastAsia" w:ascii="仿宋_GB2312" w:hAnsi="仿宋_GB2312" w:eastAsia="仿宋_GB2312" w:cs="仿宋_GB2312"/>
                <w:i w:val="0"/>
                <w:color w:val="000000"/>
                <w:sz w:val="22"/>
                <w:szCs w:val="22"/>
                <w:u w:val="none"/>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3B8D34">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管理制度健全性</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524DC3">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42EAC3">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制定管理制度和措施（包括财务制度）是否明确、清晰、具有可操作性，能否保障工作活动顺利实施。每缺少一项制度扣*分，扣完为止。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379ABC">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4 </w:t>
            </w:r>
          </w:p>
        </w:tc>
      </w:tr>
      <w:tr w14:paraId="73ED4758">
        <w:tblPrEx>
          <w:tblCellMar>
            <w:top w:w="0" w:type="dxa"/>
            <w:left w:w="0" w:type="dxa"/>
            <w:bottom w:w="0" w:type="dxa"/>
            <w:right w:w="0" w:type="dxa"/>
          </w:tblCellMar>
        </w:tblPrEx>
        <w:trPr>
          <w:trHeight w:val="90" w:hRule="atLeast"/>
        </w:trPr>
        <w:tc>
          <w:tcPr>
            <w:tcW w:w="958" w:type="dxa"/>
            <w:vMerge w:val="restar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0796807">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bidi="ar"/>
              </w:rPr>
            </w:pPr>
            <w:r>
              <w:rPr>
                <w:rFonts w:hint="eastAsia" w:ascii="仿宋_GB2312" w:hAnsi="仿宋_GB2312" w:eastAsia="仿宋_GB2312" w:cs="仿宋_GB2312"/>
                <w:i w:val="0"/>
                <w:color w:val="000000"/>
                <w:kern w:val="0"/>
                <w:sz w:val="22"/>
                <w:szCs w:val="22"/>
                <w:u w:val="none"/>
                <w:lang w:val="en-US" w:eastAsia="zh-CN" w:bidi="ar"/>
              </w:rPr>
              <w:t>“工作活动”产出（50分）</w:t>
            </w:r>
          </w:p>
        </w:tc>
        <w:tc>
          <w:tcPr>
            <w:tcW w:w="6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D56AF2">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bidi="ar"/>
              </w:rPr>
            </w:pPr>
            <w:r>
              <w:rPr>
                <w:rFonts w:hint="eastAsia" w:ascii="仿宋_GB2312" w:hAnsi="仿宋_GB2312" w:eastAsia="仿宋_GB2312" w:cs="仿宋_GB2312"/>
                <w:color w:val="000000"/>
                <w:kern w:val="0"/>
                <w:sz w:val="22"/>
                <w:szCs w:val="22"/>
                <w:u w:val="none"/>
                <w:lang w:val="en-US" w:eastAsia="zh-CN" w:bidi="ar"/>
              </w:rPr>
              <w:t>产出</w:t>
            </w:r>
            <w:r>
              <w:rPr>
                <w:rFonts w:hint="eastAsia" w:ascii="仿宋_GB2312" w:hAnsi="仿宋_GB2312" w:eastAsia="仿宋_GB2312" w:cs="仿宋_GB2312"/>
                <w:color w:val="000000"/>
                <w:kern w:val="0"/>
                <w:sz w:val="22"/>
                <w:szCs w:val="22"/>
                <w:u w:val="none"/>
                <w:lang w:bidi="ar"/>
              </w:rPr>
              <w:t>指</w:t>
            </w:r>
            <w:r>
              <w:rPr>
                <w:rFonts w:hint="eastAsia" w:ascii="仿宋_GB2312" w:hAnsi="仿宋_GB2312" w:eastAsia="仿宋_GB2312" w:cs="仿宋_GB2312"/>
                <w:color w:val="000000"/>
                <w:kern w:val="0"/>
                <w:sz w:val="22"/>
                <w:szCs w:val="22"/>
                <w:u w:val="none"/>
                <w:lang w:val="en-US" w:eastAsia="zh-CN" w:bidi="ar"/>
              </w:rPr>
              <w:t>标</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B8B8C">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4个</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850DCC">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40</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FF1CA4">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少一个指标扣10分，扣完为止。</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C7E2D">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40</w:t>
            </w:r>
          </w:p>
        </w:tc>
      </w:tr>
      <w:tr w14:paraId="5D9B827D">
        <w:tblPrEx>
          <w:tblCellMar>
            <w:top w:w="0" w:type="dxa"/>
            <w:left w:w="0" w:type="dxa"/>
            <w:bottom w:w="0" w:type="dxa"/>
            <w:right w:w="0" w:type="dxa"/>
          </w:tblCellMar>
        </w:tblPrEx>
        <w:trPr>
          <w:trHeight w:val="332" w:hRule="atLeast"/>
        </w:trPr>
        <w:tc>
          <w:tcPr>
            <w:tcW w:w="958" w:type="dxa"/>
            <w:vMerge w:val="continue"/>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7B2C801E">
            <w:pPr>
              <w:widowControl/>
              <w:jc w:val="center"/>
              <w:textAlignment w:val="center"/>
              <w:rPr>
                <w:rFonts w:hint="eastAsia" w:ascii="仿宋_GB2312" w:hAnsi="仿宋_GB2312" w:eastAsia="仿宋_GB2312" w:cs="仿宋_GB2312"/>
                <w:i w:val="0"/>
                <w:color w:val="000000"/>
                <w:kern w:val="0"/>
                <w:sz w:val="22"/>
                <w:szCs w:val="22"/>
                <w:u w:val="none"/>
                <w:lang w:bidi="ar"/>
              </w:rPr>
            </w:pPr>
          </w:p>
        </w:tc>
        <w:tc>
          <w:tcPr>
            <w:tcW w:w="67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D7511CF">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bidi="ar"/>
              </w:rPr>
            </w:pPr>
            <w:r>
              <w:rPr>
                <w:rFonts w:hint="eastAsia" w:ascii="仿宋_GB2312" w:hAnsi="仿宋_GB2312" w:eastAsia="仿宋_GB2312" w:cs="仿宋_GB2312"/>
                <w:color w:val="000000"/>
                <w:kern w:val="0"/>
                <w:sz w:val="22"/>
                <w:szCs w:val="22"/>
                <w:u w:val="none"/>
                <w:lang w:val="en-US" w:eastAsia="zh-CN" w:bidi="ar"/>
              </w:rPr>
              <w:t>效益</w:t>
            </w:r>
            <w:r>
              <w:rPr>
                <w:rFonts w:hint="eastAsia" w:ascii="仿宋_GB2312" w:hAnsi="仿宋_GB2312" w:eastAsia="仿宋_GB2312" w:cs="仿宋_GB2312"/>
                <w:color w:val="000000"/>
                <w:kern w:val="0"/>
                <w:sz w:val="22"/>
                <w:szCs w:val="22"/>
                <w:u w:val="none"/>
                <w:lang w:bidi="ar"/>
              </w:rPr>
              <w:t>指标</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8C71D">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1个</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6DF507">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10</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4749DE">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少一个指标扣10分，扣完为止。</w:t>
            </w:r>
          </w:p>
        </w:tc>
        <w:tc>
          <w:tcPr>
            <w:tcW w:w="513"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2D073202">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bidi="ar"/>
              </w:rPr>
            </w:pPr>
            <w:r>
              <w:rPr>
                <w:rFonts w:hint="eastAsia" w:ascii="仿宋_GB2312" w:hAnsi="仿宋_GB2312" w:eastAsia="仿宋_GB2312" w:cs="仿宋_GB2312"/>
                <w:i w:val="0"/>
                <w:color w:val="000000"/>
                <w:kern w:val="0"/>
                <w:sz w:val="22"/>
                <w:szCs w:val="22"/>
                <w:u w:val="none"/>
                <w:lang w:val="en-US" w:eastAsia="zh-CN" w:bidi="ar"/>
              </w:rPr>
              <w:t xml:space="preserve">10 </w:t>
            </w:r>
          </w:p>
        </w:tc>
      </w:tr>
      <w:tr w14:paraId="5082A6FD">
        <w:tblPrEx>
          <w:tblCellMar>
            <w:top w:w="0" w:type="dxa"/>
            <w:left w:w="0" w:type="dxa"/>
            <w:bottom w:w="0" w:type="dxa"/>
            <w:right w:w="0" w:type="dxa"/>
          </w:tblCellMar>
        </w:tblPrEx>
        <w:trPr>
          <w:trHeight w:val="405" w:hRule="atLeast"/>
        </w:trPr>
        <w:tc>
          <w:tcPr>
            <w:tcW w:w="958"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53802E73">
            <w:pPr>
              <w:widowControl/>
              <w:jc w:val="center"/>
              <w:textAlignment w:val="center"/>
              <w:rPr>
                <w:rFonts w:hint="eastAsia" w:ascii="仿宋_GB2312" w:hAnsi="仿宋_GB2312" w:eastAsia="仿宋_GB2312" w:cs="仿宋_GB2312"/>
                <w:i w:val="0"/>
                <w:color w:val="000000"/>
                <w:kern w:val="0"/>
                <w:sz w:val="22"/>
                <w:szCs w:val="22"/>
                <w:u w:val="none"/>
                <w:lang w:bidi="ar"/>
              </w:rPr>
            </w:pPr>
            <w:r>
              <w:rPr>
                <w:rFonts w:hint="eastAsia" w:ascii="仿宋_GB2312" w:hAnsi="仿宋_GB2312" w:eastAsia="仿宋_GB2312" w:cs="仿宋_GB2312"/>
                <w:i w:val="0"/>
                <w:color w:val="000000"/>
                <w:kern w:val="0"/>
                <w:sz w:val="22"/>
                <w:szCs w:val="22"/>
                <w:u w:val="none"/>
                <w:lang w:bidi="ar"/>
              </w:rPr>
              <w:t>“工作活动”效果（</w:t>
            </w:r>
            <w:r>
              <w:rPr>
                <w:rFonts w:hint="eastAsia" w:ascii="仿宋_GB2312" w:hAnsi="仿宋_GB2312" w:eastAsia="仿宋_GB2312" w:cs="仿宋_GB2312"/>
                <w:i w:val="0"/>
                <w:color w:val="000000"/>
                <w:kern w:val="0"/>
                <w:sz w:val="22"/>
                <w:szCs w:val="22"/>
                <w:u w:val="none"/>
                <w:lang w:val="en-US" w:eastAsia="zh-CN" w:bidi="ar"/>
              </w:rPr>
              <w:t>10</w:t>
            </w:r>
            <w:r>
              <w:rPr>
                <w:rFonts w:hint="eastAsia" w:ascii="仿宋_GB2312" w:hAnsi="仿宋_GB2312" w:eastAsia="仿宋_GB2312" w:cs="仿宋_GB2312"/>
                <w:i w:val="0"/>
                <w:color w:val="000000"/>
                <w:kern w:val="0"/>
                <w:sz w:val="22"/>
                <w:szCs w:val="22"/>
                <w:u w:val="none"/>
                <w:lang w:bidi="ar"/>
              </w:rPr>
              <w:t>分）</w:t>
            </w:r>
          </w:p>
        </w:tc>
        <w:tc>
          <w:tcPr>
            <w:tcW w:w="674"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7D3E3DFB">
            <w:pPr>
              <w:widowControl/>
              <w:jc w:val="center"/>
              <w:textAlignment w:val="center"/>
              <w:rPr>
                <w:rFonts w:hint="eastAsia" w:ascii="仿宋_GB2312" w:hAnsi="仿宋_GB2312" w:eastAsia="仿宋_GB2312" w:cs="仿宋_GB2312"/>
                <w:color w:val="000000"/>
                <w:kern w:val="0"/>
                <w:sz w:val="22"/>
                <w:szCs w:val="22"/>
                <w:u w:val="none"/>
                <w:lang w:eastAsia="zh-CN" w:bidi="ar"/>
              </w:rPr>
            </w:pPr>
            <w:r>
              <w:rPr>
                <w:rFonts w:hint="eastAsia" w:ascii="仿宋_GB2312" w:hAnsi="仿宋_GB2312" w:eastAsia="仿宋_GB2312" w:cs="仿宋_GB2312"/>
                <w:color w:val="000000"/>
                <w:kern w:val="0"/>
                <w:sz w:val="22"/>
                <w:szCs w:val="22"/>
                <w:u w:val="none"/>
                <w:lang w:eastAsia="zh-CN" w:bidi="ar"/>
              </w:rPr>
              <w:t>满意度</w:t>
            </w: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8C605F">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满意度</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113AE4">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151D5">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bidi="ar"/>
              </w:rPr>
              <w:t>≥</w:t>
            </w:r>
            <w:r>
              <w:rPr>
                <w:rFonts w:hint="eastAsia" w:ascii="仿宋_GB2312" w:hAnsi="仿宋_GB2312" w:eastAsia="仿宋_GB2312" w:cs="仿宋_GB2312"/>
                <w:color w:val="000000"/>
                <w:kern w:val="0"/>
                <w:sz w:val="22"/>
                <w:szCs w:val="22"/>
                <w:u w:val="none"/>
                <w:lang w:val="en-US" w:eastAsia="zh-CN" w:bidi="ar"/>
              </w:rPr>
              <w:t>95%得满分；90%-94%得4分；≤90%不得分</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1E6CB3">
            <w:pPr>
              <w:keepNext w:val="0"/>
              <w:keepLines w:val="0"/>
              <w:widowControl/>
              <w:suppressLineNumbers w:val="0"/>
              <w:jc w:val="center"/>
              <w:textAlignment w:val="center"/>
              <w:rPr>
                <w:rFonts w:hint="default"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w:t>
            </w:r>
          </w:p>
        </w:tc>
      </w:tr>
      <w:tr w14:paraId="7624F835">
        <w:tblPrEx>
          <w:tblCellMar>
            <w:top w:w="0" w:type="dxa"/>
            <w:left w:w="0" w:type="dxa"/>
            <w:bottom w:w="0" w:type="dxa"/>
            <w:right w:w="0" w:type="dxa"/>
          </w:tblCellMar>
        </w:tblPrEx>
        <w:trPr>
          <w:trHeight w:val="405" w:hRule="atLeast"/>
        </w:trPr>
        <w:tc>
          <w:tcPr>
            <w:tcW w:w="95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7DF67588">
            <w:pPr>
              <w:widowControl/>
              <w:jc w:val="center"/>
              <w:textAlignment w:val="center"/>
              <w:rPr>
                <w:rFonts w:hint="eastAsia" w:ascii="仿宋_GB2312" w:hAnsi="仿宋_GB2312" w:eastAsia="仿宋_GB2312" w:cs="仿宋_GB2312"/>
                <w:i w:val="0"/>
                <w:color w:val="000000"/>
                <w:kern w:val="0"/>
                <w:sz w:val="22"/>
                <w:szCs w:val="22"/>
                <w:u w:val="none"/>
                <w:lang w:bidi="ar"/>
              </w:rPr>
            </w:pPr>
          </w:p>
        </w:tc>
        <w:tc>
          <w:tcPr>
            <w:tcW w:w="674"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0CD9CCF2">
            <w:pPr>
              <w:widowControl/>
              <w:jc w:val="center"/>
              <w:textAlignment w:val="center"/>
              <w:rPr>
                <w:rFonts w:hint="eastAsia" w:ascii="仿宋_GB2312" w:hAnsi="仿宋_GB2312" w:eastAsia="仿宋_GB2312" w:cs="仿宋_GB2312"/>
                <w:color w:val="000000"/>
                <w:kern w:val="0"/>
                <w:sz w:val="22"/>
                <w:szCs w:val="22"/>
                <w:u w:val="none"/>
                <w:lang w:bidi="ar"/>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C69125">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执行率</w:t>
            </w: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D88E0C">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val="en-US" w:eastAsia="zh-CN" w:bidi="ar"/>
              </w:rPr>
              <w:t>5</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A81A17">
            <w:pPr>
              <w:widowControl/>
              <w:spacing w:line="240" w:lineRule="auto"/>
              <w:jc w:val="center"/>
              <w:textAlignment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2"/>
                <w:szCs w:val="22"/>
                <w:u w:val="none"/>
                <w:lang w:bidi="ar"/>
              </w:rPr>
              <w:t>≥</w:t>
            </w:r>
            <w:r>
              <w:rPr>
                <w:rFonts w:hint="eastAsia" w:ascii="仿宋_GB2312" w:hAnsi="仿宋_GB2312" w:eastAsia="仿宋_GB2312" w:cs="仿宋_GB2312"/>
                <w:color w:val="000000"/>
                <w:kern w:val="0"/>
                <w:sz w:val="22"/>
                <w:szCs w:val="22"/>
                <w:u w:val="none"/>
                <w:lang w:val="en-US" w:eastAsia="zh-CN" w:bidi="ar"/>
              </w:rPr>
              <w:t>95%得满分；90%-94%得4分；≤90%不得分</w:t>
            </w: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B8C592">
            <w:pPr>
              <w:keepNext w:val="0"/>
              <w:keepLines w:val="0"/>
              <w:widowControl/>
              <w:suppressLineNumbers w:val="0"/>
              <w:jc w:val="center"/>
              <w:textAlignment w:val="center"/>
              <w:rPr>
                <w:rFonts w:hint="default"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w:t>
            </w:r>
          </w:p>
        </w:tc>
      </w:tr>
      <w:tr w14:paraId="06C18EF6">
        <w:tblPrEx>
          <w:tblCellMar>
            <w:top w:w="0" w:type="dxa"/>
            <w:left w:w="0" w:type="dxa"/>
            <w:bottom w:w="0" w:type="dxa"/>
            <w:right w:w="0" w:type="dxa"/>
          </w:tblCellMar>
        </w:tblPrEx>
        <w:trPr>
          <w:trHeight w:val="405" w:hRule="atLeast"/>
        </w:trPr>
        <w:tc>
          <w:tcPr>
            <w:tcW w:w="95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469E03">
            <w:pPr>
              <w:widowControl/>
              <w:ind w:firstLine="0" w:firstLineChars="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合计</w:t>
            </w:r>
          </w:p>
        </w:tc>
        <w:tc>
          <w:tcPr>
            <w:tcW w:w="6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FDC2A8">
            <w:pPr>
              <w:widowControl/>
              <w:jc w:val="center"/>
              <w:textAlignment w:val="center"/>
              <w:rPr>
                <w:rFonts w:hint="eastAsia" w:ascii="仿宋_GB2312" w:hAnsi="仿宋_GB2312" w:eastAsia="仿宋_GB2312" w:cs="仿宋_GB2312"/>
                <w:color w:val="000000"/>
                <w:kern w:val="0"/>
                <w:sz w:val="22"/>
                <w:szCs w:val="22"/>
                <w:u w:val="none"/>
                <w:lang w:bidi="ar"/>
              </w:rPr>
            </w:pPr>
          </w:p>
        </w:tc>
        <w:tc>
          <w:tcPr>
            <w:tcW w:w="208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5E1FB">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54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109007">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c>
          <w:tcPr>
            <w:tcW w:w="35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509688">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5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0D0551">
            <w:pPr>
              <w:keepNext w:val="0"/>
              <w:keepLines w:val="0"/>
              <w:widowControl/>
              <w:suppressLineNumbers w:val="0"/>
              <w:jc w:val="center"/>
              <w:textAlignment w:val="center"/>
              <w:rPr>
                <w:rFonts w:hint="default"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r>
      <w:bookmarkEnd w:id="105"/>
    </w:tbl>
    <w:p w14:paraId="54D87D61">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000000"/>
          <w:sz w:val="32"/>
          <w:szCs w:val="32"/>
          <w:lang w:val="en-US" w:eastAsia="zh-CN"/>
        </w:rPr>
      </w:pPr>
    </w:p>
    <w:p w14:paraId="026F35AF">
      <w:pPr>
        <w:rPr>
          <w:rFonts w:hint="eastAsia" w:ascii="仿宋_GB2312" w:hAnsi="仿宋_GB2312" w:eastAsia="仿宋_GB2312" w:cs="仿宋_GB2312"/>
        </w:rPr>
      </w:pPr>
    </w:p>
    <w:sectPr>
      <w:footerReference r:id="rId3" w:type="default"/>
      <w:pgSz w:w="11906" w:h="16838"/>
      <w:pgMar w:top="2154" w:right="1474" w:bottom="1984" w:left="1587"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EB52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34ED1F">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434ED1F">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C499B"/>
    <w:rsid w:val="00B60E03"/>
    <w:rsid w:val="01B67D1F"/>
    <w:rsid w:val="01CA2AF2"/>
    <w:rsid w:val="03274687"/>
    <w:rsid w:val="04064A0C"/>
    <w:rsid w:val="04321BCD"/>
    <w:rsid w:val="04FF4482"/>
    <w:rsid w:val="057A0A50"/>
    <w:rsid w:val="064C4C17"/>
    <w:rsid w:val="076C3175"/>
    <w:rsid w:val="07CC499B"/>
    <w:rsid w:val="0815567D"/>
    <w:rsid w:val="0909607F"/>
    <w:rsid w:val="09A64785"/>
    <w:rsid w:val="0A3B4E4B"/>
    <w:rsid w:val="0B601B06"/>
    <w:rsid w:val="0BEB58BF"/>
    <w:rsid w:val="0C15027B"/>
    <w:rsid w:val="0C3B2A49"/>
    <w:rsid w:val="0DAA4EE9"/>
    <w:rsid w:val="0E3117D9"/>
    <w:rsid w:val="0E77117A"/>
    <w:rsid w:val="102B0836"/>
    <w:rsid w:val="1064155D"/>
    <w:rsid w:val="1156122B"/>
    <w:rsid w:val="11F11891"/>
    <w:rsid w:val="12C35BB4"/>
    <w:rsid w:val="140849FA"/>
    <w:rsid w:val="14583EA3"/>
    <w:rsid w:val="151D09B5"/>
    <w:rsid w:val="158B6D3B"/>
    <w:rsid w:val="1689469A"/>
    <w:rsid w:val="16DB1E7D"/>
    <w:rsid w:val="178C6C5A"/>
    <w:rsid w:val="17CD646A"/>
    <w:rsid w:val="184F3049"/>
    <w:rsid w:val="1B3F225B"/>
    <w:rsid w:val="1B4269FF"/>
    <w:rsid w:val="1C672059"/>
    <w:rsid w:val="1D4B3C83"/>
    <w:rsid w:val="1DBD7AB3"/>
    <w:rsid w:val="1E0B387E"/>
    <w:rsid w:val="21460607"/>
    <w:rsid w:val="21FF1E9B"/>
    <w:rsid w:val="23C1122C"/>
    <w:rsid w:val="243D751D"/>
    <w:rsid w:val="24522B03"/>
    <w:rsid w:val="25ED2FD4"/>
    <w:rsid w:val="264A346A"/>
    <w:rsid w:val="270A41B9"/>
    <w:rsid w:val="274B3C4E"/>
    <w:rsid w:val="285356FD"/>
    <w:rsid w:val="288E37E0"/>
    <w:rsid w:val="290243B4"/>
    <w:rsid w:val="2A5C748F"/>
    <w:rsid w:val="2B10000E"/>
    <w:rsid w:val="2B2D56DA"/>
    <w:rsid w:val="2D391E20"/>
    <w:rsid w:val="30785FD3"/>
    <w:rsid w:val="31702E0D"/>
    <w:rsid w:val="33C32B3C"/>
    <w:rsid w:val="34E52524"/>
    <w:rsid w:val="35CA4ECD"/>
    <w:rsid w:val="35CE5164"/>
    <w:rsid w:val="35F07825"/>
    <w:rsid w:val="360C2FBA"/>
    <w:rsid w:val="363913FE"/>
    <w:rsid w:val="36D6548C"/>
    <w:rsid w:val="376918C7"/>
    <w:rsid w:val="37832AC7"/>
    <w:rsid w:val="38195BED"/>
    <w:rsid w:val="39B23A02"/>
    <w:rsid w:val="3A4766ED"/>
    <w:rsid w:val="3A713A3B"/>
    <w:rsid w:val="3AAB2217"/>
    <w:rsid w:val="3CAE49E3"/>
    <w:rsid w:val="3DAE40CB"/>
    <w:rsid w:val="3E7103A9"/>
    <w:rsid w:val="3E7E746E"/>
    <w:rsid w:val="3EBE2184"/>
    <w:rsid w:val="3EC96BC0"/>
    <w:rsid w:val="3F5912F8"/>
    <w:rsid w:val="3F9B4FC0"/>
    <w:rsid w:val="41B74B09"/>
    <w:rsid w:val="43DC781A"/>
    <w:rsid w:val="441C7555"/>
    <w:rsid w:val="450A0AA4"/>
    <w:rsid w:val="45236574"/>
    <w:rsid w:val="46434BE2"/>
    <w:rsid w:val="46AA6AA7"/>
    <w:rsid w:val="478E0E32"/>
    <w:rsid w:val="48A2447B"/>
    <w:rsid w:val="49430BD9"/>
    <w:rsid w:val="494625CA"/>
    <w:rsid w:val="4A2B1596"/>
    <w:rsid w:val="4BD23ED8"/>
    <w:rsid w:val="4C2846CD"/>
    <w:rsid w:val="4C7A4C55"/>
    <w:rsid w:val="4F6A54EE"/>
    <w:rsid w:val="4FDF6ED1"/>
    <w:rsid w:val="514C0EC5"/>
    <w:rsid w:val="51F50157"/>
    <w:rsid w:val="52866F20"/>
    <w:rsid w:val="52EE7A8B"/>
    <w:rsid w:val="535B290E"/>
    <w:rsid w:val="53F1208F"/>
    <w:rsid w:val="54DE5250"/>
    <w:rsid w:val="55495194"/>
    <w:rsid w:val="56115CEE"/>
    <w:rsid w:val="56D42516"/>
    <w:rsid w:val="56FE5044"/>
    <w:rsid w:val="57E03285"/>
    <w:rsid w:val="5AE71036"/>
    <w:rsid w:val="5B5F30DA"/>
    <w:rsid w:val="5BAF6F84"/>
    <w:rsid w:val="5BE03A0F"/>
    <w:rsid w:val="5D5C7CBD"/>
    <w:rsid w:val="5DF86B3F"/>
    <w:rsid w:val="5F1C1ADB"/>
    <w:rsid w:val="60134031"/>
    <w:rsid w:val="60C120AA"/>
    <w:rsid w:val="6304094B"/>
    <w:rsid w:val="64165E4C"/>
    <w:rsid w:val="6536013A"/>
    <w:rsid w:val="68DA698B"/>
    <w:rsid w:val="6A3E1F45"/>
    <w:rsid w:val="6CCC6D4C"/>
    <w:rsid w:val="6D5F4EC3"/>
    <w:rsid w:val="6E3F5A2C"/>
    <w:rsid w:val="7008088F"/>
    <w:rsid w:val="712634CC"/>
    <w:rsid w:val="71A3781D"/>
    <w:rsid w:val="724E698E"/>
    <w:rsid w:val="755B1907"/>
    <w:rsid w:val="756501CF"/>
    <w:rsid w:val="778F438E"/>
    <w:rsid w:val="7A055146"/>
    <w:rsid w:val="7A757A3F"/>
    <w:rsid w:val="7C647BFE"/>
    <w:rsid w:val="7D9B64C3"/>
    <w:rsid w:val="7FA85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qFormat/>
    <w:uiPriority w:val="0"/>
    <w:pPr>
      <w:spacing w:line="600" w:lineRule="exact"/>
      <w:ind w:firstLine="560" w:firstLineChars="200"/>
      <w:textAlignment w:val="center"/>
    </w:pPr>
    <w:rPr>
      <w:rFonts w:ascii="宋体" w:hAnsi="宋体"/>
      <w:color w:val="FF0000"/>
      <w:sz w:val="28"/>
      <w:szCs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 w:type="paragraph" w:customStyle="1" w:styleId="10">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1005</Words>
  <Characters>1016</Characters>
  <Lines>0</Lines>
  <Paragraphs>0</Paragraphs>
  <TotalTime>0</TotalTime>
  <ScaleCrop>false</ScaleCrop>
  <LinksUpToDate>false</LinksUpToDate>
  <CharactersWithSpaces>1318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2021-07-20T09:00:00Z</dcterms:created>
  <dc:creator>user</dc:creator>
  <cp:lastModifiedBy>WPS_1654611079</cp:lastModifiedBy>
  <dcterms:modified xsi:type="dcterms:W3CDTF">2026-07-14T08:00:27Z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41260B391483414CBAB659E47BBFBA50</vt:lpwstr>
  </property>
  <property fmtid="{D5CDD505-2E9C-101B-9397-08002B2CF9AE}" pid="4" name="KSOTemplateDocerSaveRecord">
    <vt:lpwstr>eyJoZGlkIjoiYjVhNDRmZWY2Mjc3YzIyOThiMDY0ZjFjYjU1N2I5MDAiLCJ1c2VySWQiOiIxMzgxNzYwMTk0In0=</vt:lpwstr>
  </property>
</Properties>
</file>