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F3C5E">
      <w:pPr>
        <w:spacing w:line="480" w:lineRule="exact"/>
        <w:jc w:val="center"/>
        <w:rPr>
          <w:rFonts w:hint="eastAsia" w:ascii="宋体" w:hAnsi="宋体"/>
          <w:b/>
          <w:sz w:val="44"/>
          <w:szCs w:val="44"/>
        </w:rPr>
      </w:pPr>
    </w:p>
    <w:p w14:paraId="0BE07426">
      <w:pPr>
        <w:spacing w:line="480" w:lineRule="exact"/>
        <w:jc w:val="center"/>
        <w:rPr>
          <w:rFonts w:ascii="仿宋" w:hAnsi="仿宋" w:eastAsia="仿宋" w:cs="仿宋"/>
          <w:sz w:val="32"/>
          <w:szCs w:val="32"/>
        </w:rPr>
      </w:pPr>
      <w:r>
        <w:rPr>
          <w:rFonts w:hint="eastAsia" w:ascii="宋体" w:hAnsi="宋体"/>
          <w:b/>
          <w:sz w:val="44"/>
          <w:szCs w:val="44"/>
        </w:rPr>
        <w:t>部门整体支出绩效评价</w:t>
      </w:r>
      <w:r>
        <w:rPr>
          <w:rFonts w:hint="eastAsia" w:ascii="宋体" w:hAnsi="宋体" w:eastAsia="宋体" w:cs="宋体"/>
          <w:b/>
          <w:color w:val="000000"/>
          <w:kern w:val="0"/>
          <w:sz w:val="44"/>
          <w:szCs w:val="44"/>
          <w:shd w:val="clear" w:color="auto" w:fill="FFFFFF"/>
          <w:lang w:bidi="ar"/>
        </w:rPr>
        <w:t>指标体系评分表</w:t>
      </w:r>
    </w:p>
    <w:tbl>
      <w:tblPr>
        <w:tblStyle w:val="8"/>
        <w:tblW w:w="9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9"/>
        <w:gridCol w:w="743"/>
        <w:gridCol w:w="1275"/>
        <w:gridCol w:w="3436"/>
        <w:gridCol w:w="2373"/>
        <w:gridCol w:w="764"/>
      </w:tblGrid>
      <w:tr w14:paraId="7E18A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2EFE4394">
            <w:pPr>
              <w:widowControl/>
              <w:spacing w:line="240" w:lineRule="exact"/>
              <w:jc w:val="center"/>
              <w:rPr>
                <w:b/>
              </w:rPr>
            </w:pPr>
            <w:r>
              <w:rPr>
                <w:rFonts w:ascii="仿宋_GB2312" w:hAnsi="新宋体" w:eastAsia="仿宋_GB2312" w:cs="仿宋_GB2312"/>
                <w:b/>
                <w:kern w:val="0"/>
                <w:sz w:val="24"/>
                <w:szCs w:val="24"/>
                <w:lang w:bidi="ar"/>
              </w:rPr>
              <w:t>一级指标</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09978599">
            <w:pPr>
              <w:widowControl/>
              <w:spacing w:line="240" w:lineRule="exact"/>
              <w:jc w:val="center"/>
              <w:rPr>
                <w:b/>
              </w:rPr>
            </w:pPr>
            <w:r>
              <w:rPr>
                <w:rFonts w:ascii="仿宋_GB2312" w:hAnsi="新宋体" w:eastAsia="仿宋_GB2312" w:cs="仿宋_GB2312"/>
                <w:b/>
                <w:kern w:val="0"/>
                <w:sz w:val="24"/>
                <w:szCs w:val="24"/>
                <w:lang w:bidi="ar"/>
              </w:rPr>
              <w:t>二级指标</w:t>
            </w:r>
          </w:p>
        </w:tc>
        <w:tc>
          <w:tcPr>
            <w:tcW w:w="4711" w:type="dxa"/>
            <w:gridSpan w:val="2"/>
            <w:tcBorders>
              <w:top w:val="single" w:color="000000" w:sz="4" w:space="0"/>
              <w:left w:val="single" w:color="000000" w:sz="4" w:space="0"/>
              <w:bottom w:val="single" w:color="000000" w:sz="4" w:space="0"/>
              <w:right w:val="single" w:color="auto" w:sz="4" w:space="0"/>
            </w:tcBorders>
            <w:vAlign w:val="center"/>
          </w:tcPr>
          <w:p w14:paraId="3E5156F0">
            <w:pPr>
              <w:widowControl/>
              <w:spacing w:line="240" w:lineRule="exact"/>
              <w:jc w:val="center"/>
              <w:rPr>
                <w:b/>
              </w:rPr>
            </w:pPr>
            <w:r>
              <w:rPr>
                <w:rFonts w:ascii="仿宋_GB2312" w:hAnsi="新宋体" w:eastAsia="仿宋_GB2312" w:cs="仿宋_GB2312"/>
                <w:b/>
                <w:kern w:val="0"/>
                <w:sz w:val="24"/>
                <w:szCs w:val="24"/>
                <w:lang w:bidi="ar"/>
              </w:rPr>
              <w:t>三级指标</w:t>
            </w:r>
          </w:p>
        </w:tc>
        <w:tc>
          <w:tcPr>
            <w:tcW w:w="2373" w:type="dxa"/>
            <w:vMerge w:val="restart"/>
            <w:tcBorders>
              <w:top w:val="single" w:color="000000" w:sz="4" w:space="0"/>
              <w:left w:val="single" w:color="auto" w:sz="4" w:space="0"/>
              <w:bottom w:val="single" w:color="000000" w:sz="4" w:space="0"/>
              <w:right w:val="single" w:color="auto" w:sz="4" w:space="0"/>
            </w:tcBorders>
            <w:vAlign w:val="center"/>
          </w:tcPr>
          <w:p w14:paraId="3C85C990">
            <w:pPr>
              <w:widowControl/>
              <w:spacing w:line="240" w:lineRule="exact"/>
              <w:jc w:val="center"/>
              <w:rPr>
                <w:b/>
              </w:rPr>
            </w:pPr>
            <w:r>
              <w:rPr>
                <w:rFonts w:ascii="仿宋_GB2312" w:hAnsi="新宋体" w:eastAsia="仿宋_GB2312" w:cs="仿宋_GB2312"/>
                <w:b/>
                <w:kern w:val="0"/>
                <w:sz w:val="24"/>
                <w:szCs w:val="24"/>
                <w:lang w:bidi="ar"/>
              </w:rPr>
              <w:t>评分标准</w:t>
            </w:r>
          </w:p>
        </w:tc>
        <w:tc>
          <w:tcPr>
            <w:tcW w:w="764" w:type="dxa"/>
            <w:vMerge w:val="restart"/>
            <w:tcBorders>
              <w:top w:val="single" w:color="000000" w:sz="4" w:space="0"/>
              <w:left w:val="single" w:color="auto" w:sz="4" w:space="0"/>
              <w:bottom w:val="single" w:color="000000" w:sz="4" w:space="0"/>
              <w:right w:val="single" w:color="auto" w:sz="4" w:space="0"/>
            </w:tcBorders>
            <w:vAlign w:val="center"/>
          </w:tcPr>
          <w:p w14:paraId="0A358974">
            <w:pPr>
              <w:widowControl/>
              <w:spacing w:line="240" w:lineRule="exact"/>
              <w:jc w:val="left"/>
              <w:rPr>
                <w:b/>
              </w:rPr>
            </w:pPr>
            <w:r>
              <w:rPr>
                <w:rFonts w:ascii="仿宋_GB2312" w:hAnsi="新宋体" w:eastAsia="仿宋_GB2312" w:cs="仿宋_GB2312"/>
                <w:b/>
                <w:kern w:val="0"/>
                <w:sz w:val="24"/>
                <w:szCs w:val="24"/>
                <w:lang w:bidi="ar"/>
              </w:rPr>
              <w:t>得分</w:t>
            </w:r>
          </w:p>
        </w:tc>
      </w:tr>
      <w:tr w14:paraId="52F04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3CA2A909">
            <w:pPr>
              <w:rPr>
                <w:rFonts w:ascii="宋体"/>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49A8D640">
            <w:pPr>
              <w:rPr>
                <w:rFonts w:ascii="宋体"/>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49309D26">
            <w:pPr>
              <w:widowControl/>
              <w:spacing w:line="240" w:lineRule="exact"/>
              <w:jc w:val="center"/>
              <w:rPr>
                <w:b/>
              </w:rPr>
            </w:pPr>
            <w:r>
              <w:rPr>
                <w:rFonts w:ascii="仿宋_GB2312" w:hAnsi="新宋体" w:eastAsia="仿宋_GB2312" w:cs="仿宋_GB2312"/>
                <w:b/>
                <w:kern w:val="0"/>
                <w:sz w:val="24"/>
                <w:szCs w:val="24"/>
                <w:lang w:bidi="ar"/>
              </w:rPr>
              <w:t>指标名称</w:t>
            </w:r>
          </w:p>
        </w:tc>
        <w:tc>
          <w:tcPr>
            <w:tcW w:w="3436" w:type="dxa"/>
            <w:tcBorders>
              <w:top w:val="single" w:color="000000" w:sz="4" w:space="0"/>
              <w:left w:val="single" w:color="auto" w:sz="4" w:space="0"/>
              <w:bottom w:val="single" w:color="000000" w:sz="4" w:space="0"/>
              <w:right w:val="single" w:color="auto" w:sz="4" w:space="0"/>
            </w:tcBorders>
            <w:vAlign w:val="center"/>
          </w:tcPr>
          <w:p w14:paraId="4A06DF13">
            <w:pPr>
              <w:widowControl/>
              <w:spacing w:line="240" w:lineRule="exact"/>
              <w:jc w:val="center"/>
              <w:rPr>
                <w:b/>
              </w:rPr>
            </w:pPr>
            <w:r>
              <w:rPr>
                <w:rFonts w:ascii="仿宋_GB2312" w:hAnsi="新宋体" w:eastAsia="仿宋_GB2312" w:cs="仿宋_GB2312"/>
                <w:b/>
                <w:kern w:val="0"/>
                <w:sz w:val="24"/>
                <w:szCs w:val="24"/>
                <w:lang w:bidi="ar"/>
              </w:rPr>
              <w:t>指标解释说明</w:t>
            </w:r>
          </w:p>
        </w:tc>
        <w:tc>
          <w:tcPr>
            <w:tcW w:w="2373" w:type="dxa"/>
            <w:vMerge w:val="continue"/>
            <w:tcBorders>
              <w:top w:val="single" w:color="000000" w:sz="4" w:space="0"/>
              <w:left w:val="single" w:color="auto" w:sz="4" w:space="0"/>
              <w:bottom w:val="single" w:color="000000" w:sz="4" w:space="0"/>
              <w:right w:val="single" w:color="auto" w:sz="4" w:space="0"/>
            </w:tcBorders>
            <w:vAlign w:val="center"/>
          </w:tcPr>
          <w:p w14:paraId="28660082">
            <w:pPr>
              <w:rPr>
                <w:rFonts w:ascii="宋体"/>
                <w:szCs w:val="21"/>
              </w:rPr>
            </w:pPr>
          </w:p>
        </w:tc>
        <w:tc>
          <w:tcPr>
            <w:tcW w:w="764" w:type="dxa"/>
            <w:vMerge w:val="continue"/>
            <w:tcBorders>
              <w:top w:val="single" w:color="000000" w:sz="4" w:space="0"/>
              <w:left w:val="single" w:color="auto" w:sz="4" w:space="0"/>
              <w:bottom w:val="single" w:color="000000" w:sz="4" w:space="0"/>
              <w:right w:val="single" w:color="auto" w:sz="4" w:space="0"/>
            </w:tcBorders>
            <w:vAlign w:val="center"/>
          </w:tcPr>
          <w:p w14:paraId="38AF7CBF">
            <w:pPr>
              <w:rPr>
                <w:rFonts w:ascii="宋体"/>
                <w:szCs w:val="21"/>
              </w:rPr>
            </w:pPr>
          </w:p>
        </w:tc>
      </w:tr>
      <w:tr w14:paraId="6849C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4039600D">
            <w:pPr>
              <w:widowControl/>
              <w:spacing w:line="240" w:lineRule="exact"/>
              <w:jc w:val="left"/>
              <w:rPr>
                <w:rFonts w:hint="eastAsia" w:ascii="仿宋_GB2312" w:hAnsi="仿宋_GB2312" w:eastAsia="仿宋_GB2312" w:cs="仿宋_GB2312"/>
                <w:sz w:val="21"/>
                <w:szCs w:val="21"/>
              </w:rPr>
            </w:pPr>
            <w:bookmarkStart w:id="0" w:name="_GoBack" w:colFirst="5" w:colLast="5"/>
            <w:r>
              <w:rPr>
                <w:rFonts w:hint="eastAsia" w:ascii="仿宋_GB2312" w:hAnsi="仿宋_GB2312" w:eastAsia="仿宋_GB2312" w:cs="仿宋_GB2312"/>
                <w:kern w:val="0"/>
                <w:sz w:val="21"/>
                <w:szCs w:val="21"/>
                <w:lang w:bidi="ar"/>
              </w:rPr>
              <w:t>投入（10）</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1EBF2E1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绩效目标设定情况</w:t>
            </w:r>
          </w:p>
          <w:p w14:paraId="49DAB020">
            <w:pPr>
              <w:widowControl/>
              <w:spacing w:line="240" w:lineRule="exact"/>
              <w:jc w:val="left"/>
              <w:rPr>
                <w:rFonts w:hint="eastAsia" w:ascii="仿宋_GB2312" w:hAnsi="仿宋_GB2312" w:eastAsia="仿宋_GB2312" w:cs="仿宋_GB2312"/>
                <w:color w:val="FF0000"/>
                <w:sz w:val="21"/>
                <w:szCs w:val="21"/>
              </w:rPr>
            </w:pPr>
            <w:r>
              <w:rPr>
                <w:rFonts w:hint="eastAsia" w:ascii="仿宋_GB2312" w:hAnsi="仿宋_GB2312" w:eastAsia="仿宋_GB2312" w:cs="仿宋_GB2312"/>
                <w:kern w:val="0"/>
                <w:sz w:val="21"/>
                <w:szCs w:val="21"/>
                <w:lang w:bidi="ar"/>
              </w:rPr>
              <w:t>（5分）</w:t>
            </w:r>
          </w:p>
        </w:tc>
        <w:tc>
          <w:tcPr>
            <w:tcW w:w="1275" w:type="dxa"/>
            <w:tcBorders>
              <w:top w:val="single" w:color="000000" w:sz="4" w:space="0"/>
              <w:left w:val="single" w:color="000000" w:sz="4" w:space="0"/>
              <w:bottom w:val="single" w:color="auto" w:sz="4" w:space="0"/>
              <w:right w:val="single" w:color="auto" w:sz="4" w:space="0"/>
            </w:tcBorders>
            <w:vAlign w:val="center"/>
          </w:tcPr>
          <w:p w14:paraId="526CBB9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职责明确 （1分）</w:t>
            </w:r>
          </w:p>
        </w:tc>
        <w:tc>
          <w:tcPr>
            <w:tcW w:w="3436" w:type="dxa"/>
            <w:tcBorders>
              <w:top w:val="single" w:color="000000" w:sz="4" w:space="0"/>
              <w:left w:val="single" w:color="auto" w:sz="4" w:space="0"/>
              <w:bottom w:val="single" w:color="auto" w:sz="4" w:space="0"/>
              <w:right w:val="single" w:color="auto" w:sz="4" w:space="0"/>
            </w:tcBorders>
            <w:vAlign w:val="center"/>
          </w:tcPr>
          <w:p w14:paraId="6F819B0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部门的职责设定是否符合“三定”方案中所赋予的职责，用以反映和评价部门工作的目的性与计划性。</w:t>
            </w:r>
          </w:p>
        </w:tc>
        <w:tc>
          <w:tcPr>
            <w:tcW w:w="2373" w:type="dxa"/>
            <w:tcBorders>
              <w:top w:val="single" w:color="000000" w:sz="4" w:space="0"/>
              <w:left w:val="single" w:color="auto" w:sz="4" w:space="0"/>
              <w:bottom w:val="single" w:color="auto" w:sz="4" w:space="0"/>
              <w:right w:val="single" w:color="auto" w:sz="4" w:space="0"/>
            </w:tcBorders>
            <w:vAlign w:val="center"/>
          </w:tcPr>
          <w:p w14:paraId="7D009B9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符合（1）；</w:t>
            </w:r>
          </w:p>
          <w:p w14:paraId="3FF21F5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不符合（0）。</w:t>
            </w:r>
          </w:p>
        </w:tc>
        <w:tc>
          <w:tcPr>
            <w:tcW w:w="764" w:type="dxa"/>
            <w:tcBorders>
              <w:top w:val="single" w:color="000000" w:sz="4" w:space="0"/>
              <w:left w:val="single" w:color="auto" w:sz="4" w:space="0"/>
              <w:bottom w:val="single" w:color="auto" w:sz="4" w:space="0"/>
              <w:right w:val="single" w:color="000000" w:sz="4" w:space="0"/>
            </w:tcBorders>
            <w:shd w:val="clear"/>
            <w:vAlign w:val="center"/>
          </w:tcPr>
          <w:p w14:paraId="1A679CDF">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w:t>
            </w:r>
          </w:p>
        </w:tc>
      </w:tr>
      <w:tr w14:paraId="1249F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E7203D5">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1E89F583">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14:paraId="1414508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活动合规性（2分）</w:t>
            </w:r>
          </w:p>
        </w:tc>
        <w:tc>
          <w:tcPr>
            <w:tcW w:w="3436" w:type="dxa"/>
            <w:tcBorders>
              <w:top w:val="single" w:color="000000" w:sz="4" w:space="0"/>
              <w:left w:val="single" w:color="auto" w:sz="4" w:space="0"/>
              <w:bottom w:val="single" w:color="auto" w:sz="4" w:space="0"/>
              <w:right w:val="single" w:color="auto" w:sz="4" w:space="0"/>
            </w:tcBorders>
            <w:vAlign w:val="center"/>
          </w:tcPr>
          <w:p w14:paraId="0A239FC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部门的活动是否在职责范围之内并符合部门中长期规划，用以反映和评价部门活动目标与部门履职、年度工作任务的相符性情况。</w:t>
            </w:r>
          </w:p>
          <w:p w14:paraId="7ED0A58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42A0860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1.部门活动的设定在部门所确定的职责范围之内；</w:t>
            </w:r>
          </w:p>
          <w:p w14:paraId="3D165EE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2.部门活动符合市委、市政府的发展规划及本部门的年度工作安排与发展规划。</w:t>
            </w:r>
          </w:p>
        </w:tc>
        <w:tc>
          <w:tcPr>
            <w:tcW w:w="2373" w:type="dxa"/>
            <w:tcBorders>
              <w:top w:val="single" w:color="000000" w:sz="4" w:space="0"/>
              <w:left w:val="single" w:color="auto" w:sz="4" w:space="0"/>
              <w:bottom w:val="single" w:color="auto" w:sz="4" w:space="0"/>
              <w:right w:val="single" w:color="auto" w:sz="4" w:space="0"/>
            </w:tcBorders>
            <w:vAlign w:val="center"/>
          </w:tcPr>
          <w:p w14:paraId="21CC0CC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14:paraId="0F4E839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shd w:val="clear"/>
            <w:vAlign w:val="center"/>
          </w:tcPr>
          <w:p w14:paraId="42D1202E">
            <w:pPr>
              <w:widowControl/>
              <w:spacing w:line="240" w:lineRule="exact"/>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p w14:paraId="64B93669">
            <w:pPr>
              <w:widowControl/>
              <w:spacing w:line="240" w:lineRule="exact"/>
              <w:jc w:val="center"/>
              <w:rPr>
                <w:rFonts w:hint="eastAsia" w:ascii="仿宋_GB2312" w:hAnsi="仿宋_GB2312" w:eastAsia="仿宋_GB2312" w:cs="仿宋_GB2312"/>
                <w:kern w:val="2"/>
                <w:sz w:val="21"/>
                <w:szCs w:val="21"/>
                <w:lang w:val="en-US" w:eastAsia="zh-CN" w:bidi="ar-SA"/>
              </w:rPr>
            </w:pPr>
          </w:p>
        </w:tc>
      </w:tr>
      <w:tr w14:paraId="20BCD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491E285">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73A147B9">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14:paraId="1885074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活动合理性（2分）</w:t>
            </w:r>
          </w:p>
        </w:tc>
        <w:tc>
          <w:tcPr>
            <w:tcW w:w="3436" w:type="dxa"/>
            <w:tcBorders>
              <w:top w:val="single" w:color="000000" w:sz="4" w:space="0"/>
              <w:left w:val="single" w:color="auto" w:sz="4" w:space="0"/>
              <w:bottom w:val="single" w:color="auto" w:sz="4" w:space="0"/>
              <w:right w:val="single" w:color="auto" w:sz="4" w:space="0"/>
            </w:tcBorders>
            <w:vAlign w:val="center"/>
          </w:tcPr>
          <w:p w14:paraId="35D8CAB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部门所设立的活动是否明确合理、活动的关键性指标设置是否可衡量，用以反映和评价部门活动目标设定的合理性。</w:t>
            </w:r>
          </w:p>
          <w:p w14:paraId="0146C6F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062C0F2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1.活动目标的设定是可量化的，可通过清晰、可衡量的关键指标值予以体现；</w:t>
            </w:r>
          </w:p>
          <w:p w14:paraId="4AA3A56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2.在活动目标设定时，将关键指标明细分解为具体的达成目标与工作任务。</w:t>
            </w:r>
          </w:p>
        </w:tc>
        <w:tc>
          <w:tcPr>
            <w:tcW w:w="2373" w:type="dxa"/>
            <w:tcBorders>
              <w:top w:val="single" w:color="000000" w:sz="4" w:space="0"/>
              <w:left w:val="single" w:color="auto" w:sz="4" w:space="0"/>
              <w:bottom w:val="single" w:color="auto" w:sz="4" w:space="0"/>
              <w:right w:val="single" w:color="auto" w:sz="4" w:space="0"/>
            </w:tcBorders>
            <w:vAlign w:val="center"/>
          </w:tcPr>
          <w:p w14:paraId="1B69E0D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14:paraId="36C59B1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shd w:val="clear"/>
            <w:vAlign w:val="center"/>
          </w:tcPr>
          <w:p w14:paraId="0410A1D9">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w:t>
            </w:r>
          </w:p>
        </w:tc>
      </w:tr>
      <w:tr w14:paraId="7337D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36626A5">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right w:val="single" w:color="000000" w:sz="4" w:space="0"/>
            </w:tcBorders>
            <w:vAlign w:val="center"/>
          </w:tcPr>
          <w:p w14:paraId="65CBB13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预算配置情况(5分)</w:t>
            </w:r>
          </w:p>
        </w:tc>
        <w:tc>
          <w:tcPr>
            <w:tcW w:w="1275" w:type="dxa"/>
            <w:tcBorders>
              <w:top w:val="single" w:color="auto" w:sz="4" w:space="0"/>
              <w:left w:val="single" w:color="000000" w:sz="4" w:space="0"/>
              <w:right w:val="single" w:color="auto" w:sz="4" w:space="0"/>
            </w:tcBorders>
            <w:vAlign w:val="center"/>
          </w:tcPr>
          <w:p w14:paraId="4037C10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在职人员控制率（1分）</w:t>
            </w:r>
          </w:p>
        </w:tc>
        <w:tc>
          <w:tcPr>
            <w:tcW w:w="3436" w:type="dxa"/>
            <w:tcBorders>
              <w:top w:val="single" w:color="auto" w:sz="4" w:space="0"/>
              <w:left w:val="single" w:color="auto" w:sz="4" w:space="0"/>
              <w:right w:val="single" w:color="auto" w:sz="4" w:space="0"/>
            </w:tcBorders>
            <w:vAlign w:val="center"/>
          </w:tcPr>
          <w:p w14:paraId="75C7C2B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部门本年度实际在职人员数与编制数的比率，用以反映和评价部门对人员成本的控制程度。</w:t>
            </w:r>
          </w:p>
          <w:p w14:paraId="48F34EA4">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在职人员控制率=（在职人员数/编制数）×100%。</w:t>
            </w:r>
          </w:p>
          <w:p w14:paraId="66A301A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在职人员数：部门实际在职人数，以财政部确定的部门决算编制口径为准，由编制部门和人劳部门批复同意的临聘人员除外。</w:t>
            </w:r>
          </w:p>
          <w:p w14:paraId="6975198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编制数：机构编制部门核定批复的部门人员编制数。</w:t>
            </w:r>
          </w:p>
        </w:tc>
        <w:tc>
          <w:tcPr>
            <w:tcW w:w="2373" w:type="dxa"/>
            <w:tcBorders>
              <w:top w:val="single" w:color="auto" w:sz="4" w:space="0"/>
              <w:left w:val="single" w:color="auto" w:sz="4" w:space="0"/>
              <w:right w:val="single" w:color="auto" w:sz="4" w:space="0"/>
            </w:tcBorders>
            <w:vAlign w:val="center"/>
          </w:tcPr>
          <w:p w14:paraId="3F17F05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1.在职人员控制率小于或等于100%的，得满分；</w:t>
            </w:r>
          </w:p>
          <w:p w14:paraId="4F2988C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2.在职人员控制率大于或等于115%的，得0分；</w:t>
            </w:r>
          </w:p>
          <w:p w14:paraId="6500E3F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3.在职人员控制率在100%-115%之间的，在0分和满分之间计算确定：</w:t>
            </w:r>
          </w:p>
          <w:p w14:paraId="6B53545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得分=[max（在职人员控制率）－某部门在职人员控制率]/[max（在职人员控制率）－min（在职人员控制率）]×该指标分值。</w:t>
            </w:r>
          </w:p>
        </w:tc>
        <w:tc>
          <w:tcPr>
            <w:tcW w:w="764" w:type="dxa"/>
            <w:tcBorders>
              <w:top w:val="single" w:color="auto" w:sz="4" w:space="0"/>
              <w:left w:val="single" w:color="auto" w:sz="4" w:space="0"/>
              <w:bottom w:val="single" w:color="000000" w:sz="4" w:space="0"/>
              <w:right w:val="single" w:color="000000" w:sz="4" w:space="0"/>
            </w:tcBorders>
            <w:shd w:val="clear"/>
            <w:vAlign w:val="center"/>
          </w:tcPr>
          <w:p w14:paraId="2DCC9C4B">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w:t>
            </w:r>
          </w:p>
        </w:tc>
      </w:tr>
      <w:tr w14:paraId="1DE6D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restart"/>
            <w:tcBorders>
              <w:top w:val="single" w:color="000000" w:sz="4" w:space="0"/>
              <w:left w:val="single" w:color="000000" w:sz="4" w:space="0"/>
              <w:right w:val="single" w:color="000000" w:sz="4" w:space="0"/>
            </w:tcBorders>
            <w:vAlign w:val="center"/>
          </w:tcPr>
          <w:p w14:paraId="457D1CC3">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14:paraId="452168C7">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14:paraId="753D1CB8">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“三公经费”变动率（2分）</w:t>
            </w:r>
          </w:p>
        </w:tc>
        <w:tc>
          <w:tcPr>
            <w:tcW w:w="3436" w:type="dxa"/>
            <w:tcBorders>
              <w:top w:val="single" w:color="auto" w:sz="4" w:space="0"/>
              <w:left w:val="single" w:color="auto" w:sz="4" w:space="0"/>
              <w:right w:val="single" w:color="auto" w:sz="4" w:space="0"/>
            </w:tcBorders>
            <w:vAlign w:val="center"/>
          </w:tcPr>
          <w:p w14:paraId="02DB31A3">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三公经费”预算数与上年度“三公经费”预算数的变动比率，用以反映和考核部门对控制重点行政成本的努力程度。“三公经费”变动率=[（本年度“三公经费”总额-上年度“三公经费”总额）/上年度“三公经费”总额]×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“三公经费”：年度预算安排的因公出国（境）费、公务车辆购置及运行费和公务招待费。</w:t>
            </w:r>
          </w:p>
        </w:tc>
        <w:tc>
          <w:tcPr>
            <w:tcW w:w="2373" w:type="dxa"/>
            <w:tcBorders>
              <w:top w:val="single" w:color="auto" w:sz="4" w:space="0"/>
              <w:left w:val="single" w:color="auto" w:sz="4" w:space="0"/>
              <w:right w:val="single" w:color="auto" w:sz="4" w:space="0"/>
            </w:tcBorders>
            <w:vAlign w:val="center"/>
          </w:tcPr>
          <w:p w14:paraId="1A876EE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小于或等于-5%的，得满分；</w:t>
            </w:r>
          </w:p>
          <w:p w14:paraId="28D2FD3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大于或等于10%的，得0分；</w:t>
            </w:r>
          </w:p>
          <w:p w14:paraId="14EE5BE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3.在职人员控制率在-5%-10%之间的，在0分和满分之间计算确定：</w:t>
            </w:r>
          </w:p>
          <w:p w14:paraId="6CBFE693">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shd w:val="clear"/>
            <w:vAlign w:val="center"/>
          </w:tcPr>
          <w:p w14:paraId="0E536A4D">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w:t>
            </w:r>
          </w:p>
        </w:tc>
      </w:tr>
      <w:tr w14:paraId="330A6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left w:val="single" w:color="000000" w:sz="4" w:space="0"/>
              <w:bottom w:val="single" w:color="000000" w:sz="4" w:space="0"/>
              <w:right w:val="single" w:color="000000" w:sz="4" w:space="0"/>
            </w:tcBorders>
            <w:vAlign w:val="center"/>
          </w:tcPr>
          <w:p w14:paraId="10F3F930">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bottom w:val="single" w:color="000000" w:sz="4" w:space="0"/>
              <w:right w:val="single" w:color="000000" w:sz="4" w:space="0"/>
            </w:tcBorders>
            <w:vAlign w:val="center"/>
          </w:tcPr>
          <w:p w14:paraId="1BF61CAA">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14:paraId="336B312E">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重点支出安排率（2分）</w:t>
            </w:r>
          </w:p>
        </w:tc>
        <w:tc>
          <w:tcPr>
            <w:tcW w:w="3436" w:type="dxa"/>
            <w:tcBorders>
              <w:top w:val="single" w:color="auto" w:sz="4" w:space="0"/>
              <w:left w:val="single" w:color="auto" w:sz="4" w:space="0"/>
              <w:right w:val="single" w:color="auto" w:sz="4" w:space="0"/>
            </w:tcBorders>
            <w:vAlign w:val="center"/>
          </w:tcPr>
          <w:p w14:paraId="6141FB04">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部门本年度预算安排的重点项目支出与部门项目总支出的比率，用以反映和考核部门对履行主要职责或完成重点任务的保障程度。重点支出安排率=（重点项目支出/项目总支出）×100%。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重点项目支出：部门（单位）年度预算安排的，与本部门履职和发展密切相关、具有明显社会和经济影响、党委政府关心或社会比较关注的项目支出总额。</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项目总支出：部门（单位）年度预算安排的项目支出总额。</w:t>
            </w:r>
          </w:p>
        </w:tc>
        <w:tc>
          <w:tcPr>
            <w:tcW w:w="2373" w:type="dxa"/>
            <w:tcBorders>
              <w:top w:val="single" w:color="auto" w:sz="4" w:space="0"/>
              <w:left w:val="single" w:color="auto" w:sz="4" w:space="0"/>
              <w:right w:val="single" w:color="auto" w:sz="4" w:space="0"/>
            </w:tcBorders>
            <w:vAlign w:val="center"/>
          </w:tcPr>
          <w:p w14:paraId="0F44A71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大于或等于95%的，得满分；</w:t>
            </w:r>
          </w:p>
          <w:p w14:paraId="39DD007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小于或等于85%的，得0分；</w:t>
            </w:r>
          </w:p>
          <w:p w14:paraId="722BC4A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在85%-95%之间的，在0分和满分之间计算确定：</w:t>
            </w:r>
          </w:p>
          <w:p w14:paraId="5715BD03">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得分=[某部门</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shd w:val="clear"/>
            <w:vAlign w:val="center"/>
          </w:tcPr>
          <w:p w14:paraId="6509943D">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w:t>
            </w:r>
          </w:p>
        </w:tc>
      </w:tr>
      <w:tr w14:paraId="512CD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198A7F6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过程(45分)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129962E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预算执行情况(25分)</w:t>
            </w:r>
          </w:p>
        </w:tc>
        <w:tc>
          <w:tcPr>
            <w:tcW w:w="1275" w:type="dxa"/>
            <w:tcBorders>
              <w:top w:val="single" w:color="000000" w:sz="4" w:space="0"/>
              <w:left w:val="single" w:color="000000" w:sz="4" w:space="0"/>
              <w:bottom w:val="single" w:color="000000" w:sz="4" w:space="0"/>
              <w:right w:val="single" w:color="auto" w:sz="4" w:space="0"/>
            </w:tcBorders>
            <w:vAlign w:val="center"/>
          </w:tcPr>
          <w:p w14:paraId="493D88C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预算完成率（5分）</w:t>
            </w:r>
          </w:p>
        </w:tc>
        <w:tc>
          <w:tcPr>
            <w:tcW w:w="3436" w:type="dxa"/>
            <w:tcBorders>
              <w:top w:val="single" w:color="000000" w:sz="4" w:space="0"/>
              <w:left w:val="single" w:color="auto" w:sz="4" w:space="0"/>
              <w:bottom w:val="single" w:color="000000" w:sz="4" w:space="0"/>
              <w:right w:val="single" w:color="auto" w:sz="4" w:space="0"/>
            </w:tcBorders>
            <w:vAlign w:val="center"/>
          </w:tcPr>
          <w:p w14:paraId="71ED75B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通过对部门本年度预算完成数与预算数的比较，反映和评价部门预算的完成程度。</w:t>
            </w:r>
          </w:p>
          <w:p w14:paraId="2D10837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预算完成率=（预算完成数/预算数）×100%。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78F3E56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1.预算完成率大于或等于95%的，得满分；</w:t>
            </w:r>
          </w:p>
          <w:p w14:paraId="7DA8896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2.预算完成率小于或等于85%的，得0分；</w:t>
            </w:r>
          </w:p>
          <w:p w14:paraId="309E5A0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3.预算完成率在85%-95%之间的，在0分和满分之间计算确定：</w:t>
            </w:r>
          </w:p>
          <w:p w14:paraId="44D58AF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得分=[某部门预算完成率-min（预算完成率）]/[max（预算完成率）－min（预算完成率）]×该指标分值。</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69D2744B">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14:paraId="7D323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5F37C2D">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3D8CDC9D">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7D7E605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预算调整率（3分）</w:t>
            </w:r>
          </w:p>
        </w:tc>
        <w:tc>
          <w:tcPr>
            <w:tcW w:w="3436" w:type="dxa"/>
            <w:tcBorders>
              <w:top w:val="single" w:color="000000" w:sz="4" w:space="0"/>
              <w:left w:val="single" w:color="auto" w:sz="4" w:space="0"/>
              <w:bottom w:val="single" w:color="000000" w:sz="4" w:space="0"/>
              <w:right w:val="single" w:color="auto" w:sz="4" w:space="0"/>
            </w:tcBorders>
            <w:vAlign w:val="center"/>
          </w:tcPr>
          <w:p w14:paraId="53E731F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部门本年度预算调整数与预算数的比率，用以反映和评价部门预算的调整程度。</w:t>
            </w:r>
          </w:p>
          <w:p w14:paraId="32C3F23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预算调整率=（预算调整数/预算数）×100%。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15CBD66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1.预算调整率等于0的，得满分； </w:t>
            </w:r>
          </w:p>
          <w:p w14:paraId="0C73705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2.预算调整率大于或等于10%的，得0分；</w:t>
            </w:r>
          </w:p>
          <w:p w14:paraId="4AC680D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3.预算调整率在0-10%之间的，在0分和满分之间确定：</w:t>
            </w:r>
          </w:p>
          <w:p w14:paraId="0C8B313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得分=［max（预算调整率）-某部门预算调整率］/［max（预算调整率）-min（预算调整率）］×该指标分值。</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2319D771">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3</w:t>
            </w:r>
          </w:p>
        </w:tc>
      </w:tr>
      <w:tr w14:paraId="7AFC7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170ABAB3">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6231954C">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5E6A36F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支付进度率</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14:paraId="48EED1B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部门年度支付数与年度任务数的比率，用以反映和评价部门预算执行的及时和均衡程度。</w:t>
            </w:r>
          </w:p>
          <w:p w14:paraId="3763E0C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支付进度率=（年度支付数/年度任务数）×100%。</w:t>
            </w:r>
          </w:p>
        </w:tc>
        <w:tc>
          <w:tcPr>
            <w:tcW w:w="2373" w:type="dxa"/>
            <w:tcBorders>
              <w:top w:val="single" w:color="000000" w:sz="4" w:space="0"/>
              <w:left w:val="single" w:color="auto" w:sz="4" w:space="0"/>
              <w:bottom w:val="single" w:color="000000" w:sz="4" w:space="0"/>
              <w:right w:val="single" w:color="auto" w:sz="4" w:space="0"/>
            </w:tcBorders>
            <w:vAlign w:val="center"/>
          </w:tcPr>
          <w:p w14:paraId="64C6E6B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按年度的执行情况进行打分。得分=年度支付数/年度任务数×该指标分值。</w:t>
            </w:r>
          </w:p>
          <w:p w14:paraId="2C8A8C1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7B2267EF">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14:paraId="366F3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08F47387">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6060AC17">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1F3263C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292F8D1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通过对部门本年度结转结余总额与支出预算数的比较，反映和评价部门对本年度结转结余资金的实际控制程度。</w:t>
            </w:r>
          </w:p>
          <w:p w14:paraId="2F7E078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结转结余率=（结转结余总额/支出预算数）×100%。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70DD2D5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1.结转结余率等于0的，得满分；</w:t>
            </w:r>
          </w:p>
          <w:p w14:paraId="71D1A6D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2.结转结余率大于或等于50%的，得0分；</w:t>
            </w:r>
          </w:p>
          <w:p w14:paraId="00E2F66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3.结转结余率在0-50%之间的，在0和满分之间计算确定：</w:t>
            </w:r>
          </w:p>
          <w:p w14:paraId="4F911C8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得分=[max（结转结余率）－某部门结转结余率]/[max（结转结余率）－min（结转结余率）]×该指标分值。</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3112D241">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w:t>
            </w:r>
          </w:p>
        </w:tc>
      </w:tr>
      <w:tr w14:paraId="38B9E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79A00469">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0B91E38E">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0C01C2D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4F93F4A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通过对部门本年度实际支出的公用经费总额与预算安排的公用经费总额的比率，反映和评价部门对机构运转成本的实际控制程度。</w:t>
            </w:r>
          </w:p>
          <w:p w14:paraId="397D618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公用经费控制率=（实际支出公用经费总额/预算安排公用经费总额）×100%。</w:t>
            </w:r>
          </w:p>
        </w:tc>
        <w:tc>
          <w:tcPr>
            <w:tcW w:w="2373" w:type="dxa"/>
            <w:tcBorders>
              <w:top w:val="single" w:color="000000" w:sz="4" w:space="0"/>
              <w:left w:val="single" w:color="auto" w:sz="4" w:space="0"/>
              <w:bottom w:val="single" w:color="000000" w:sz="4" w:space="0"/>
              <w:right w:val="single" w:color="auto" w:sz="4" w:space="0"/>
            </w:tcBorders>
            <w:vAlign w:val="center"/>
          </w:tcPr>
          <w:p w14:paraId="0322DD9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1.公用经费控制率小于或等于100%的，得满分；</w:t>
            </w:r>
          </w:p>
          <w:p w14:paraId="46B30D9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2.公用经费控制率大于或等于105%的，得0分；</w:t>
            </w:r>
          </w:p>
          <w:p w14:paraId="52F17541">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3.公用经费控制率在100%-105%之间的，在0和满分之间计算确定：</w:t>
            </w:r>
          </w:p>
          <w:p w14:paraId="7F56B72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得分=［max（公用经费控制率）-某部门公用经费控制率］/［max（公用经费控制率）-min（公用经费控制率）］×该指标分值。</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4DE2F39B">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w:t>
            </w:r>
          </w:p>
        </w:tc>
      </w:tr>
      <w:tr w14:paraId="3FCD1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199E04EB">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21918506">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17D2372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3AF66E64">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通过对部门本年度实际政府采购预算项目个数与政府采购预算项目个数的比较，反映和评价部门政府采购预算执行情况。</w:t>
            </w:r>
          </w:p>
          <w:p w14:paraId="52C5D69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政府采购执行率=（实际政府采购预算项目个数/政府采购预算项目个数）×100%。</w:t>
            </w:r>
          </w:p>
          <w:p w14:paraId="7778069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政府采购项目中非预算内安排的项目除外。</w:t>
            </w:r>
          </w:p>
        </w:tc>
        <w:tc>
          <w:tcPr>
            <w:tcW w:w="2373" w:type="dxa"/>
            <w:tcBorders>
              <w:top w:val="single" w:color="000000" w:sz="4" w:space="0"/>
              <w:left w:val="single" w:color="auto" w:sz="4" w:space="0"/>
              <w:bottom w:val="single" w:color="000000" w:sz="4" w:space="0"/>
              <w:right w:val="single" w:color="auto" w:sz="4" w:space="0"/>
            </w:tcBorders>
            <w:vAlign w:val="center"/>
          </w:tcPr>
          <w:p w14:paraId="703E3A7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1.政府采购执行率等于100%的，得满分；</w:t>
            </w:r>
          </w:p>
          <w:p w14:paraId="521CED4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2.政府采购执行率小于或等于90%的，0分；</w:t>
            </w:r>
          </w:p>
          <w:p w14:paraId="5729239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3.政府采购执行率在90%-100%之间的，在0和满分之间计算确定：</w:t>
            </w:r>
          </w:p>
          <w:p w14:paraId="0916C3A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得分=［某部门政府采购执行率-min（政府采购执行率）］/［max（政府采购执行率）-min（政府采购执行率）］×该指标分值。</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5DF368D0">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w:t>
            </w:r>
          </w:p>
        </w:tc>
      </w:tr>
      <w:tr w14:paraId="3714B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720487AC">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2F1297B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预算管理情况</w:t>
            </w:r>
          </w:p>
          <w:p w14:paraId="2B4BA3B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（15）</w:t>
            </w:r>
          </w:p>
        </w:tc>
        <w:tc>
          <w:tcPr>
            <w:tcW w:w="1275" w:type="dxa"/>
            <w:tcBorders>
              <w:top w:val="single" w:color="000000" w:sz="4" w:space="0"/>
              <w:left w:val="single" w:color="000000" w:sz="4" w:space="0"/>
              <w:bottom w:val="single" w:color="000000" w:sz="4" w:space="0"/>
              <w:right w:val="single" w:color="auto" w:sz="4" w:space="0"/>
            </w:tcBorders>
            <w:vAlign w:val="center"/>
          </w:tcPr>
          <w:p w14:paraId="0497181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资金使用合规性（8分）</w:t>
            </w:r>
          </w:p>
        </w:tc>
        <w:tc>
          <w:tcPr>
            <w:tcW w:w="3436" w:type="dxa"/>
            <w:tcBorders>
              <w:top w:val="single" w:color="000000" w:sz="4" w:space="0"/>
              <w:left w:val="single" w:color="auto" w:sz="4" w:space="0"/>
              <w:bottom w:val="single" w:color="000000" w:sz="4" w:space="0"/>
              <w:right w:val="single" w:color="auto" w:sz="4" w:space="0"/>
            </w:tcBorders>
            <w:vAlign w:val="center"/>
          </w:tcPr>
          <w:p w14:paraId="2532D85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部门使用预算资金是否符合相关的预算财务管理制度的规定，反映和评价部门预算资金的规范运行情况。</w:t>
            </w:r>
          </w:p>
          <w:p w14:paraId="6024FD1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6793C1D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1.符合国家财经法规和财务管理制度规定以及有关部门资金管理办法的规定；</w:t>
            </w:r>
          </w:p>
          <w:p w14:paraId="39E0411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2.资金的拨付有完整的审批过程和手续；</w:t>
            </w:r>
          </w:p>
          <w:p w14:paraId="6D75F3C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3.项目的重大开支经过评估论证；</w:t>
            </w:r>
          </w:p>
          <w:p w14:paraId="02A6F2F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4.符合部门预算批复的用途；</w:t>
            </w:r>
          </w:p>
          <w:p w14:paraId="5D9F80B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5.不存在截留情况；</w:t>
            </w:r>
          </w:p>
          <w:p w14:paraId="73D14DA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6.不存在挤占情况；</w:t>
            </w:r>
          </w:p>
          <w:p w14:paraId="7B2ECB2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7.不存在挪用情况；</w:t>
            </w:r>
          </w:p>
          <w:p w14:paraId="3FA2D8B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8.不存在虚列支出情况。</w:t>
            </w:r>
          </w:p>
        </w:tc>
        <w:tc>
          <w:tcPr>
            <w:tcW w:w="2373" w:type="dxa"/>
            <w:tcBorders>
              <w:top w:val="single" w:color="000000" w:sz="4" w:space="0"/>
              <w:left w:val="single" w:color="auto" w:sz="4" w:space="0"/>
              <w:bottom w:val="single" w:color="000000" w:sz="4" w:space="0"/>
              <w:right w:val="single" w:color="auto" w:sz="4" w:space="0"/>
            </w:tcBorders>
            <w:vAlign w:val="center"/>
          </w:tcPr>
          <w:p w14:paraId="6306EC4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全部符合（8）；</w:t>
            </w:r>
          </w:p>
          <w:p w14:paraId="5DF3993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符合其中七项（6）；</w:t>
            </w:r>
          </w:p>
          <w:p w14:paraId="58F2A84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符合其中六项（4）；</w:t>
            </w:r>
          </w:p>
          <w:p w14:paraId="39103ED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符合其中五项（2）；</w:t>
            </w:r>
          </w:p>
          <w:p w14:paraId="7349E47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符合其中四项及以下（0）。</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33A1B567">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8</w:t>
            </w:r>
          </w:p>
        </w:tc>
      </w:tr>
      <w:tr w14:paraId="5AAEA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00C1C25D">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313C459B">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4B0B45F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预决算信息公开性（3分）</w:t>
            </w:r>
          </w:p>
        </w:tc>
        <w:tc>
          <w:tcPr>
            <w:tcW w:w="3436" w:type="dxa"/>
            <w:tcBorders>
              <w:top w:val="single" w:color="000000" w:sz="4" w:space="0"/>
              <w:left w:val="single" w:color="auto" w:sz="4" w:space="0"/>
              <w:bottom w:val="single" w:color="000000" w:sz="4" w:space="0"/>
              <w:right w:val="single" w:color="auto" w:sz="4" w:space="0"/>
            </w:tcBorders>
            <w:vAlign w:val="center"/>
          </w:tcPr>
          <w:p w14:paraId="486F2A2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部门是否按照政府信息公开有关规定公开相关预决算信息，用以反映和评价部门预决算管理的公开透明情况。</w:t>
            </w:r>
          </w:p>
          <w:p w14:paraId="288AC63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预决算信息是指与部门预算、执行、决算、监督、绩效等管理相关的信息。</w:t>
            </w:r>
          </w:p>
          <w:p w14:paraId="4C18B8A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3DAD30E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1.公开预决算信息；</w:t>
            </w:r>
          </w:p>
          <w:p w14:paraId="5A599AE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2.按规定内容公开预决算信息；</w:t>
            </w:r>
          </w:p>
          <w:p w14:paraId="3326F1A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3.按规定时限公开预决算信息。</w:t>
            </w:r>
          </w:p>
        </w:tc>
        <w:tc>
          <w:tcPr>
            <w:tcW w:w="2373" w:type="dxa"/>
            <w:tcBorders>
              <w:top w:val="single" w:color="000000" w:sz="4" w:space="0"/>
              <w:left w:val="single" w:color="auto" w:sz="4" w:space="0"/>
              <w:bottom w:val="single" w:color="000000" w:sz="4" w:space="0"/>
              <w:right w:val="single" w:color="auto" w:sz="4" w:space="0"/>
            </w:tcBorders>
            <w:vAlign w:val="center"/>
          </w:tcPr>
          <w:p w14:paraId="0866280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全部符合（3）；</w:t>
            </w:r>
          </w:p>
          <w:p w14:paraId="05F55DF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14:paraId="3AF59FA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081AB025">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3</w:t>
            </w:r>
          </w:p>
        </w:tc>
      </w:tr>
      <w:tr w14:paraId="6CFF2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2ED1B35A">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5D722EC2">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7FF9580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基础信息完善性</w:t>
            </w:r>
            <w:r>
              <w:rPr>
                <w:rFonts w:hint="eastAsia" w:ascii="仿宋_GB2312" w:hAnsi="仿宋_GB2312" w:eastAsia="仿宋_GB2312" w:cs="仿宋_GB2312"/>
                <w:kern w:val="0"/>
                <w:sz w:val="21"/>
                <w:szCs w:val="21"/>
                <w:lang w:bidi="ar"/>
              </w:rPr>
              <w:t>（4分）</w:t>
            </w:r>
          </w:p>
        </w:tc>
        <w:tc>
          <w:tcPr>
            <w:tcW w:w="3436" w:type="dxa"/>
            <w:tcBorders>
              <w:top w:val="single" w:color="000000" w:sz="4" w:space="0"/>
              <w:left w:val="single" w:color="auto" w:sz="4" w:space="0"/>
              <w:bottom w:val="single" w:color="000000" w:sz="4" w:space="0"/>
              <w:right w:val="single" w:color="auto" w:sz="4" w:space="0"/>
            </w:tcBorders>
            <w:vAlign w:val="center"/>
          </w:tcPr>
          <w:p w14:paraId="5CCD283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部门基础信息是否完善，用以反映和评价基础信息对预算管理工作的支撑情况。</w:t>
            </w:r>
          </w:p>
          <w:p w14:paraId="0E134A7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454FE6E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1.基本财务管理制度健全；</w:t>
            </w:r>
          </w:p>
          <w:p w14:paraId="6A13AE3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2.基础数据信息和会计信息资料真实；</w:t>
            </w:r>
          </w:p>
          <w:p w14:paraId="31BF68E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3.基础数据信息和会计信息资料完整；</w:t>
            </w:r>
          </w:p>
          <w:p w14:paraId="5687770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4.基础数据信息和会计信息资料准确。</w:t>
            </w:r>
          </w:p>
        </w:tc>
        <w:tc>
          <w:tcPr>
            <w:tcW w:w="2373" w:type="dxa"/>
            <w:tcBorders>
              <w:top w:val="single" w:color="000000" w:sz="4" w:space="0"/>
              <w:left w:val="single" w:color="auto" w:sz="4" w:space="0"/>
              <w:bottom w:val="single" w:color="000000" w:sz="4" w:space="0"/>
              <w:right w:val="single" w:color="auto" w:sz="4" w:space="0"/>
            </w:tcBorders>
            <w:vAlign w:val="center"/>
          </w:tcPr>
          <w:p w14:paraId="4E91FB1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符合全部四项（4）；</w:t>
            </w:r>
          </w:p>
          <w:p w14:paraId="3536FDB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符合其中三项（2）；</w:t>
            </w:r>
          </w:p>
          <w:p w14:paraId="5000635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符合其中两项（1）；</w:t>
            </w:r>
          </w:p>
          <w:p w14:paraId="3A52086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61285B56">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w:t>
            </w:r>
          </w:p>
        </w:tc>
      </w:tr>
      <w:tr w14:paraId="26165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76922B32">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19AD0E1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资产管理情况（5分）</w:t>
            </w:r>
          </w:p>
        </w:tc>
        <w:tc>
          <w:tcPr>
            <w:tcW w:w="1275" w:type="dxa"/>
            <w:tcBorders>
              <w:top w:val="single" w:color="auto" w:sz="4" w:space="0"/>
              <w:left w:val="single" w:color="000000" w:sz="4" w:space="0"/>
              <w:bottom w:val="single" w:color="000000" w:sz="4" w:space="0"/>
              <w:right w:val="single" w:color="auto" w:sz="4" w:space="0"/>
            </w:tcBorders>
            <w:vAlign w:val="center"/>
          </w:tcPr>
          <w:p w14:paraId="55BCC44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资产管理完整性（2分）</w:t>
            </w:r>
          </w:p>
        </w:tc>
        <w:tc>
          <w:tcPr>
            <w:tcW w:w="3436" w:type="dxa"/>
            <w:tcBorders>
              <w:top w:val="single" w:color="auto" w:sz="4" w:space="0"/>
              <w:left w:val="single" w:color="auto" w:sz="4" w:space="0"/>
              <w:bottom w:val="single" w:color="000000" w:sz="4" w:space="0"/>
              <w:right w:val="single" w:color="auto" w:sz="4" w:space="0"/>
            </w:tcBorders>
            <w:vAlign w:val="center"/>
          </w:tcPr>
          <w:p w14:paraId="0379EC7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部门的资产是否保存完整、使用合规、收入及时足额上缴，用以反映和评价部门资产运行情况。</w:t>
            </w:r>
          </w:p>
          <w:p w14:paraId="0CF291B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4935535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1.资产保存完整；</w:t>
            </w:r>
          </w:p>
          <w:p w14:paraId="7F1BA3F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2.资产账务管理是否合规，帐实相符；</w:t>
            </w:r>
          </w:p>
          <w:p w14:paraId="24DE311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3.资产有偿使用及处置收入及时足额上缴。</w:t>
            </w:r>
          </w:p>
        </w:tc>
        <w:tc>
          <w:tcPr>
            <w:tcW w:w="2373" w:type="dxa"/>
            <w:tcBorders>
              <w:top w:val="single" w:color="auto" w:sz="4" w:space="0"/>
              <w:left w:val="single" w:color="auto" w:sz="4" w:space="0"/>
              <w:bottom w:val="single" w:color="000000" w:sz="4" w:space="0"/>
              <w:right w:val="single" w:color="auto" w:sz="4" w:space="0"/>
            </w:tcBorders>
            <w:vAlign w:val="center"/>
          </w:tcPr>
          <w:p w14:paraId="30EC79A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符合全部三项（3）；</w:t>
            </w:r>
          </w:p>
          <w:p w14:paraId="3900C35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14:paraId="0DC0E2A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符合其中一项（1）；</w:t>
            </w:r>
          </w:p>
          <w:p w14:paraId="43D9460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符合零项（0）。</w:t>
            </w:r>
          </w:p>
        </w:tc>
        <w:tc>
          <w:tcPr>
            <w:tcW w:w="764" w:type="dxa"/>
            <w:tcBorders>
              <w:top w:val="single" w:color="auto" w:sz="4" w:space="0"/>
              <w:left w:val="single" w:color="auto" w:sz="4" w:space="0"/>
              <w:bottom w:val="single" w:color="000000" w:sz="4" w:space="0"/>
              <w:right w:val="single" w:color="000000" w:sz="4" w:space="0"/>
            </w:tcBorders>
            <w:shd w:val="clear"/>
            <w:vAlign w:val="center"/>
          </w:tcPr>
          <w:p w14:paraId="21EC5CE6">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w:t>
            </w:r>
          </w:p>
        </w:tc>
      </w:tr>
      <w:tr w14:paraId="0F448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76BDA5CE">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492560E6">
            <w:pPr>
              <w:spacing w:line="240" w:lineRule="exact"/>
              <w:rPr>
                <w:rFonts w:hint="eastAsia" w:ascii="仿宋_GB2312" w:hAnsi="仿宋_GB2312" w:eastAsia="仿宋_GB2312" w:cs="仿宋_GB2312"/>
                <w:sz w:val="21"/>
                <w:szCs w:val="21"/>
              </w:rPr>
            </w:pPr>
          </w:p>
        </w:tc>
        <w:tc>
          <w:tcPr>
            <w:tcW w:w="1275" w:type="dxa"/>
            <w:tcBorders>
              <w:top w:val="single" w:color="auto" w:sz="4" w:space="0"/>
              <w:left w:val="single" w:color="000000" w:sz="4" w:space="0"/>
              <w:bottom w:val="single" w:color="000000" w:sz="4" w:space="0"/>
              <w:right w:val="single" w:color="auto" w:sz="4" w:space="0"/>
            </w:tcBorders>
            <w:vAlign w:val="center"/>
          </w:tcPr>
          <w:p w14:paraId="332DE68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固定资产利用率（3分）</w:t>
            </w:r>
          </w:p>
        </w:tc>
        <w:tc>
          <w:tcPr>
            <w:tcW w:w="3436" w:type="dxa"/>
            <w:tcBorders>
              <w:top w:val="single" w:color="auto" w:sz="4" w:space="0"/>
              <w:left w:val="single" w:color="auto" w:sz="4" w:space="0"/>
              <w:bottom w:val="single" w:color="000000" w:sz="4" w:space="0"/>
              <w:right w:val="single" w:color="auto" w:sz="4" w:space="0"/>
            </w:tcBorders>
            <w:vAlign w:val="center"/>
          </w:tcPr>
          <w:p w14:paraId="1E9CDB1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部门实际在用固定资产总额与所有固定资产总额的比率，用以反映和评价部门固定资产使用效率。</w:t>
            </w:r>
          </w:p>
          <w:p w14:paraId="334EEEA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固定资产利用率=（实际在用固定资产总额/所有固定资产总额）×100%。</w:t>
            </w:r>
          </w:p>
        </w:tc>
        <w:tc>
          <w:tcPr>
            <w:tcW w:w="2373" w:type="dxa"/>
            <w:tcBorders>
              <w:top w:val="single" w:color="auto" w:sz="4" w:space="0"/>
              <w:left w:val="single" w:color="auto" w:sz="4" w:space="0"/>
              <w:bottom w:val="single" w:color="000000" w:sz="4" w:space="0"/>
              <w:right w:val="single" w:color="auto" w:sz="4" w:space="0"/>
            </w:tcBorders>
            <w:vAlign w:val="center"/>
          </w:tcPr>
          <w:p w14:paraId="6A0120E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1.固定资产利用率大于或等于95%的，得满分；</w:t>
            </w:r>
          </w:p>
          <w:p w14:paraId="794F1C9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2.固定资产利用率小于或等于85%的，得0分；</w:t>
            </w:r>
          </w:p>
          <w:p w14:paraId="54FE6BFA">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3.固定资产利用率在85%-95%之间的，在0和满分之间计算确定：</w:t>
            </w:r>
          </w:p>
          <w:p w14:paraId="343C66B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得分=［某部门固定资产利用率-min（固定资产利用率）］/［max（固定资产利用率）-min（固定资产利用率）］×该指标分值。</w:t>
            </w:r>
          </w:p>
        </w:tc>
        <w:tc>
          <w:tcPr>
            <w:tcW w:w="764" w:type="dxa"/>
            <w:tcBorders>
              <w:top w:val="single" w:color="auto" w:sz="4" w:space="0"/>
              <w:left w:val="single" w:color="auto" w:sz="4" w:space="0"/>
              <w:bottom w:val="single" w:color="000000" w:sz="4" w:space="0"/>
              <w:right w:val="single" w:color="000000" w:sz="4" w:space="0"/>
            </w:tcBorders>
            <w:shd w:val="clear"/>
            <w:vAlign w:val="center"/>
          </w:tcPr>
          <w:p w14:paraId="7D1246C5">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3</w:t>
            </w:r>
          </w:p>
        </w:tc>
      </w:tr>
      <w:tr w14:paraId="19D59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7EFC989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产出(25分)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58D4AC8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职责履行情况（25）</w:t>
            </w:r>
          </w:p>
        </w:tc>
        <w:tc>
          <w:tcPr>
            <w:tcW w:w="1275" w:type="dxa"/>
            <w:tcBorders>
              <w:top w:val="single" w:color="000000" w:sz="4" w:space="0"/>
              <w:left w:val="single" w:color="000000" w:sz="4" w:space="0"/>
              <w:bottom w:val="single" w:color="auto" w:sz="4" w:space="0"/>
              <w:right w:val="single" w:color="auto" w:sz="4" w:space="0"/>
            </w:tcBorders>
            <w:vAlign w:val="center"/>
          </w:tcPr>
          <w:p w14:paraId="7F180A9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履职完成情况（10分）</w:t>
            </w:r>
          </w:p>
        </w:tc>
        <w:tc>
          <w:tcPr>
            <w:tcW w:w="3436" w:type="dxa"/>
            <w:tcBorders>
              <w:top w:val="single" w:color="000000" w:sz="4" w:space="0"/>
              <w:left w:val="single" w:color="auto" w:sz="4" w:space="0"/>
              <w:bottom w:val="single" w:color="auto" w:sz="4" w:space="0"/>
              <w:right w:val="single" w:color="auto" w:sz="4" w:space="0"/>
            </w:tcBorders>
            <w:vAlign w:val="center"/>
          </w:tcPr>
          <w:p w14:paraId="22A903AD">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根据年度主要任务分解表的的具体任务，逐项评价任务量化指标完成情况、实施效果和责任制建立情况。用以反映和考核部门（单位）履职工作任务目标的完成情况。评价要点：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1.每项任务是否已制定了明确、具体、可量化、可衡量的绩效指标；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2.每项任务绩效指标的完成情况，是全部完成、基本完成、未完成，还是未实施；</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3.每项任务实施效果情况，是优秀、良好、一般，还是无效果；</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4.每项任务是否建立了目标责任制，是否落实到具体部门和人员负责。</w:t>
            </w:r>
          </w:p>
        </w:tc>
        <w:tc>
          <w:tcPr>
            <w:tcW w:w="2373" w:type="dxa"/>
            <w:tcBorders>
              <w:top w:val="single" w:color="000000" w:sz="4" w:space="0"/>
              <w:left w:val="single" w:color="auto" w:sz="4" w:space="0"/>
              <w:bottom w:val="single" w:color="auto" w:sz="4" w:space="0"/>
              <w:right w:val="single" w:color="auto" w:sz="4" w:space="0"/>
            </w:tcBorders>
            <w:vAlign w:val="center"/>
          </w:tcPr>
          <w:p w14:paraId="1AEB0F8A">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根据不同部门履职的内容和特点，具体测算部门履职工作任务目标的完成情况。</w:t>
            </w:r>
          </w:p>
        </w:tc>
        <w:tc>
          <w:tcPr>
            <w:tcW w:w="764" w:type="dxa"/>
            <w:tcBorders>
              <w:top w:val="single" w:color="000000" w:sz="4" w:space="0"/>
              <w:left w:val="single" w:color="auto" w:sz="4" w:space="0"/>
              <w:bottom w:val="single" w:color="auto" w:sz="4" w:space="0"/>
              <w:right w:val="single" w:color="000000" w:sz="4" w:space="0"/>
            </w:tcBorders>
            <w:shd w:val="clear"/>
            <w:vAlign w:val="center"/>
          </w:tcPr>
          <w:p w14:paraId="0FD114A3">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10</w:t>
            </w:r>
          </w:p>
        </w:tc>
      </w:tr>
      <w:tr w14:paraId="56E52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107196E4">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465C4826">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right w:val="single" w:color="auto" w:sz="4" w:space="0"/>
            </w:tcBorders>
            <w:vAlign w:val="center"/>
          </w:tcPr>
          <w:p w14:paraId="4856920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项目完成质量达标率（15）</w:t>
            </w:r>
          </w:p>
        </w:tc>
        <w:tc>
          <w:tcPr>
            <w:tcW w:w="3436" w:type="dxa"/>
            <w:tcBorders>
              <w:top w:val="single" w:color="000000" w:sz="4" w:space="0"/>
              <w:left w:val="single" w:color="auto" w:sz="4" w:space="0"/>
              <w:right w:val="single" w:color="auto" w:sz="4" w:space="0"/>
            </w:tcBorders>
            <w:vAlign w:val="center"/>
          </w:tcPr>
          <w:p w14:paraId="61C96BE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部门已完成项目中质量达标项目个数占已完成项目个数的比率,用以反映和评价部门履职质量目标的实现程度。</w:t>
            </w:r>
          </w:p>
          <w:p w14:paraId="7C891B5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项目质量达标率=（已完成项目中质量达标项目个数/已完成项目个数）×100%。</w:t>
            </w:r>
          </w:p>
          <w:p w14:paraId="453FB98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项目质量达标是指项目决算验收合格。</w:t>
            </w:r>
          </w:p>
        </w:tc>
        <w:tc>
          <w:tcPr>
            <w:tcW w:w="2373" w:type="dxa"/>
            <w:tcBorders>
              <w:top w:val="single" w:color="000000" w:sz="4" w:space="0"/>
              <w:left w:val="single" w:color="auto" w:sz="4" w:space="0"/>
              <w:right w:val="single" w:color="auto" w:sz="4" w:space="0"/>
            </w:tcBorders>
            <w:vAlign w:val="center"/>
          </w:tcPr>
          <w:p w14:paraId="3A214B6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1.项目质量达标率等于100%的，得满分；</w:t>
            </w:r>
          </w:p>
          <w:p w14:paraId="743E227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2.项目质量达标率小于或等于99%的，得0分；</w:t>
            </w:r>
          </w:p>
          <w:p w14:paraId="5E189F7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3.项目质量达标率在99%-100%之间的，在0和满分之间计算确定： </w:t>
            </w:r>
          </w:p>
          <w:p w14:paraId="2D2C6D8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得分=［某部门项目质量达标率-min（项目质量达标率）］/［max（项目质量达标率）-min（项目质量达标率）］×该指标分值。</w:t>
            </w:r>
          </w:p>
        </w:tc>
        <w:tc>
          <w:tcPr>
            <w:tcW w:w="764" w:type="dxa"/>
            <w:tcBorders>
              <w:top w:val="single" w:color="000000" w:sz="4" w:space="0"/>
              <w:left w:val="single" w:color="auto" w:sz="4" w:space="0"/>
              <w:bottom w:val="single" w:color="auto" w:sz="4" w:space="0"/>
              <w:right w:val="single" w:color="000000" w:sz="4" w:space="0"/>
            </w:tcBorders>
            <w:shd w:val="clear"/>
            <w:vAlign w:val="center"/>
          </w:tcPr>
          <w:p w14:paraId="743AF71E">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15</w:t>
            </w:r>
          </w:p>
        </w:tc>
      </w:tr>
      <w:tr w14:paraId="7635C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5DA730D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效果（20分）</w:t>
            </w:r>
          </w:p>
        </w:tc>
        <w:tc>
          <w:tcPr>
            <w:tcW w:w="743" w:type="dxa"/>
            <w:vMerge w:val="restart"/>
            <w:tcBorders>
              <w:top w:val="single" w:color="auto" w:sz="4" w:space="0"/>
              <w:left w:val="single" w:color="000000" w:sz="4" w:space="0"/>
              <w:right w:val="single" w:color="000000" w:sz="4" w:space="0"/>
            </w:tcBorders>
            <w:vAlign w:val="center"/>
          </w:tcPr>
          <w:p w14:paraId="1E83085E">
            <w:pPr>
              <w:widowControl/>
              <w:spacing w:line="240" w:lineRule="exact"/>
              <w:jc w:val="left"/>
              <w:rPr>
                <w:rFonts w:hint="eastAsia" w:ascii="仿宋_GB2312" w:hAnsi="仿宋_GB2312" w:eastAsia="仿宋_GB2312" w:cs="仿宋_GB2312"/>
                <w:kern w:val="0"/>
                <w:sz w:val="21"/>
                <w:szCs w:val="21"/>
                <w:lang w:bidi="ar"/>
              </w:rPr>
            </w:pPr>
          </w:p>
          <w:p w14:paraId="0916F39A">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履职效益情况</w:t>
            </w:r>
          </w:p>
          <w:p w14:paraId="4B7EE367">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（20分）</w:t>
            </w:r>
          </w:p>
        </w:tc>
        <w:tc>
          <w:tcPr>
            <w:tcW w:w="1275" w:type="dxa"/>
            <w:tcBorders>
              <w:top w:val="single" w:color="000000" w:sz="4" w:space="0"/>
              <w:left w:val="single" w:color="000000" w:sz="4" w:space="0"/>
              <w:bottom w:val="single" w:color="000000" w:sz="4" w:space="0"/>
              <w:right w:val="single" w:color="auto" w:sz="4" w:space="0"/>
            </w:tcBorders>
            <w:vAlign w:val="center"/>
          </w:tcPr>
          <w:p w14:paraId="320371D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经济效益</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14:paraId="7CADA7E7">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部门及所属二级单位通过履行职责和预算安排支出项目的实施，对我市带来的经济影响。</w:t>
            </w:r>
          </w:p>
          <w:p w14:paraId="6C6575CC">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1.通过部门所属企事业单位改革，促进了企事业单位效益增长情况；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2.通过预算支出项目的实施，促进了行业生产能力增长，从而带动行业经济效益增长；</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3.通过预算支出项目的实施，有效提高劳动效率，节约成本费用；</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4.通过预算支出项目的实施，降低了损耗，从而提高了生产效益；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5.通过预算支出项目的实施，完善了突发情况的监测预警，保障了生产安全，降低了生产损失。</w:t>
            </w:r>
          </w:p>
        </w:tc>
        <w:tc>
          <w:tcPr>
            <w:tcW w:w="2373" w:type="dxa"/>
            <w:tcBorders>
              <w:top w:val="single" w:color="000000" w:sz="4" w:space="0"/>
              <w:left w:val="single" w:color="auto" w:sz="4" w:space="0"/>
              <w:bottom w:val="single" w:color="000000" w:sz="4" w:space="0"/>
              <w:right w:val="single" w:color="auto" w:sz="4" w:space="0"/>
            </w:tcBorders>
            <w:vAlign w:val="center"/>
          </w:tcPr>
          <w:p w14:paraId="111AB327">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根据不同部门履职的内容和特点，具体测算部门履职产生的经济效益。</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0111F207">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14:paraId="7CF35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14:paraId="3DC77279">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14:paraId="325DD4AF">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0045A41D">
            <w:pPr>
              <w:widowControl/>
              <w:spacing w:line="240" w:lineRule="exac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社会效益（5分）</w:t>
            </w:r>
          </w:p>
        </w:tc>
        <w:tc>
          <w:tcPr>
            <w:tcW w:w="3436" w:type="dxa"/>
            <w:tcBorders>
              <w:top w:val="single" w:color="000000" w:sz="4" w:space="0"/>
              <w:left w:val="single" w:color="auto" w:sz="4" w:space="0"/>
              <w:bottom w:val="single" w:color="000000" w:sz="4" w:space="0"/>
              <w:right w:val="single" w:color="auto" w:sz="4" w:space="0"/>
            </w:tcBorders>
            <w:vAlign w:val="center"/>
          </w:tcPr>
          <w:p w14:paraId="059EDF32">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部门及所属二级单位履行职责对社会发展所带来的直接或间接影响。</w:t>
            </w:r>
          </w:p>
          <w:p w14:paraId="61CF3F81">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1.通过部门所属企事业单位的改革，促进了企事业单位可持续发展，带动就业增长情况；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2.通过预算支出项目的实施，是否明显促进了行业精神文明建设；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3.通过部门履职是否明显提高城乡居民生活水平，满足了人们日益增长的物质与文化生活需求；</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4.通过预算项目的实施，是否提高了劳动生产率，降低了劳动强度，促进了劳动人民的身心健康；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5.通过部门履职行业形象是否得到了大大提升了，增强了部门影响力。</w:t>
            </w:r>
          </w:p>
        </w:tc>
        <w:tc>
          <w:tcPr>
            <w:tcW w:w="2373" w:type="dxa"/>
            <w:tcBorders>
              <w:top w:val="single" w:color="000000" w:sz="4" w:space="0"/>
              <w:left w:val="single" w:color="auto" w:sz="4" w:space="0"/>
              <w:bottom w:val="single" w:color="000000" w:sz="4" w:space="0"/>
              <w:right w:val="single" w:color="auto" w:sz="4" w:space="0"/>
            </w:tcBorders>
            <w:vAlign w:val="center"/>
          </w:tcPr>
          <w:p w14:paraId="5966BF85">
            <w:pPr>
              <w:widowControl/>
              <w:spacing w:line="240" w:lineRule="exac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根据不同部门履职的内容和特点，具体测算部门履职产生的社会效益。</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31191E5D">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14:paraId="74DED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14:paraId="51D96022">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14:paraId="5FE53CF2">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0332668B">
            <w:pPr>
              <w:widowControl/>
              <w:spacing w:line="240" w:lineRule="exact"/>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生态效益（5分）</w:t>
            </w:r>
          </w:p>
        </w:tc>
        <w:tc>
          <w:tcPr>
            <w:tcW w:w="3436" w:type="dxa"/>
            <w:tcBorders>
              <w:top w:val="single" w:color="000000" w:sz="4" w:space="0"/>
              <w:left w:val="single" w:color="auto" w:sz="4" w:space="0"/>
              <w:bottom w:val="single" w:color="000000" w:sz="4" w:space="0"/>
              <w:right w:val="single" w:color="auto" w:sz="4" w:space="0"/>
            </w:tcBorders>
            <w:vAlign w:val="center"/>
          </w:tcPr>
          <w:p w14:paraId="5B06B3A7">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部门及所属二级单位履行职责对生态环境所带来的直接或间接影响。</w:t>
            </w:r>
          </w:p>
          <w:p w14:paraId="3FCCDF03">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1.通过预算支出项目的实施，绿色、节能环保新技术的应用和推广，明显带动各环节的节能减排，也具有一定的环境效益；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2.通过履职有效地控制虚假、伪劣、霉变等劣质产品进入市场，影响了人民生活质量，净化地市场环境；</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3.通过预算支出项目的实施，是否达到减少污染物排放；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4.通过预算支出项目的实施，周围环境得到了整治，面貌得到了改善。</w:t>
            </w:r>
          </w:p>
        </w:tc>
        <w:tc>
          <w:tcPr>
            <w:tcW w:w="2373" w:type="dxa"/>
            <w:tcBorders>
              <w:top w:val="single" w:color="000000" w:sz="4" w:space="0"/>
              <w:left w:val="single" w:color="auto" w:sz="4" w:space="0"/>
              <w:bottom w:val="single" w:color="000000" w:sz="4" w:space="0"/>
              <w:right w:val="single" w:color="auto" w:sz="4" w:space="0"/>
            </w:tcBorders>
            <w:vAlign w:val="center"/>
          </w:tcPr>
          <w:p w14:paraId="7CEA91EA">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根据不同部门履职的内容和特点，具体测算部门履职产生的生态效益。</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31023514">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14:paraId="18B5B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BB5AFAF">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14:paraId="177215BF">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3A8E952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服务对象满意度（5）</w:t>
            </w:r>
          </w:p>
        </w:tc>
        <w:tc>
          <w:tcPr>
            <w:tcW w:w="3436" w:type="dxa"/>
            <w:tcBorders>
              <w:top w:val="single" w:color="000000" w:sz="4" w:space="0"/>
              <w:left w:val="single" w:color="auto" w:sz="4" w:space="0"/>
              <w:bottom w:val="single" w:color="000000" w:sz="4" w:space="0"/>
              <w:right w:val="single" w:color="auto" w:sz="4" w:space="0"/>
            </w:tcBorders>
            <w:vAlign w:val="center"/>
          </w:tcPr>
          <w:p w14:paraId="44C22D8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通过对部门（单位）的服务对象对部门履职效果的满意程度调查，反映和考核社会公众或服务对象对部门履职的满意度。</w:t>
            </w:r>
          </w:p>
        </w:tc>
        <w:tc>
          <w:tcPr>
            <w:tcW w:w="2373" w:type="dxa"/>
            <w:tcBorders>
              <w:top w:val="single" w:color="000000" w:sz="4" w:space="0"/>
              <w:left w:val="single" w:color="auto" w:sz="4" w:space="0"/>
              <w:bottom w:val="single" w:color="000000" w:sz="4" w:space="0"/>
              <w:right w:val="single" w:color="auto" w:sz="4" w:space="0"/>
            </w:tcBorders>
            <w:vAlign w:val="center"/>
          </w:tcPr>
          <w:p w14:paraId="7245C87D">
            <w:pPr>
              <w:widowControl/>
              <w:spacing w:line="2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按照满意度调查的优秀、良好、合格、不合格给予该项指标打分：</w:t>
            </w:r>
          </w:p>
          <w:p w14:paraId="61E72B90">
            <w:pPr>
              <w:widowControl/>
              <w:spacing w:line="240" w:lineRule="exac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优秀（5）；良好（3）；合格（1）；不合格（0）。</w:t>
            </w: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698E96FE">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14:paraId="28C0C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trPr>
        <w:tc>
          <w:tcPr>
            <w:tcW w:w="779" w:type="dxa"/>
            <w:tcBorders>
              <w:top w:val="single" w:color="000000" w:sz="4" w:space="0"/>
              <w:left w:val="single" w:color="000000" w:sz="4" w:space="0"/>
              <w:bottom w:val="single" w:color="000000" w:sz="4" w:space="0"/>
              <w:right w:val="single" w:color="000000" w:sz="4" w:space="0"/>
            </w:tcBorders>
            <w:vAlign w:val="center"/>
          </w:tcPr>
          <w:p w14:paraId="0C3F40B2">
            <w:pPr>
              <w:spacing w:line="240" w:lineRule="exac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合计</w:t>
            </w:r>
          </w:p>
        </w:tc>
        <w:tc>
          <w:tcPr>
            <w:tcW w:w="743" w:type="dxa"/>
            <w:tcBorders>
              <w:left w:val="single" w:color="000000" w:sz="4" w:space="0"/>
              <w:bottom w:val="single" w:color="auto" w:sz="4" w:space="0"/>
              <w:right w:val="single" w:color="000000" w:sz="4" w:space="0"/>
            </w:tcBorders>
            <w:vAlign w:val="center"/>
          </w:tcPr>
          <w:p w14:paraId="7F16393E">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66E6A6D4">
            <w:pPr>
              <w:widowControl/>
              <w:spacing w:line="240" w:lineRule="exact"/>
              <w:jc w:val="left"/>
              <w:rPr>
                <w:rFonts w:hint="eastAsia" w:ascii="仿宋_GB2312" w:hAnsi="仿宋_GB2312" w:eastAsia="仿宋_GB2312" w:cs="仿宋_GB2312"/>
                <w:kern w:val="0"/>
                <w:sz w:val="21"/>
                <w:szCs w:val="21"/>
                <w:lang w:bidi="ar"/>
              </w:rPr>
            </w:pPr>
          </w:p>
        </w:tc>
        <w:tc>
          <w:tcPr>
            <w:tcW w:w="3436" w:type="dxa"/>
            <w:tcBorders>
              <w:top w:val="single" w:color="000000" w:sz="4" w:space="0"/>
              <w:left w:val="single" w:color="auto" w:sz="4" w:space="0"/>
              <w:bottom w:val="single" w:color="000000" w:sz="4" w:space="0"/>
              <w:right w:val="single" w:color="auto" w:sz="4" w:space="0"/>
            </w:tcBorders>
            <w:vAlign w:val="center"/>
          </w:tcPr>
          <w:p w14:paraId="36EA596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kern w:val="0"/>
                <w:sz w:val="21"/>
                <w:szCs w:val="21"/>
                <w:lang w:bidi="ar"/>
              </w:rPr>
            </w:pPr>
          </w:p>
        </w:tc>
        <w:tc>
          <w:tcPr>
            <w:tcW w:w="2373" w:type="dxa"/>
            <w:tcBorders>
              <w:top w:val="single" w:color="000000" w:sz="4" w:space="0"/>
              <w:left w:val="single" w:color="auto" w:sz="4" w:space="0"/>
              <w:bottom w:val="single" w:color="000000" w:sz="4" w:space="0"/>
              <w:right w:val="single" w:color="auto" w:sz="4" w:space="0"/>
            </w:tcBorders>
            <w:vAlign w:val="center"/>
          </w:tcPr>
          <w:p w14:paraId="54D7A055">
            <w:pPr>
              <w:widowControl/>
              <w:spacing w:line="240" w:lineRule="exact"/>
              <w:rPr>
                <w:rFonts w:hint="eastAsia" w:ascii="仿宋_GB2312" w:hAnsi="仿宋_GB2312" w:eastAsia="仿宋_GB2312" w:cs="仿宋_GB2312"/>
                <w:kern w:val="0"/>
                <w:sz w:val="21"/>
                <w:szCs w:val="21"/>
              </w:rPr>
            </w:pPr>
          </w:p>
        </w:tc>
        <w:tc>
          <w:tcPr>
            <w:tcW w:w="764" w:type="dxa"/>
            <w:tcBorders>
              <w:top w:val="single" w:color="000000" w:sz="4" w:space="0"/>
              <w:left w:val="single" w:color="auto" w:sz="4" w:space="0"/>
              <w:bottom w:val="single" w:color="000000" w:sz="4" w:space="0"/>
              <w:right w:val="single" w:color="000000" w:sz="4" w:space="0"/>
            </w:tcBorders>
            <w:shd w:val="clear"/>
            <w:vAlign w:val="center"/>
          </w:tcPr>
          <w:p w14:paraId="597E04DC">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100</w:t>
            </w:r>
          </w:p>
        </w:tc>
      </w:tr>
      <w:bookmarkEnd w:id="0"/>
    </w:tbl>
    <w:p w14:paraId="208C47C4">
      <w:pPr>
        <w:spacing w:line="240" w:lineRule="exact"/>
        <w:rPr>
          <w:rFonts w:ascii="仿宋" w:hAnsi="仿宋" w:eastAsia="仿宋" w:cs="仿宋"/>
          <w:sz w:val="32"/>
          <w:szCs w:val="32"/>
        </w:rPr>
      </w:pPr>
    </w:p>
    <w:p w14:paraId="1AFC01A9">
      <w:pPr>
        <w:spacing w:line="240" w:lineRule="exact"/>
        <w:rPr>
          <w:rFonts w:ascii="仿宋" w:hAnsi="仿宋" w:eastAsia="仿宋" w:cs="仿宋"/>
          <w:sz w:val="32"/>
          <w:szCs w:val="32"/>
        </w:rPr>
      </w:pPr>
    </w:p>
    <w:p w14:paraId="00B203EB">
      <w:pPr>
        <w:spacing w:line="240" w:lineRule="exact"/>
        <w:rPr>
          <w:rFonts w:hint="eastAsia" w:ascii="仿宋" w:hAnsi="仿宋" w:eastAsia="仿宋" w:cs="仿宋"/>
          <w:sz w:val="32"/>
          <w:szCs w:val="32"/>
          <w:lang w:val="en-US" w:eastAsia="zh-CN"/>
        </w:rPr>
      </w:pPr>
    </w:p>
    <w:sectPr>
      <w:footerReference r:id="rId3" w:type="default"/>
      <w:footerReference r:id="rId4" w:type="even"/>
      <w:pgSz w:w="11906" w:h="16838"/>
      <w:pgMar w:top="1985" w:right="1418" w:bottom="1985" w:left="1418" w:header="851" w:footer="1701" w:gutter="0"/>
      <w:cols w:space="425"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6C125">
    <w:pPr>
      <w:pStyle w:val="5"/>
      <w:framePr w:wrap="around" w:vAnchor="text" w:hAnchor="margin" w:xAlign="outside" w:y="1"/>
      <w:rPr>
        <w:rStyle w:val="11"/>
        <w:rFonts w:ascii="宋体" w:hAnsi="宋体" w:eastAsia="宋体"/>
        <w:sz w:val="28"/>
        <w:szCs w:val="28"/>
      </w:rPr>
    </w:pPr>
    <w:r>
      <w:rPr>
        <w:rStyle w:val="11"/>
        <w:rFonts w:hint="eastAsia" w:ascii="宋体" w:hAnsi="宋体" w:eastAsia="宋体"/>
        <w:sz w:val="28"/>
        <w:szCs w:val="28"/>
      </w:rPr>
      <w:t>-</w:t>
    </w: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6</w:t>
    </w:r>
    <w:r>
      <w:rPr>
        <w:rStyle w:val="11"/>
        <w:rFonts w:ascii="宋体" w:hAnsi="宋体" w:eastAsia="宋体"/>
        <w:sz w:val="28"/>
        <w:szCs w:val="28"/>
      </w:rPr>
      <w:fldChar w:fldCharType="end"/>
    </w:r>
    <w:r>
      <w:rPr>
        <w:rStyle w:val="11"/>
        <w:rFonts w:hint="eastAsia" w:ascii="宋体" w:hAnsi="宋体" w:eastAsia="宋体"/>
        <w:sz w:val="28"/>
        <w:szCs w:val="28"/>
      </w:rPr>
      <w:t>-</w:t>
    </w:r>
  </w:p>
  <w:p w14:paraId="72E25C87">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AA005">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607A6713">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33"/>
    <w:rsid w:val="00002F2C"/>
    <w:rsid w:val="000070A8"/>
    <w:rsid w:val="00016CA4"/>
    <w:rsid w:val="000324AE"/>
    <w:rsid w:val="00042933"/>
    <w:rsid w:val="0008033E"/>
    <w:rsid w:val="0008759D"/>
    <w:rsid w:val="00094F2B"/>
    <w:rsid w:val="000B0A83"/>
    <w:rsid w:val="000B6322"/>
    <w:rsid w:val="000C2CC1"/>
    <w:rsid w:val="000E4A5A"/>
    <w:rsid w:val="00103547"/>
    <w:rsid w:val="0017068B"/>
    <w:rsid w:val="00185A3C"/>
    <w:rsid w:val="00192D5A"/>
    <w:rsid w:val="001C59B3"/>
    <w:rsid w:val="001E0886"/>
    <w:rsid w:val="001F7E31"/>
    <w:rsid w:val="002071BC"/>
    <w:rsid w:val="00225AE6"/>
    <w:rsid w:val="00235F0F"/>
    <w:rsid w:val="00255783"/>
    <w:rsid w:val="00290BA1"/>
    <w:rsid w:val="002A6AEA"/>
    <w:rsid w:val="002F2268"/>
    <w:rsid w:val="003C50C2"/>
    <w:rsid w:val="0041099F"/>
    <w:rsid w:val="00436A1D"/>
    <w:rsid w:val="004379D7"/>
    <w:rsid w:val="004A68B1"/>
    <w:rsid w:val="004B64F3"/>
    <w:rsid w:val="004E3B64"/>
    <w:rsid w:val="005020C5"/>
    <w:rsid w:val="00567FE6"/>
    <w:rsid w:val="0058162A"/>
    <w:rsid w:val="005B3616"/>
    <w:rsid w:val="005E12FA"/>
    <w:rsid w:val="00683167"/>
    <w:rsid w:val="006A5056"/>
    <w:rsid w:val="006E64C9"/>
    <w:rsid w:val="007048FF"/>
    <w:rsid w:val="00712100"/>
    <w:rsid w:val="0071700D"/>
    <w:rsid w:val="00742652"/>
    <w:rsid w:val="00772600"/>
    <w:rsid w:val="007D5D41"/>
    <w:rsid w:val="007F01F9"/>
    <w:rsid w:val="00856BA1"/>
    <w:rsid w:val="00867620"/>
    <w:rsid w:val="008709E0"/>
    <w:rsid w:val="008A6A10"/>
    <w:rsid w:val="008A6A31"/>
    <w:rsid w:val="00904AF4"/>
    <w:rsid w:val="00905542"/>
    <w:rsid w:val="00917700"/>
    <w:rsid w:val="00956F74"/>
    <w:rsid w:val="009B0B5F"/>
    <w:rsid w:val="009C04DA"/>
    <w:rsid w:val="009C4C62"/>
    <w:rsid w:val="009E3627"/>
    <w:rsid w:val="009F53E7"/>
    <w:rsid w:val="00A11BF8"/>
    <w:rsid w:val="00A14A33"/>
    <w:rsid w:val="00A6449D"/>
    <w:rsid w:val="00A768DB"/>
    <w:rsid w:val="00AA09C8"/>
    <w:rsid w:val="00AD5F30"/>
    <w:rsid w:val="00B0681D"/>
    <w:rsid w:val="00B9023F"/>
    <w:rsid w:val="00BC1FDC"/>
    <w:rsid w:val="00BD0FD8"/>
    <w:rsid w:val="00C44804"/>
    <w:rsid w:val="00C6362A"/>
    <w:rsid w:val="00C81363"/>
    <w:rsid w:val="00CB27A5"/>
    <w:rsid w:val="00CD55ED"/>
    <w:rsid w:val="00CD63C0"/>
    <w:rsid w:val="00CE62A0"/>
    <w:rsid w:val="00D21F0C"/>
    <w:rsid w:val="00D366C1"/>
    <w:rsid w:val="00D877F7"/>
    <w:rsid w:val="00DB2D43"/>
    <w:rsid w:val="00E266F1"/>
    <w:rsid w:val="00EB16A8"/>
    <w:rsid w:val="00EC7904"/>
    <w:rsid w:val="00F72E93"/>
    <w:rsid w:val="00F87A11"/>
    <w:rsid w:val="00FB7E01"/>
    <w:rsid w:val="00FE5F4C"/>
    <w:rsid w:val="00FF39F6"/>
    <w:rsid w:val="05374814"/>
    <w:rsid w:val="0C8F0285"/>
    <w:rsid w:val="0F8F6BFC"/>
    <w:rsid w:val="107166F3"/>
    <w:rsid w:val="144D4E5A"/>
    <w:rsid w:val="1C841DE7"/>
    <w:rsid w:val="3791647A"/>
    <w:rsid w:val="455969D8"/>
    <w:rsid w:val="48725571"/>
    <w:rsid w:val="4BDB04ED"/>
    <w:rsid w:val="526A3656"/>
    <w:rsid w:val="53CD5365"/>
    <w:rsid w:val="5D643D56"/>
    <w:rsid w:val="64283056"/>
    <w:rsid w:val="69BD0A47"/>
    <w:rsid w:val="71A911C9"/>
    <w:rsid w:val="7793669D"/>
    <w:rsid w:val="7CCC213E"/>
    <w:rsid w:val="7D1E2ABF"/>
    <w:rsid w:val="7D9A56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spacing w:before="100" w:beforeAutospacing="1" w:after="100" w:afterAutospacing="1"/>
      <w:jc w:val="left"/>
      <w:outlineLvl w:val="0"/>
    </w:pPr>
    <w:rPr>
      <w:rFonts w:hint="eastAsia" w:ascii="宋体" w:hAnsi="宋体" w:eastAsia="宋体" w:cs="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autoSpaceDE w:val="0"/>
      <w:autoSpaceDN w:val="0"/>
      <w:adjustRightInd w:val="0"/>
      <w:snapToGrid w:val="0"/>
      <w:spacing w:line="588" w:lineRule="atLeast"/>
    </w:pPr>
    <w:rPr>
      <w:rFonts w:ascii="宋体" w:hAnsi="宋体" w:eastAsia="仿宋_GB2312"/>
      <w:spacing w:val="-2"/>
      <w:sz w:val="32"/>
      <w:szCs w:val="24"/>
    </w:rPr>
  </w:style>
  <w:style w:type="paragraph" w:styleId="4">
    <w:name w:val="Plain Text"/>
    <w:basedOn w:val="1"/>
    <w:link w:val="14"/>
    <w:qFormat/>
    <w:uiPriority w:val="0"/>
    <w:rPr>
      <w:rFonts w:ascii="宋体" w:hAnsi="Courier New" w:eastAsia="宋体" w:cs="Courier New"/>
      <w:szCs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page number"/>
    <w:basedOn w:val="9"/>
    <w:semiHidden/>
    <w:unhideWhenUsed/>
    <w:qFormat/>
    <w:uiPriority w:val="99"/>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纯文本 Char"/>
    <w:basedOn w:val="9"/>
    <w:link w:val="4"/>
    <w:qFormat/>
    <w:uiPriority w:val="0"/>
    <w:rPr>
      <w:rFonts w:ascii="宋体" w:hAnsi="Courier New" w:eastAsia="宋体" w:cs="Courier New"/>
      <w:szCs w:val="21"/>
    </w:rPr>
  </w:style>
  <w:style w:type="character" w:customStyle="1" w:styleId="15">
    <w:name w:val="标题 1 Char"/>
    <w:basedOn w:val="9"/>
    <w:link w:val="2"/>
    <w:qFormat/>
    <w:uiPriority w:val="9"/>
    <w:rPr>
      <w:rFonts w:ascii="宋体" w:hAnsi="宋体" w:eastAsia="宋体" w:cs="宋体"/>
      <w:b/>
      <w:kern w:val="44"/>
      <w:sz w:val="48"/>
      <w:szCs w:val="48"/>
    </w:rPr>
  </w:style>
  <w:style w:type="character" w:customStyle="1" w:styleId="16">
    <w:name w:val="font31"/>
    <w:basedOn w:val="9"/>
    <w:qFormat/>
    <w:uiPriority w:val="0"/>
    <w:rPr>
      <w:rFonts w:hint="eastAsia" w:ascii="宋体" w:hAnsi="宋体" w:eastAsia="宋体" w:cs="宋体"/>
      <w:b/>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4684</Words>
  <Characters>4999</Characters>
  <Lines>37</Lines>
  <Paragraphs>10</Paragraphs>
  <TotalTime>0</TotalTime>
  <ScaleCrop>false</ScaleCrop>
  <LinksUpToDate>false</LinksUpToDate>
  <CharactersWithSpaces>5033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2016-02-22T07:07:00Z</dcterms:created>
  <dc:creator>Administrator</dc:creator>
  <cp:lastModifiedBy>WPS_1654611079</cp:lastModifiedBy>
  <cp:lastPrinted>2018-11-29T03:23:00Z</cp:lastPrinted>
  <dcterms:modified xsi:type="dcterms:W3CDTF">2026-07-14T08:16:39Z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4588E0390E3B41418FF4298B98D5919E</vt:lpwstr>
  </property>
  <property fmtid="{D5CDD505-2E9C-101B-9397-08002B2CF9AE}" pid="4" name="KSOTemplateDocerSaveRecord">
    <vt:lpwstr>eyJoZGlkIjoiYjVhNDRmZWY2Mjc3YzIyOThiMDY0ZjFjYjU1N2I5MDAiLCJ1c2VySWQiOiIxMzgxNzYwMTk0In0=</vt:lpwstr>
  </property>
</Properties>
</file>