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2E483">
      <w:pPr>
        <w:spacing w:line="480" w:lineRule="exact"/>
        <w:jc w:val="center"/>
        <w:rPr>
          <w:rFonts w:hint="eastAsia" w:ascii="宋体" w:hAnsi="宋体"/>
          <w:b/>
          <w:sz w:val="44"/>
          <w:szCs w:val="44"/>
        </w:rPr>
      </w:pPr>
      <w:bookmarkStart w:id="0" w:name="_GoBack"/>
      <w:bookmarkEnd w:id="0"/>
    </w:p>
    <w:p w14:paraId="6D142AD7">
      <w:pPr>
        <w:spacing w:line="480" w:lineRule="exact"/>
        <w:jc w:val="center"/>
        <w:rPr>
          <w:rFonts w:ascii="仿宋" w:hAnsi="仿宋" w:eastAsia="仿宋" w:cs="仿宋"/>
          <w:sz w:val="32"/>
          <w:szCs w:val="32"/>
        </w:rPr>
      </w:pPr>
      <w:r>
        <w:rPr>
          <w:rFonts w:hint="eastAsia" w:ascii="宋体" w:hAnsi="宋体"/>
          <w:b/>
          <w:sz w:val="44"/>
          <w:szCs w:val="44"/>
        </w:rPr>
        <w:t>部门整体支出绩效评价</w:t>
      </w:r>
      <w:r>
        <w:rPr>
          <w:rFonts w:hint="eastAsia" w:ascii="宋体" w:hAnsi="宋体" w:eastAsia="宋体" w:cs="宋体"/>
          <w:b/>
          <w:color w:val="000000"/>
          <w:kern w:val="0"/>
          <w:sz w:val="44"/>
          <w:szCs w:val="44"/>
          <w:shd w:val="clear" w:color="auto" w:fill="FFFFFF"/>
          <w:lang w:bidi="ar"/>
        </w:rPr>
        <w:t>指标体系评分表</w:t>
      </w:r>
    </w:p>
    <w:tbl>
      <w:tblPr>
        <w:tblStyle w:val="8"/>
        <w:tblW w:w="93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9"/>
        <w:gridCol w:w="743"/>
        <w:gridCol w:w="1275"/>
        <w:gridCol w:w="3436"/>
        <w:gridCol w:w="2373"/>
        <w:gridCol w:w="764"/>
      </w:tblGrid>
      <w:tr w14:paraId="6A914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26DD7E92">
            <w:pPr>
              <w:widowControl/>
              <w:spacing w:line="240" w:lineRule="exact"/>
              <w:jc w:val="center"/>
              <w:rPr>
                <w:b/>
              </w:rPr>
            </w:pPr>
            <w:r>
              <w:rPr>
                <w:rFonts w:ascii="仿宋_GB2312" w:hAnsi="新宋体" w:eastAsia="仿宋_GB2312" w:cs="仿宋_GB2312"/>
                <w:b/>
                <w:kern w:val="0"/>
                <w:sz w:val="24"/>
                <w:szCs w:val="24"/>
                <w:lang w:bidi="ar"/>
              </w:rPr>
              <w:t>一级指标</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1E91B132">
            <w:pPr>
              <w:widowControl/>
              <w:spacing w:line="240" w:lineRule="exact"/>
              <w:jc w:val="center"/>
              <w:rPr>
                <w:b/>
              </w:rPr>
            </w:pPr>
            <w:r>
              <w:rPr>
                <w:rFonts w:ascii="仿宋_GB2312" w:hAnsi="新宋体" w:eastAsia="仿宋_GB2312" w:cs="仿宋_GB2312"/>
                <w:b/>
                <w:kern w:val="0"/>
                <w:sz w:val="24"/>
                <w:szCs w:val="24"/>
                <w:lang w:bidi="ar"/>
              </w:rPr>
              <w:t>二级指标</w:t>
            </w:r>
          </w:p>
        </w:tc>
        <w:tc>
          <w:tcPr>
            <w:tcW w:w="4711" w:type="dxa"/>
            <w:gridSpan w:val="2"/>
            <w:tcBorders>
              <w:top w:val="single" w:color="000000" w:sz="4" w:space="0"/>
              <w:left w:val="single" w:color="000000" w:sz="4" w:space="0"/>
              <w:bottom w:val="single" w:color="000000" w:sz="4" w:space="0"/>
              <w:right w:val="single" w:color="auto" w:sz="4" w:space="0"/>
            </w:tcBorders>
            <w:vAlign w:val="center"/>
          </w:tcPr>
          <w:p w14:paraId="3204B54E">
            <w:pPr>
              <w:widowControl/>
              <w:spacing w:line="240" w:lineRule="exact"/>
              <w:jc w:val="center"/>
              <w:rPr>
                <w:b/>
              </w:rPr>
            </w:pPr>
            <w:r>
              <w:rPr>
                <w:rFonts w:ascii="仿宋_GB2312" w:hAnsi="新宋体" w:eastAsia="仿宋_GB2312" w:cs="仿宋_GB2312"/>
                <w:b/>
                <w:kern w:val="0"/>
                <w:sz w:val="24"/>
                <w:szCs w:val="24"/>
                <w:lang w:bidi="ar"/>
              </w:rPr>
              <w:t>三级指标</w:t>
            </w:r>
          </w:p>
        </w:tc>
        <w:tc>
          <w:tcPr>
            <w:tcW w:w="2373" w:type="dxa"/>
            <w:vMerge w:val="restart"/>
            <w:tcBorders>
              <w:top w:val="single" w:color="000000" w:sz="4" w:space="0"/>
              <w:left w:val="single" w:color="auto" w:sz="4" w:space="0"/>
              <w:bottom w:val="single" w:color="000000" w:sz="4" w:space="0"/>
              <w:right w:val="single" w:color="auto" w:sz="4" w:space="0"/>
            </w:tcBorders>
            <w:vAlign w:val="center"/>
          </w:tcPr>
          <w:p w14:paraId="1E5B6CD8">
            <w:pPr>
              <w:widowControl/>
              <w:spacing w:line="240" w:lineRule="exact"/>
              <w:jc w:val="center"/>
              <w:rPr>
                <w:b/>
              </w:rPr>
            </w:pPr>
            <w:r>
              <w:rPr>
                <w:rFonts w:ascii="仿宋_GB2312" w:hAnsi="新宋体" w:eastAsia="仿宋_GB2312" w:cs="仿宋_GB2312"/>
                <w:b/>
                <w:kern w:val="0"/>
                <w:sz w:val="24"/>
                <w:szCs w:val="24"/>
                <w:lang w:bidi="ar"/>
              </w:rPr>
              <w:t>评分标准</w:t>
            </w:r>
          </w:p>
        </w:tc>
        <w:tc>
          <w:tcPr>
            <w:tcW w:w="764" w:type="dxa"/>
            <w:vMerge w:val="restart"/>
            <w:tcBorders>
              <w:top w:val="single" w:color="000000" w:sz="4" w:space="0"/>
              <w:left w:val="single" w:color="auto" w:sz="4" w:space="0"/>
              <w:bottom w:val="single" w:color="000000" w:sz="4" w:space="0"/>
              <w:right w:val="single" w:color="auto" w:sz="4" w:space="0"/>
            </w:tcBorders>
            <w:vAlign w:val="center"/>
          </w:tcPr>
          <w:p w14:paraId="1C84C376">
            <w:pPr>
              <w:widowControl/>
              <w:spacing w:line="240" w:lineRule="exact"/>
              <w:jc w:val="left"/>
              <w:rPr>
                <w:b/>
              </w:rPr>
            </w:pPr>
            <w:r>
              <w:rPr>
                <w:rFonts w:ascii="仿宋_GB2312" w:hAnsi="新宋体" w:eastAsia="仿宋_GB2312" w:cs="仿宋_GB2312"/>
                <w:b/>
                <w:kern w:val="0"/>
                <w:sz w:val="24"/>
                <w:szCs w:val="24"/>
                <w:lang w:bidi="ar"/>
              </w:rPr>
              <w:t>得分</w:t>
            </w:r>
          </w:p>
        </w:tc>
      </w:tr>
      <w:tr w14:paraId="2C99E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3B19F4E4">
            <w:pPr>
              <w:rPr>
                <w:rFonts w:ascii="宋体"/>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0BC5BCC6">
            <w:pPr>
              <w:rPr>
                <w:rFonts w:ascii="宋体"/>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1C7FC1E9">
            <w:pPr>
              <w:widowControl/>
              <w:spacing w:line="240" w:lineRule="exact"/>
              <w:jc w:val="center"/>
              <w:rPr>
                <w:b/>
              </w:rPr>
            </w:pPr>
            <w:r>
              <w:rPr>
                <w:rFonts w:ascii="仿宋_GB2312" w:hAnsi="新宋体" w:eastAsia="仿宋_GB2312" w:cs="仿宋_GB2312"/>
                <w:b/>
                <w:kern w:val="0"/>
                <w:sz w:val="24"/>
                <w:szCs w:val="24"/>
                <w:lang w:bidi="ar"/>
              </w:rPr>
              <w:t>指标名称</w:t>
            </w:r>
          </w:p>
        </w:tc>
        <w:tc>
          <w:tcPr>
            <w:tcW w:w="3436" w:type="dxa"/>
            <w:tcBorders>
              <w:top w:val="single" w:color="000000" w:sz="4" w:space="0"/>
              <w:left w:val="single" w:color="auto" w:sz="4" w:space="0"/>
              <w:bottom w:val="single" w:color="000000" w:sz="4" w:space="0"/>
              <w:right w:val="single" w:color="auto" w:sz="4" w:space="0"/>
            </w:tcBorders>
            <w:vAlign w:val="center"/>
          </w:tcPr>
          <w:p w14:paraId="27FF2923">
            <w:pPr>
              <w:widowControl/>
              <w:spacing w:line="240" w:lineRule="exact"/>
              <w:jc w:val="center"/>
              <w:rPr>
                <w:b/>
              </w:rPr>
            </w:pPr>
            <w:r>
              <w:rPr>
                <w:rFonts w:ascii="仿宋_GB2312" w:hAnsi="新宋体" w:eastAsia="仿宋_GB2312" w:cs="仿宋_GB2312"/>
                <w:b/>
                <w:kern w:val="0"/>
                <w:sz w:val="24"/>
                <w:szCs w:val="24"/>
                <w:lang w:bidi="ar"/>
              </w:rPr>
              <w:t>指标解释说明</w:t>
            </w:r>
          </w:p>
        </w:tc>
        <w:tc>
          <w:tcPr>
            <w:tcW w:w="2373" w:type="dxa"/>
            <w:vMerge w:val="continue"/>
            <w:tcBorders>
              <w:top w:val="single" w:color="000000" w:sz="4" w:space="0"/>
              <w:left w:val="single" w:color="auto" w:sz="4" w:space="0"/>
              <w:bottom w:val="single" w:color="000000" w:sz="4" w:space="0"/>
              <w:right w:val="single" w:color="auto" w:sz="4" w:space="0"/>
            </w:tcBorders>
            <w:vAlign w:val="center"/>
          </w:tcPr>
          <w:p w14:paraId="1B15AFC5">
            <w:pPr>
              <w:rPr>
                <w:rFonts w:ascii="宋体"/>
                <w:szCs w:val="21"/>
              </w:rPr>
            </w:pPr>
          </w:p>
        </w:tc>
        <w:tc>
          <w:tcPr>
            <w:tcW w:w="764" w:type="dxa"/>
            <w:vMerge w:val="continue"/>
            <w:tcBorders>
              <w:top w:val="single" w:color="000000" w:sz="4" w:space="0"/>
              <w:left w:val="single" w:color="auto" w:sz="4" w:space="0"/>
              <w:bottom w:val="single" w:color="000000" w:sz="4" w:space="0"/>
              <w:right w:val="single" w:color="auto" w:sz="4" w:space="0"/>
            </w:tcBorders>
            <w:vAlign w:val="center"/>
          </w:tcPr>
          <w:p w14:paraId="423BD7E4">
            <w:pPr>
              <w:rPr>
                <w:rFonts w:ascii="宋体"/>
                <w:szCs w:val="21"/>
              </w:rPr>
            </w:pPr>
          </w:p>
        </w:tc>
      </w:tr>
      <w:tr w14:paraId="115BD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59B439A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投入（10）</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4141511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绩效目标设定情况</w:t>
            </w:r>
          </w:p>
          <w:p w14:paraId="2E8F5BED">
            <w:pPr>
              <w:widowControl/>
              <w:spacing w:line="240" w:lineRule="exact"/>
              <w:jc w:val="left"/>
              <w:rPr>
                <w:rFonts w:hint="eastAsia" w:ascii="仿宋_GB2312" w:hAnsi="仿宋_GB2312" w:eastAsia="仿宋_GB2312" w:cs="仿宋_GB2312"/>
                <w:color w:val="FF0000"/>
                <w:sz w:val="21"/>
                <w:szCs w:val="21"/>
              </w:rPr>
            </w:pPr>
            <w:r>
              <w:rPr>
                <w:rFonts w:hint="eastAsia" w:ascii="仿宋_GB2312" w:hAnsi="仿宋_GB2312" w:eastAsia="仿宋_GB2312" w:cs="仿宋_GB2312"/>
                <w:kern w:val="0"/>
                <w:sz w:val="21"/>
                <w:szCs w:val="21"/>
                <w:lang w:bidi="ar"/>
              </w:rPr>
              <w:t>（5分）</w:t>
            </w:r>
          </w:p>
        </w:tc>
        <w:tc>
          <w:tcPr>
            <w:tcW w:w="1275" w:type="dxa"/>
            <w:tcBorders>
              <w:top w:val="single" w:color="000000" w:sz="4" w:space="0"/>
              <w:left w:val="single" w:color="000000" w:sz="4" w:space="0"/>
              <w:bottom w:val="single" w:color="auto" w:sz="4" w:space="0"/>
              <w:right w:val="single" w:color="auto" w:sz="4" w:space="0"/>
            </w:tcBorders>
            <w:vAlign w:val="center"/>
          </w:tcPr>
          <w:p w14:paraId="192F784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职责明确（1分）</w:t>
            </w:r>
          </w:p>
        </w:tc>
        <w:tc>
          <w:tcPr>
            <w:tcW w:w="3436" w:type="dxa"/>
            <w:tcBorders>
              <w:top w:val="single" w:color="000000" w:sz="4" w:space="0"/>
              <w:left w:val="single" w:color="auto" w:sz="4" w:space="0"/>
              <w:bottom w:val="single" w:color="auto" w:sz="4" w:space="0"/>
              <w:right w:val="single" w:color="auto" w:sz="4" w:space="0"/>
            </w:tcBorders>
            <w:vAlign w:val="center"/>
          </w:tcPr>
          <w:p w14:paraId="785C34A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部门的职责设定是否符合“三定”方案中所赋予的职责，用以反映和评价部门工作的目的性与计划性。</w:t>
            </w:r>
          </w:p>
        </w:tc>
        <w:tc>
          <w:tcPr>
            <w:tcW w:w="2373" w:type="dxa"/>
            <w:tcBorders>
              <w:top w:val="single" w:color="000000" w:sz="4" w:space="0"/>
              <w:left w:val="single" w:color="auto" w:sz="4" w:space="0"/>
              <w:bottom w:val="single" w:color="auto" w:sz="4" w:space="0"/>
              <w:right w:val="single" w:color="auto" w:sz="4" w:space="0"/>
            </w:tcBorders>
            <w:vAlign w:val="center"/>
          </w:tcPr>
          <w:p w14:paraId="7DDA5B2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符合（1）；</w:t>
            </w:r>
          </w:p>
          <w:p w14:paraId="55B8B53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不符合（0）。</w:t>
            </w:r>
          </w:p>
        </w:tc>
        <w:tc>
          <w:tcPr>
            <w:tcW w:w="764" w:type="dxa"/>
            <w:tcBorders>
              <w:top w:val="single" w:color="000000" w:sz="4" w:space="0"/>
              <w:left w:val="single" w:color="auto" w:sz="4" w:space="0"/>
              <w:bottom w:val="single" w:color="auto" w:sz="4" w:space="0"/>
              <w:right w:val="single" w:color="000000" w:sz="4" w:space="0"/>
            </w:tcBorders>
            <w:vAlign w:val="center"/>
          </w:tcPr>
          <w:p w14:paraId="5F799E0D">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14:paraId="2BC06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4DED653F">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0918944B">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14:paraId="3D48022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活动合规性（2分）</w:t>
            </w:r>
          </w:p>
        </w:tc>
        <w:tc>
          <w:tcPr>
            <w:tcW w:w="3436" w:type="dxa"/>
            <w:tcBorders>
              <w:top w:val="single" w:color="000000" w:sz="4" w:space="0"/>
              <w:left w:val="single" w:color="auto" w:sz="4" w:space="0"/>
              <w:bottom w:val="single" w:color="auto" w:sz="4" w:space="0"/>
              <w:right w:val="single" w:color="auto" w:sz="4" w:space="0"/>
            </w:tcBorders>
            <w:vAlign w:val="center"/>
          </w:tcPr>
          <w:p w14:paraId="6BE30D0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部门的活动是否在职责范围之内并符合部门中长期规划，用以反映和评价部门活动目标与部门履职、年度工作任务的相符性情况。</w:t>
            </w:r>
          </w:p>
          <w:p w14:paraId="6B44AA9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1A0B89A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1.部门活动的设定在部门所确定的职责范围之内；</w:t>
            </w:r>
          </w:p>
          <w:p w14:paraId="5A67239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2.部门活动符合市委、市政府的发展规划及本部门的年度工作安排与发展规划。</w:t>
            </w:r>
          </w:p>
        </w:tc>
        <w:tc>
          <w:tcPr>
            <w:tcW w:w="2373" w:type="dxa"/>
            <w:tcBorders>
              <w:top w:val="single" w:color="000000" w:sz="4" w:space="0"/>
              <w:left w:val="single" w:color="auto" w:sz="4" w:space="0"/>
              <w:bottom w:val="single" w:color="auto" w:sz="4" w:space="0"/>
              <w:right w:val="single" w:color="auto" w:sz="4" w:space="0"/>
            </w:tcBorders>
            <w:vAlign w:val="center"/>
          </w:tcPr>
          <w:p w14:paraId="69E12FF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14:paraId="63B9AA7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vAlign w:val="center"/>
          </w:tcPr>
          <w:p w14:paraId="6704944C">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79821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69E1F142">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05C21A18">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14:paraId="5CF5488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活动合理性（2分）</w:t>
            </w:r>
          </w:p>
        </w:tc>
        <w:tc>
          <w:tcPr>
            <w:tcW w:w="3436" w:type="dxa"/>
            <w:tcBorders>
              <w:top w:val="single" w:color="000000" w:sz="4" w:space="0"/>
              <w:left w:val="single" w:color="auto" w:sz="4" w:space="0"/>
              <w:bottom w:val="single" w:color="auto" w:sz="4" w:space="0"/>
              <w:right w:val="single" w:color="auto" w:sz="4" w:space="0"/>
            </w:tcBorders>
            <w:vAlign w:val="center"/>
          </w:tcPr>
          <w:p w14:paraId="6C25EAC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部门所设立的活动是否明确合理、活动的关键性指标设置是否可衡量，用以反映和评价部门活动目标设定的合理性。</w:t>
            </w:r>
          </w:p>
          <w:p w14:paraId="49A12DF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0043276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1.活动目标的设定是可量化的，可通过清晰、可衡量的关键指标值予以体现；</w:t>
            </w:r>
          </w:p>
          <w:p w14:paraId="0AFA8EF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2.在活动目标设定时，将关键指标明细分解为具体的达成目标与工作任务。</w:t>
            </w:r>
          </w:p>
        </w:tc>
        <w:tc>
          <w:tcPr>
            <w:tcW w:w="2373" w:type="dxa"/>
            <w:tcBorders>
              <w:top w:val="single" w:color="000000" w:sz="4" w:space="0"/>
              <w:left w:val="single" w:color="auto" w:sz="4" w:space="0"/>
              <w:bottom w:val="single" w:color="auto" w:sz="4" w:space="0"/>
              <w:right w:val="single" w:color="auto" w:sz="4" w:space="0"/>
            </w:tcBorders>
            <w:vAlign w:val="center"/>
          </w:tcPr>
          <w:p w14:paraId="5B406E7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14:paraId="3CC9EDC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vAlign w:val="center"/>
          </w:tcPr>
          <w:p w14:paraId="400213B4">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443DD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44A837AE">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right w:val="single" w:color="000000" w:sz="4" w:space="0"/>
            </w:tcBorders>
            <w:vAlign w:val="center"/>
          </w:tcPr>
          <w:p w14:paraId="4387EB1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预算配置情况(5分)</w:t>
            </w:r>
          </w:p>
        </w:tc>
        <w:tc>
          <w:tcPr>
            <w:tcW w:w="1275" w:type="dxa"/>
            <w:tcBorders>
              <w:top w:val="single" w:color="auto" w:sz="4" w:space="0"/>
              <w:left w:val="single" w:color="000000" w:sz="4" w:space="0"/>
              <w:right w:val="single" w:color="auto" w:sz="4" w:space="0"/>
            </w:tcBorders>
            <w:vAlign w:val="center"/>
          </w:tcPr>
          <w:p w14:paraId="4706AE8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在职人员控制率（1分）</w:t>
            </w:r>
          </w:p>
        </w:tc>
        <w:tc>
          <w:tcPr>
            <w:tcW w:w="3436" w:type="dxa"/>
            <w:tcBorders>
              <w:top w:val="single" w:color="auto" w:sz="4" w:space="0"/>
              <w:left w:val="single" w:color="auto" w:sz="4" w:space="0"/>
              <w:right w:val="single" w:color="auto" w:sz="4" w:space="0"/>
            </w:tcBorders>
            <w:vAlign w:val="center"/>
          </w:tcPr>
          <w:p w14:paraId="55C6113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部门本年度实际在职人员数与编制数的比率，用以反映和评价部门对人员成本的控制程度。</w:t>
            </w:r>
          </w:p>
          <w:p w14:paraId="20902E04">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在职人员控制率=（在职人员数/编制数）×100%。</w:t>
            </w:r>
          </w:p>
          <w:p w14:paraId="49683F43">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在职人员数：部门实际在职人数，以财政部确定的部门决算编制口径为准，由编制部门和人劳部门批复同意的临聘人员除外。</w:t>
            </w:r>
          </w:p>
          <w:p w14:paraId="764FFB0A">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编制数：机构编制部门核定批复的部门人员编制数。</w:t>
            </w:r>
          </w:p>
        </w:tc>
        <w:tc>
          <w:tcPr>
            <w:tcW w:w="2373" w:type="dxa"/>
            <w:tcBorders>
              <w:top w:val="single" w:color="auto" w:sz="4" w:space="0"/>
              <w:left w:val="single" w:color="auto" w:sz="4" w:space="0"/>
              <w:right w:val="single" w:color="auto" w:sz="4" w:space="0"/>
            </w:tcBorders>
            <w:vAlign w:val="center"/>
          </w:tcPr>
          <w:p w14:paraId="7B2F8D1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1.在职人员控制率小于或等于100%的，得满分；</w:t>
            </w:r>
          </w:p>
          <w:p w14:paraId="3EE07EF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2.在职人员控制率大于或等于115%的，得0分；</w:t>
            </w:r>
          </w:p>
          <w:p w14:paraId="13C26C5D">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3.在职人员控制率在100%-115%之间的，在0分和满分之间计算确定：</w:t>
            </w:r>
          </w:p>
          <w:p w14:paraId="66A7377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得分=[max（在职人员控制率）－某部门在职人员控制率]/[max（在职人员控制率）－min（在职人员控制率）]×该指标分值。</w:t>
            </w:r>
          </w:p>
        </w:tc>
        <w:tc>
          <w:tcPr>
            <w:tcW w:w="764" w:type="dxa"/>
            <w:tcBorders>
              <w:top w:val="single" w:color="auto" w:sz="4" w:space="0"/>
              <w:left w:val="single" w:color="auto" w:sz="4" w:space="0"/>
              <w:bottom w:val="single" w:color="000000" w:sz="4" w:space="0"/>
              <w:right w:val="single" w:color="000000" w:sz="4" w:space="0"/>
            </w:tcBorders>
            <w:vAlign w:val="center"/>
          </w:tcPr>
          <w:p w14:paraId="73DA9529">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0</w:t>
            </w:r>
          </w:p>
        </w:tc>
      </w:tr>
      <w:tr w14:paraId="234D9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restart"/>
            <w:tcBorders>
              <w:top w:val="single" w:color="000000" w:sz="4" w:space="0"/>
              <w:left w:val="single" w:color="000000" w:sz="4" w:space="0"/>
              <w:right w:val="single" w:color="000000" w:sz="4" w:space="0"/>
            </w:tcBorders>
            <w:vAlign w:val="center"/>
          </w:tcPr>
          <w:p w14:paraId="0F73A0F7">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14:paraId="58989067">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14:paraId="2D2BD9A6">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“三公经费”变动率（2分）</w:t>
            </w:r>
          </w:p>
        </w:tc>
        <w:tc>
          <w:tcPr>
            <w:tcW w:w="3436" w:type="dxa"/>
            <w:tcBorders>
              <w:top w:val="single" w:color="auto" w:sz="4" w:space="0"/>
              <w:left w:val="single" w:color="auto" w:sz="4" w:space="0"/>
              <w:right w:val="single" w:color="auto" w:sz="4" w:space="0"/>
            </w:tcBorders>
            <w:vAlign w:val="center"/>
          </w:tcPr>
          <w:p w14:paraId="31B072FC">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三公经费”预算数与上年度“三公经费”预算数的变动比率，用以反映和考核部门对控制重点行政成本的努力程度。“三公经费”变动率=[（本年度“三公经费”总额-上年度“三公经费”总额）/上年度“三公经费”总额]×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“三公经费”：年度预算安排的因公出国（境）费、公务车辆购置及运行费和公务招待费。</w:t>
            </w:r>
          </w:p>
        </w:tc>
        <w:tc>
          <w:tcPr>
            <w:tcW w:w="2373" w:type="dxa"/>
            <w:tcBorders>
              <w:top w:val="single" w:color="auto" w:sz="4" w:space="0"/>
              <w:left w:val="single" w:color="auto" w:sz="4" w:space="0"/>
              <w:right w:val="single" w:color="auto" w:sz="4" w:space="0"/>
            </w:tcBorders>
            <w:vAlign w:val="center"/>
          </w:tcPr>
          <w:p w14:paraId="7D27120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小于或等于-5%的，得满分；</w:t>
            </w:r>
          </w:p>
          <w:p w14:paraId="4F310779">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大于或等于10%的，得0分；</w:t>
            </w:r>
          </w:p>
          <w:p w14:paraId="0D141FE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3.在职人员控制率在-5%-10%之间的，在0分和满分之间计算确定：</w:t>
            </w:r>
          </w:p>
          <w:p w14:paraId="4BD0FA4D">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vAlign w:val="center"/>
          </w:tcPr>
          <w:p w14:paraId="77802C32">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2E428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left w:val="single" w:color="000000" w:sz="4" w:space="0"/>
              <w:bottom w:val="single" w:color="000000" w:sz="4" w:space="0"/>
              <w:right w:val="single" w:color="000000" w:sz="4" w:space="0"/>
            </w:tcBorders>
            <w:vAlign w:val="center"/>
          </w:tcPr>
          <w:p w14:paraId="3E8C94D7">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bottom w:val="single" w:color="000000" w:sz="4" w:space="0"/>
              <w:right w:val="single" w:color="000000" w:sz="4" w:space="0"/>
            </w:tcBorders>
            <w:vAlign w:val="center"/>
          </w:tcPr>
          <w:p w14:paraId="325B65A8">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14:paraId="4445FC2A">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重点支出安排率（2分）</w:t>
            </w:r>
          </w:p>
        </w:tc>
        <w:tc>
          <w:tcPr>
            <w:tcW w:w="3436" w:type="dxa"/>
            <w:tcBorders>
              <w:top w:val="single" w:color="auto" w:sz="4" w:space="0"/>
              <w:left w:val="single" w:color="auto" w:sz="4" w:space="0"/>
              <w:right w:val="single" w:color="auto" w:sz="4" w:space="0"/>
            </w:tcBorders>
            <w:vAlign w:val="center"/>
          </w:tcPr>
          <w:p w14:paraId="1C30C189">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部门本年度预算安排的重点项目支出与部门项目总支出的比率，用以反映和考核部门对履行主要职责或完成重点任务的保障程度。重点支出安排率=（重点项目支出/项目总支出）×100%。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重点项目支出：部门（单位）年度预算安排的，与本部门履职和发展密切相关、具有明显社会和经济影响、党委政府关心或社会比较关注的项目支出总额。</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项目总支出：部门（单位）年度预算安排的项目支出总额。</w:t>
            </w:r>
          </w:p>
        </w:tc>
        <w:tc>
          <w:tcPr>
            <w:tcW w:w="2373" w:type="dxa"/>
            <w:tcBorders>
              <w:top w:val="single" w:color="auto" w:sz="4" w:space="0"/>
              <w:left w:val="single" w:color="auto" w:sz="4" w:space="0"/>
              <w:right w:val="single" w:color="auto" w:sz="4" w:space="0"/>
            </w:tcBorders>
            <w:vAlign w:val="center"/>
          </w:tcPr>
          <w:p w14:paraId="26EAB09A">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大于或等于95%的，得满分；</w:t>
            </w:r>
          </w:p>
          <w:p w14:paraId="5F8CE94D">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小于或等于85%的，得0分；</w:t>
            </w:r>
          </w:p>
          <w:p w14:paraId="5B406D3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在85%-95%之间的，在0分和满分之间计算确定：</w:t>
            </w:r>
          </w:p>
          <w:p w14:paraId="2FEC73E0">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得分=[某部门</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vAlign w:val="center"/>
          </w:tcPr>
          <w:p w14:paraId="1784A46D">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75C4F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0C7A195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过程(45分)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63DA737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预算执行情况(25分)</w:t>
            </w:r>
          </w:p>
        </w:tc>
        <w:tc>
          <w:tcPr>
            <w:tcW w:w="1275" w:type="dxa"/>
            <w:tcBorders>
              <w:top w:val="single" w:color="000000" w:sz="4" w:space="0"/>
              <w:left w:val="single" w:color="000000" w:sz="4" w:space="0"/>
              <w:bottom w:val="single" w:color="000000" w:sz="4" w:space="0"/>
              <w:right w:val="single" w:color="auto" w:sz="4" w:space="0"/>
            </w:tcBorders>
            <w:vAlign w:val="center"/>
          </w:tcPr>
          <w:p w14:paraId="2861AEC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预算完成率（5分）</w:t>
            </w:r>
          </w:p>
        </w:tc>
        <w:tc>
          <w:tcPr>
            <w:tcW w:w="3436" w:type="dxa"/>
            <w:tcBorders>
              <w:top w:val="single" w:color="000000" w:sz="4" w:space="0"/>
              <w:left w:val="single" w:color="auto" w:sz="4" w:space="0"/>
              <w:bottom w:val="single" w:color="000000" w:sz="4" w:space="0"/>
              <w:right w:val="single" w:color="auto" w:sz="4" w:space="0"/>
            </w:tcBorders>
            <w:vAlign w:val="center"/>
          </w:tcPr>
          <w:p w14:paraId="53F380F3">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通过对部门本年度预算完成数与预算数的比较，反映和评价部门预算的完成程度。</w:t>
            </w:r>
          </w:p>
          <w:p w14:paraId="338153A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预算完成率=（预算完成数/预算数）×100%。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14:paraId="3ADEEDB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1.预算完成率大于或等于95%的，得满分；</w:t>
            </w:r>
          </w:p>
          <w:p w14:paraId="3E9D4413">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2.预算完成率小于或等于85%的，得0分；</w:t>
            </w:r>
          </w:p>
          <w:p w14:paraId="4E9A1C7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3.预算完成率在85%-95%之间的，在0分和满分之间计算确定：</w:t>
            </w:r>
          </w:p>
          <w:p w14:paraId="0D5168D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得分=[某部门预算完成率-min（预算完成率）]/[max（预算完成率）－min（预算完成率）]×该指标分值。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5CBB3DB6">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3B4C5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3B95660C">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4EB9D18E">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44CA255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预算调整率（3分）</w:t>
            </w:r>
          </w:p>
        </w:tc>
        <w:tc>
          <w:tcPr>
            <w:tcW w:w="3436" w:type="dxa"/>
            <w:tcBorders>
              <w:top w:val="single" w:color="000000" w:sz="4" w:space="0"/>
              <w:left w:val="single" w:color="auto" w:sz="4" w:space="0"/>
              <w:bottom w:val="single" w:color="000000" w:sz="4" w:space="0"/>
              <w:right w:val="single" w:color="auto" w:sz="4" w:space="0"/>
            </w:tcBorders>
            <w:vAlign w:val="center"/>
          </w:tcPr>
          <w:p w14:paraId="2FBF823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部门本年度预算调整数与预算数的比率，用以反映和评价部门预算的调整程度。</w:t>
            </w:r>
          </w:p>
          <w:p w14:paraId="2C8FDFC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预算调整率=（预算调整数/预算数）×100%。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14:paraId="54894D5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1.预算调整率等于0的，得满分；</w:t>
            </w:r>
          </w:p>
          <w:p w14:paraId="493BB2C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2.预算调整率大于或等于10%的，得0分；</w:t>
            </w:r>
          </w:p>
          <w:p w14:paraId="0C08F4B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3.预算调整率在0-10%之间的，在0分和满分之间确定：</w:t>
            </w:r>
          </w:p>
          <w:p w14:paraId="4361A412">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得分=［max（预算调整率）-某部门预算调整率］/［max（预算调整率）-min（预算调整率）］×该指标分值。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14DA9F7B">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0</w:t>
            </w:r>
          </w:p>
        </w:tc>
      </w:tr>
      <w:tr w14:paraId="4ADF9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5F942A4D">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376D6122">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532211D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支付进度率</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14:paraId="3A48C99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部门年度支付数与年度任务数的比率，用以反映和评价部门预算执行的及时和均衡程度。</w:t>
            </w:r>
          </w:p>
          <w:p w14:paraId="0381C68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支付进度率=（年度支付数/年度任务数）×100%。</w:t>
            </w:r>
          </w:p>
        </w:tc>
        <w:tc>
          <w:tcPr>
            <w:tcW w:w="2373" w:type="dxa"/>
            <w:tcBorders>
              <w:top w:val="single" w:color="000000" w:sz="4" w:space="0"/>
              <w:left w:val="single" w:color="auto" w:sz="4" w:space="0"/>
              <w:bottom w:val="single" w:color="000000" w:sz="4" w:space="0"/>
              <w:right w:val="single" w:color="auto" w:sz="4" w:space="0"/>
            </w:tcBorders>
            <w:vAlign w:val="center"/>
          </w:tcPr>
          <w:p w14:paraId="080DCE5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按年度的执行情况进行打分。得分=年度支付数/年度任务数×该指标分值。</w:t>
            </w:r>
          </w:p>
          <w:p w14:paraId="549455DD">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p>
        </w:tc>
        <w:tc>
          <w:tcPr>
            <w:tcW w:w="764" w:type="dxa"/>
            <w:tcBorders>
              <w:top w:val="single" w:color="000000" w:sz="4" w:space="0"/>
              <w:left w:val="single" w:color="auto" w:sz="4" w:space="0"/>
              <w:bottom w:val="single" w:color="000000" w:sz="4" w:space="0"/>
              <w:right w:val="single" w:color="000000" w:sz="4" w:space="0"/>
            </w:tcBorders>
            <w:vAlign w:val="center"/>
          </w:tcPr>
          <w:p w14:paraId="3135B3A6">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42749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5E5CBB83">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33F54765">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5D2E11C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结转结余率（4分）</w:t>
            </w:r>
          </w:p>
        </w:tc>
        <w:tc>
          <w:tcPr>
            <w:tcW w:w="3436" w:type="dxa"/>
            <w:tcBorders>
              <w:top w:val="single" w:color="000000" w:sz="4" w:space="0"/>
              <w:left w:val="single" w:color="auto" w:sz="4" w:space="0"/>
              <w:bottom w:val="single" w:color="000000" w:sz="4" w:space="0"/>
              <w:right w:val="single" w:color="auto" w:sz="4" w:space="0"/>
            </w:tcBorders>
            <w:vAlign w:val="center"/>
          </w:tcPr>
          <w:p w14:paraId="56AB7D3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通过对部门本年度结转结余总额与支出预算数的比较，反映和评价部门对本年度结转结余资金的实际控制程度。</w:t>
            </w:r>
          </w:p>
          <w:p w14:paraId="34B2CF2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结转结余率=（结转结余总额/支出预算数）×100%。</w:t>
            </w:r>
          </w:p>
        </w:tc>
        <w:tc>
          <w:tcPr>
            <w:tcW w:w="2373" w:type="dxa"/>
            <w:tcBorders>
              <w:top w:val="single" w:color="000000" w:sz="4" w:space="0"/>
              <w:left w:val="single" w:color="auto" w:sz="4" w:space="0"/>
              <w:bottom w:val="single" w:color="000000" w:sz="4" w:space="0"/>
              <w:right w:val="single" w:color="auto" w:sz="4" w:space="0"/>
            </w:tcBorders>
            <w:vAlign w:val="center"/>
          </w:tcPr>
          <w:p w14:paraId="3466698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1.结转结余率等于0的，得满分；</w:t>
            </w:r>
          </w:p>
          <w:p w14:paraId="070A7A93">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2.结转结余率大于或等于50%的，得0分；</w:t>
            </w:r>
          </w:p>
          <w:p w14:paraId="59058BA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3.结转结余率在0-50%之间的，在0和满分之间计算确定：</w:t>
            </w:r>
          </w:p>
          <w:p w14:paraId="5EB56CC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得分=[max（结转结余率）－某部门结转结余率]/[max（结转结余率）－min（结转结余率）]×该指标分值。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4D267293">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14:paraId="2A662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27293BF4">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4264C549">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72FB941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公用经费控制率（4分）</w:t>
            </w:r>
          </w:p>
        </w:tc>
        <w:tc>
          <w:tcPr>
            <w:tcW w:w="3436" w:type="dxa"/>
            <w:tcBorders>
              <w:top w:val="single" w:color="000000" w:sz="4" w:space="0"/>
              <w:left w:val="single" w:color="auto" w:sz="4" w:space="0"/>
              <w:bottom w:val="single" w:color="000000" w:sz="4" w:space="0"/>
              <w:right w:val="single" w:color="auto" w:sz="4" w:space="0"/>
            </w:tcBorders>
            <w:vAlign w:val="center"/>
          </w:tcPr>
          <w:p w14:paraId="3D4F453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通过对部门本年度实际支出的公用经费总额与预算安排的公用经费总额的比率，反映和评价部门对机构运转成本的实际控制程度。</w:t>
            </w:r>
          </w:p>
          <w:p w14:paraId="453E0BF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公用经费控制率=（实际支出公用经费总额/预算安排公用经费总额）×100%。</w:t>
            </w:r>
          </w:p>
        </w:tc>
        <w:tc>
          <w:tcPr>
            <w:tcW w:w="2373" w:type="dxa"/>
            <w:tcBorders>
              <w:top w:val="single" w:color="000000" w:sz="4" w:space="0"/>
              <w:left w:val="single" w:color="auto" w:sz="4" w:space="0"/>
              <w:bottom w:val="single" w:color="000000" w:sz="4" w:space="0"/>
              <w:right w:val="single" w:color="auto" w:sz="4" w:space="0"/>
            </w:tcBorders>
            <w:vAlign w:val="center"/>
          </w:tcPr>
          <w:p w14:paraId="5A3CAF42">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1.公用经费控制率小于或等于100%的，得满分；</w:t>
            </w:r>
          </w:p>
          <w:p w14:paraId="12586124">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2.公用经费控制率大于或等于105%的，得0分；</w:t>
            </w:r>
          </w:p>
          <w:p w14:paraId="7DFCB85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3.公用经费控制率在100%-105%之间的，在0和满分之间计算确定：</w:t>
            </w:r>
          </w:p>
          <w:p w14:paraId="122BE413">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得分=［max（公用经费控制率）-某部门公用经费控制率］/［max（公用经费控制率）-min（公用经费控制率）］×该指标分值。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3767DA33">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14:paraId="328C4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194C4DDB">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36BF40C1">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47AF861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政府采购执行率（4分）</w:t>
            </w:r>
          </w:p>
        </w:tc>
        <w:tc>
          <w:tcPr>
            <w:tcW w:w="3436" w:type="dxa"/>
            <w:tcBorders>
              <w:top w:val="single" w:color="000000" w:sz="4" w:space="0"/>
              <w:left w:val="single" w:color="auto" w:sz="4" w:space="0"/>
              <w:bottom w:val="single" w:color="000000" w:sz="4" w:space="0"/>
              <w:right w:val="single" w:color="auto" w:sz="4" w:space="0"/>
            </w:tcBorders>
            <w:vAlign w:val="center"/>
          </w:tcPr>
          <w:p w14:paraId="2006A31F">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通过对部门本年度实际政府采购预算项目个数与政府采购预算项目个数的比较，反映和评价部门政府采购预算执行情况。</w:t>
            </w:r>
          </w:p>
          <w:p w14:paraId="071A8A26">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政府采购执行率=（实际政府采购预算项目个数/政府采购预算项目个数）×100%。</w:t>
            </w:r>
          </w:p>
          <w:p w14:paraId="13C12E11">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政府采购项目中非预算内安排的项目除外。</w:t>
            </w:r>
          </w:p>
        </w:tc>
        <w:tc>
          <w:tcPr>
            <w:tcW w:w="2373" w:type="dxa"/>
            <w:tcBorders>
              <w:top w:val="single" w:color="000000" w:sz="4" w:space="0"/>
              <w:left w:val="single" w:color="auto" w:sz="4" w:space="0"/>
              <w:bottom w:val="single" w:color="000000" w:sz="4" w:space="0"/>
              <w:right w:val="single" w:color="auto" w:sz="4" w:space="0"/>
            </w:tcBorders>
            <w:vAlign w:val="center"/>
          </w:tcPr>
          <w:p w14:paraId="399A68E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1.政府采购执行率等于100%的，得满分；</w:t>
            </w:r>
          </w:p>
          <w:p w14:paraId="0D978282">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2.政府采购执行率小于或等于90%的，0分；</w:t>
            </w:r>
          </w:p>
          <w:p w14:paraId="07CFBB7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3.政府采购执行率在90%-100%之间的，在0和满分之间计算确定：</w:t>
            </w:r>
          </w:p>
          <w:p w14:paraId="14F4898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得分=［某部门政府采购执行率-min（政府采购执行率）］/［max（政府采购执行率）-min（政府采购执行率）］×该指标分值。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41365278">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0</w:t>
            </w:r>
          </w:p>
        </w:tc>
      </w:tr>
      <w:tr w14:paraId="13B30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6CA7284D">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2F81631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预算管理情况</w:t>
            </w:r>
          </w:p>
          <w:p w14:paraId="57EC403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（15）</w:t>
            </w:r>
          </w:p>
        </w:tc>
        <w:tc>
          <w:tcPr>
            <w:tcW w:w="1275" w:type="dxa"/>
            <w:tcBorders>
              <w:top w:val="single" w:color="000000" w:sz="4" w:space="0"/>
              <w:left w:val="single" w:color="000000" w:sz="4" w:space="0"/>
              <w:bottom w:val="single" w:color="000000" w:sz="4" w:space="0"/>
              <w:right w:val="single" w:color="auto" w:sz="4" w:space="0"/>
            </w:tcBorders>
            <w:vAlign w:val="center"/>
          </w:tcPr>
          <w:p w14:paraId="01230D7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资金使用合规性（8分）</w:t>
            </w:r>
          </w:p>
        </w:tc>
        <w:tc>
          <w:tcPr>
            <w:tcW w:w="3436" w:type="dxa"/>
            <w:tcBorders>
              <w:top w:val="single" w:color="000000" w:sz="4" w:space="0"/>
              <w:left w:val="single" w:color="auto" w:sz="4" w:space="0"/>
              <w:bottom w:val="single" w:color="000000" w:sz="4" w:space="0"/>
              <w:right w:val="single" w:color="auto" w:sz="4" w:space="0"/>
            </w:tcBorders>
            <w:vAlign w:val="center"/>
          </w:tcPr>
          <w:p w14:paraId="1041FF9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部门使用预算资金是否符合相关的预算财务管理制度的规定，反映和评价部门预算资金的规范运行情况。</w:t>
            </w:r>
          </w:p>
          <w:p w14:paraId="50B8F34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692E7DD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1.符合国家财经法规和财务管理制度规定以及有关部门资金管理办法的规定；</w:t>
            </w:r>
          </w:p>
          <w:p w14:paraId="3E11DE9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2.资金的拨付有完整的审批过程和手续；</w:t>
            </w:r>
          </w:p>
          <w:p w14:paraId="6DBFAE5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3.项目的重大开支经过评估论证；</w:t>
            </w:r>
          </w:p>
          <w:p w14:paraId="51FC3EA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4.符合部门预算批复的用途；</w:t>
            </w:r>
          </w:p>
          <w:p w14:paraId="5CC0699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5.不存在截留情况；</w:t>
            </w:r>
          </w:p>
          <w:p w14:paraId="45D7EA6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6.不存在挤占情况；</w:t>
            </w:r>
          </w:p>
          <w:p w14:paraId="64FF519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7.不存在挪用情况；</w:t>
            </w:r>
          </w:p>
          <w:p w14:paraId="5667E5C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8.不存在虚列支出情况。</w:t>
            </w:r>
          </w:p>
        </w:tc>
        <w:tc>
          <w:tcPr>
            <w:tcW w:w="2373" w:type="dxa"/>
            <w:tcBorders>
              <w:top w:val="single" w:color="000000" w:sz="4" w:space="0"/>
              <w:left w:val="single" w:color="auto" w:sz="4" w:space="0"/>
              <w:bottom w:val="single" w:color="000000" w:sz="4" w:space="0"/>
              <w:right w:val="single" w:color="auto" w:sz="4" w:space="0"/>
            </w:tcBorders>
            <w:vAlign w:val="center"/>
          </w:tcPr>
          <w:p w14:paraId="7D97F5C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全部符合（8）；</w:t>
            </w:r>
          </w:p>
          <w:p w14:paraId="0699109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符合其中七项（6）；</w:t>
            </w:r>
          </w:p>
          <w:p w14:paraId="6A80C6E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符合其中六项（4）；</w:t>
            </w:r>
          </w:p>
          <w:p w14:paraId="4892055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符合其中五项（2）；</w:t>
            </w:r>
          </w:p>
          <w:p w14:paraId="5A8DF7D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符合其中四项及以下（0）。</w:t>
            </w:r>
          </w:p>
        </w:tc>
        <w:tc>
          <w:tcPr>
            <w:tcW w:w="764" w:type="dxa"/>
            <w:tcBorders>
              <w:top w:val="single" w:color="000000" w:sz="4" w:space="0"/>
              <w:left w:val="single" w:color="auto" w:sz="4" w:space="0"/>
              <w:bottom w:val="single" w:color="000000" w:sz="4" w:space="0"/>
              <w:right w:val="single" w:color="000000" w:sz="4" w:space="0"/>
            </w:tcBorders>
            <w:vAlign w:val="center"/>
          </w:tcPr>
          <w:p w14:paraId="12D6098C">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8</w:t>
            </w:r>
          </w:p>
        </w:tc>
      </w:tr>
      <w:tr w14:paraId="19A81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3258CC84">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64E8B382">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1B945A0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预决算信息公开性（3分）</w:t>
            </w:r>
          </w:p>
        </w:tc>
        <w:tc>
          <w:tcPr>
            <w:tcW w:w="3436" w:type="dxa"/>
            <w:tcBorders>
              <w:top w:val="single" w:color="000000" w:sz="4" w:space="0"/>
              <w:left w:val="single" w:color="auto" w:sz="4" w:space="0"/>
              <w:bottom w:val="single" w:color="000000" w:sz="4" w:space="0"/>
              <w:right w:val="single" w:color="auto" w:sz="4" w:space="0"/>
            </w:tcBorders>
            <w:vAlign w:val="center"/>
          </w:tcPr>
          <w:p w14:paraId="20BA385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部门是否按照政府信息公开有关规定公开相关预决算信息，用以反映和评价部门预决算管理的公开透明情况。</w:t>
            </w:r>
          </w:p>
          <w:p w14:paraId="444DE11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预决算信息是指与部门预算、执行、决算、监督、绩效等管理相关的信息。</w:t>
            </w:r>
          </w:p>
          <w:p w14:paraId="4696EA9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760F650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1.公开预决算信息；</w:t>
            </w:r>
          </w:p>
          <w:p w14:paraId="3D10825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2.按规定内容公开预决算信息；</w:t>
            </w:r>
          </w:p>
          <w:p w14:paraId="2BD4F6F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3.按规定时限公开预决算信息。</w:t>
            </w:r>
          </w:p>
        </w:tc>
        <w:tc>
          <w:tcPr>
            <w:tcW w:w="2373" w:type="dxa"/>
            <w:tcBorders>
              <w:top w:val="single" w:color="000000" w:sz="4" w:space="0"/>
              <w:left w:val="single" w:color="auto" w:sz="4" w:space="0"/>
              <w:bottom w:val="single" w:color="000000" w:sz="4" w:space="0"/>
              <w:right w:val="single" w:color="auto" w:sz="4" w:space="0"/>
            </w:tcBorders>
            <w:vAlign w:val="center"/>
          </w:tcPr>
          <w:p w14:paraId="2970F48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全部符合（3）；</w:t>
            </w:r>
          </w:p>
          <w:p w14:paraId="7E670FE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14:paraId="088B242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vAlign w:val="center"/>
          </w:tcPr>
          <w:p w14:paraId="09687F88">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14:paraId="131CD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1AEAC4C3">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2E894F8A">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3A02E43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基础信息完善性</w:t>
            </w:r>
            <w:r>
              <w:rPr>
                <w:rFonts w:hint="eastAsia" w:ascii="仿宋_GB2312" w:hAnsi="仿宋_GB2312" w:eastAsia="仿宋_GB2312" w:cs="仿宋_GB2312"/>
                <w:kern w:val="0"/>
                <w:sz w:val="21"/>
                <w:szCs w:val="21"/>
                <w:lang w:bidi="ar"/>
              </w:rPr>
              <w:t>（4分）</w:t>
            </w:r>
          </w:p>
        </w:tc>
        <w:tc>
          <w:tcPr>
            <w:tcW w:w="3436" w:type="dxa"/>
            <w:tcBorders>
              <w:top w:val="single" w:color="000000" w:sz="4" w:space="0"/>
              <w:left w:val="single" w:color="auto" w:sz="4" w:space="0"/>
              <w:bottom w:val="single" w:color="000000" w:sz="4" w:space="0"/>
              <w:right w:val="single" w:color="auto" w:sz="4" w:space="0"/>
            </w:tcBorders>
            <w:vAlign w:val="center"/>
          </w:tcPr>
          <w:p w14:paraId="185FA71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部门基础信息是否完善，用以反映和评价基础信息对预算管理工作的支撑情况。</w:t>
            </w:r>
          </w:p>
          <w:p w14:paraId="2393267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616F0C9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1.基本财务管理制度健全；</w:t>
            </w:r>
          </w:p>
          <w:p w14:paraId="11A62DF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2.基础数据信息和会计信息资料真实；</w:t>
            </w:r>
          </w:p>
          <w:p w14:paraId="4B8B066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3.基础数据信息和会计信息资料完整；</w:t>
            </w:r>
          </w:p>
          <w:p w14:paraId="6C4ED74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4.基础数据信息和会计信息资料准确。</w:t>
            </w:r>
          </w:p>
        </w:tc>
        <w:tc>
          <w:tcPr>
            <w:tcW w:w="2373" w:type="dxa"/>
            <w:tcBorders>
              <w:top w:val="single" w:color="000000" w:sz="4" w:space="0"/>
              <w:left w:val="single" w:color="auto" w:sz="4" w:space="0"/>
              <w:bottom w:val="single" w:color="000000" w:sz="4" w:space="0"/>
              <w:right w:val="single" w:color="auto" w:sz="4" w:space="0"/>
            </w:tcBorders>
            <w:vAlign w:val="center"/>
          </w:tcPr>
          <w:p w14:paraId="367CB4D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符合全部四项（4）；</w:t>
            </w:r>
          </w:p>
          <w:p w14:paraId="276375B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符合其中三项（2）；</w:t>
            </w:r>
          </w:p>
          <w:p w14:paraId="27B99AE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符合其中两项（1）；</w:t>
            </w:r>
          </w:p>
          <w:p w14:paraId="3DFAB8D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vAlign w:val="center"/>
          </w:tcPr>
          <w:p w14:paraId="680B3ABE">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14:paraId="431AE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542030A0">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3B69850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资产管理情况（5分）</w:t>
            </w:r>
          </w:p>
        </w:tc>
        <w:tc>
          <w:tcPr>
            <w:tcW w:w="1275" w:type="dxa"/>
            <w:tcBorders>
              <w:top w:val="single" w:color="auto" w:sz="4" w:space="0"/>
              <w:left w:val="single" w:color="000000" w:sz="4" w:space="0"/>
              <w:bottom w:val="single" w:color="000000" w:sz="4" w:space="0"/>
              <w:right w:val="single" w:color="auto" w:sz="4" w:space="0"/>
            </w:tcBorders>
            <w:vAlign w:val="center"/>
          </w:tcPr>
          <w:p w14:paraId="6F48873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资产管理完整性（2分）</w:t>
            </w:r>
          </w:p>
        </w:tc>
        <w:tc>
          <w:tcPr>
            <w:tcW w:w="3436" w:type="dxa"/>
            <w:tcBorders>
              <w:top w:val="single" w:color="auto" w:sz="4" w:space="0"/>
              <w:left w:val="single" w:color="auto" w:sz="4" w:space="0"/>
              <w:bottom w:val="single" w:color="000000" w:sz="4" w:space="0"/>
              <w:right w:val="single" w:color="auto" w:sz="4" w:space="0"/>
            </w:tcBorders>
            <w:vAlign w:val="center"/>
          </w:tcPr>
          <w:p w14:paraId="463AA4E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部门的资产是否保存完整、使用合规、收入及时足额上缴，用以反映和评价部门资产运行情况。</w:t>
            </w:r>
          </w:p>
          <w:p w14:paraId="73F9082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1536F51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1.资产保存完整；</w:t>
            </w:r>
          </w:p>
          <w:p w14:paraId="25AF0BF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2.资产账务管理是否合规，帐实相符；</w:t>
            </w:r>
          </w:p>
          <w:p w14:paraId="77E28D1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3.资产有偿使用及处置收入及时足额上缴。</w:t>
            </w:r>
          </w:p>
        </w:tc>
        <w:tc>
          <w:tcPr>
            <w:tcW w:w="2373" w:type="dxa"/>
            <w:tcBorders>
              <w:top w:val="single" w:color="auto" w:sz="4" w:space="0"/>
              <w:left w:val="single" w:color="auto" w:sz="4" w:space="0"/>
              <w:bottom w:val="single" w:color="000000" w:sz="4" w:space="0"/>
              <w:right w:val="single" w:color="auto" w:sz="4" w:space="0"/>
            </w:tcBorders>
            <w:vAlign w:val="center"/>
          </w:tcPr>
          <w:p w14:paraId="3BA9CAB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符合全部三项（3）；</w:t>
            </w:r>
          </w:p>
          <w:p w14:paraId="1B2C477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14:paraId="56F3347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符合其中一项（1）；</w:t>
            </w:r>
          </w:p>
          <w:p w14:paraId="177D478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符合零项（0）。</w:t>
            </w:r>
          </w:p>
        </w:tc>
        <w:tc>
          <w:tcPr>
            <w:tcW w:w="764" w:type="dxa"/>
            <w:tcBorders>
              <w:top w:val="single" w:color="auto" w:sz="4" w:space="0"/>
              <w:left w:val="single" w:color="auto" w:sz="4" w:space="0"/>
              <w:bottom w:val="single" w:color="000000" w:sz="4" w:space="0"/>
              <w:right w:val="single" w:color="000000" w:sz="4" w:space="0"/>
            </w:tcBorders>
            <w:vAlign w:val="center"/>
          </w:tcPr>
          <w:p w14:paraId="0995F4D7">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43A95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67EA551B">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448EE1CA">
            <w:pPr>
              <w:spacing w:line="240" w:lineRule="exact"/>
              <w:rPr>
                <w:rFonts w:hint="eastAsia" w:ascii="仿宋_GB2312" w:hAnsi="仿宋_GB2312" w:eastAsia="仿宋_GB2312" w:cs="仿宋_GB2312"/>
                <w:sz w:val="21"/>
                <w:szCs w:val="21"/>
              </w:rPr>
            </w:pPr>
          </w:p>
        </w:tc>
        <w:tc>
          <w:tcPr>
            <w:tcW w:w="1275" w:type="dxa"/>
            <w:tcBorders>
              <w:top w:val="single" w:color="auto" w:sz="4" w:space="0"/>
              <w:left w:val="single" w:color="000000" w:sz="4" w:space="0"/>
              <w:bottom w:val="single" w:color="000000" w:sz="4" w:space="0"/>
              <w:right w:val="single" w:color="auto" w:sz="4" w:space="0"/>
            </w:tcBorders>
            <w:vAlign w:val="center"/>
          </w:tcPr>
          <w:p w14:paraId="11F33DA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固定资产利用率（3分）</w:t>
            </w:r>
          </w:p>
        </w:tc>
        <w:tc>
          <w:tcPr>
            <w:tcW w:w="3436" w:type="dxa"/>
            <w:tcBorders>
              <w:top w:val="single" w:color="auto" w:sz="4" w:space="0"/>
              <w:left w:val="single" w:color="auto" w:sz="4" w:space="0"/>
              <w:bottom w:val="single" w:color="000000" w:sz="4" w:space="0"/>
              <w:right w:val="single" w:color="auto" w:sz="4" w:space="0"/>
            </w:tcBorders>
            <w:vAlign w:val="center"/>
          </w:tcPr>
          <w:p w14:paraId="22296C3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部门实际在用固定资产总额与所有固定资产总额的比率，用以反映和评价部门固定资产使用效率。</w:t>
            </w:r>
          </w:p>
          <w:p w14:paraId="322B2AE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固定资产利用率=（实际在用固定资产总额/所有固定资产总额）×100%。</w:t>
            </w:r>
          </w:p>
        </w:tc>
        <w:tc>
          <w:tcPr>
            <w:tcW w:w="2373" w:type="dxa"/>
            <w:tcBorders>
              <w:top w:val="single" w:color="auto" w:sz="4" w:space="0"/>
              <w:left w:val="single" w:color="auto" w:sz="4" w:space="0"/>
              <w:bottom w:val="single" w:color="000000" w:sz="4" w:space="0"/>
              <w:right w:val="single" w:color="auto" w:sz="4" w:space="0"/>
            </w:tcBorders>
            <w:vAlign w:val="center"/>
          </w:tcPr>
          <w:p w14:paraId="3301F3D3">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1.固定资产利用率大于或等于95%的，得满分；</w:t>
            </w:r>
          </w:p>
          <w:p w14:paraId="7141D0B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2.固定资产利用率小于或等于85%的，得0分；</w:t>
            </w:r>
          </w:p>
          <w:p w14:paraId="3FF04BD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3.固定资产利用率在85%-95%之间的，在0和满分之间计算确定：</w:t>
            </w:r>
          </w:p>
          <w:p w14:paraId="3C7DC7F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得分=［某部门固定资产利用率-min（固定资产利用率）］/［max（固定资产利用率）-min（固定资产利用率）］×该指标分值。</w:t>
            </w:r>
          </w:p>
        </w:tc>
        <w:tc>
          <w:tcPr>
            <w:tcW w:w="764" w:type="dxa"/>
            <w:tcBorders>
              <w:top w:val="single" w:color="auto" w:sz="4" w:space="0"/>
              <w:left w:val="single" w:color="auto" w:sz="4" w:space="0"/>
              <w:bottom w:val="single" w:color="000000" w:sz="4" w:space="0"/>
              <w:right w:val="single" w:color="000000" w:sz="4" w:space="0"/>
            </w:tcBorders>
            <w:vAlign w:val="center"/>
          </w:tcPr>
          <w:p w14:paraId="53A1145D">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14:paraId="3BA06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691A88E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产出(25分)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282E00F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职责履行情况（25）</w:t>
            </w:r>
          </w:p>
        </w:tc>
        <w:tc>
          <w:tcPr>
            <w:tcW w:w="1275" w:type="dxa"/>
            <w:tcBorders>
              <w:top w:val="single" w:color="000000" w:sz="4" w:space="0"/>
              <w:left w:val="single" w:color="000000" w:sz="4" w:space="0"/>
              <w:bottom w:val="single" w:color="auto" w:sz="4" w:space="0"/>
              <w:right w:val="single" w:color="auto" w:sz="4" w:space="0"/>
            </w:tcBorders>
            <w:vAlign w:val="center"/>
          </w:tcPr>
          <w:p w14:paraId="657DB22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履职完成情况（10分）</w:t>
            </w:r>
          </w:p>
        </w:tc>
        <w:tc>
          <w:tcPr>
            <w:tcW w:w="3436" w:type="dxa"/>
            <w:tcBorders>
              <w:top w:val="single" w:color="000000" w:sz="4" w:space="0"/>
              <w:left w:val="single" w:color="auto" w:sz="4" w:space="0"/>
              <w:bottom w:val="single" w:color="auto" w:sz="4" w:space="0"/>
              <w:right w:val="single" w:color="auto" w:sz="4" w:space="0"/>
            </w:tcBorders>
            <w:vAlign w:val="center"/>
          </w:tcPr>
          <w:p w14:paraId="412010B9">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根据年度主要任务分解表的的具体任务，逐项评价任务量化指标完成情况、实施效果和责任制建立情况。用以反映和考核部门（单位）履职工作任务目标的完成情况。评价要点：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1.每项任务是否已制定了明确、具体、可量化、可衡量的绩效指标；</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2.每项任务绩效指标的完成情况，是全部完成、基本完成、未完成，还是未实施；</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3.每项任务实施效果情况，是优秀、良好、一般，还是无效果；</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4.每项任务是否建立了目标责任制，是否落实到具体部门和人员负责。</w:t>
            </w:r>
          </w:p>
        </w:tc>
        <w:tc>
          <w:tcPr>
            <w:tcW w:w="2373" w:type="dxa"/>
            <w:tcBorders>
              <w:top w:val="single" w:color="000000" w:sz="4" w:space="0"/>
              <w:left w:val="single" w:color="auto" w:sz="4" w:space="0"/>
              <w:bottom w:val="single" w:color="auto" w:sz="4" w:space="0"/>
              <w:right w:val="single" w:color="auto" w:sz="4" w:space="0"/>
            </w:tcBorders>
            <w:vAlign w:val="center"/>
          </w:tcPr>
          <w:p w14:paraId="444563F2">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根据不同部门履职的内容和特点，具体测算部门履职工作任务目标的完成情况。</w:t>
            </w:r>
          </w:p>
        </w:tc>
        <w:tc>
          <w:tcPr>
            <w:tcW w:w="764" w:type="dxa"/>
            <w:tcBorders>
              <w:top w:val="single" w:color="000000" w:sz="4" w:space="0"/>
              <w:left w:val="single" w:color="auto" w:sz="4" w:space="0"/>
              <w:bottom w:val="single" w:color="auto" w:sz="4" w:space="0"/>
              <w:right w:val="single" w:color="000000" w:sz="4" w:space="0"/>
            </w:tcBorders>
            <w:vAlign w:val="center"/>
          </w:tcPr>
          <w:p w14:paraId="15765199">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w:t>
            </w:r>
          </w:p>
        </w:tc>
      </w:tr>
      <w:tr w14:paraId="63B5A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372A2DF0">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46E34CAD">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right w:val="single" w:color="auto" w:sz="4" w:space="0"/>
            </w:tcBorders>
            <w:vAlign w:val="center"/>
          </w:tcPr>
          <w:p w14:paraId="186448E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项目完成质量达标率（15）</w:t>
            </w:r>
          </w:p>
        </w:tc>
        <w:tc>
          <w:tcPr>
            <w:tcW w:w="3436" w:type="dxa"/>
            <w:tcBorders>
              <w:top w:val="single" w:color="000000" w:sz="4" w:space="0"/>
              <w:left w:val="single" w:color="auto" w:sz="4" w:space="0"/>
              <w:right w:val="single" w:color="auto" w:sz="4" w:space="0"/>
            </w:tcBorders>
            <w:vAlign w:val="center"/>
          </w:tcPr>
          <w:p w14:paraId="7128BDE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部门已完成项目中质量达标项目个数占已完成项目个数的比率,用以反映和评价部门履职质量目标的实现程度。</w:t>
            </w:r>
          </w:p>
          <w:p w14:paraId="408F12E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项目质量达标率=（已完成项目中质量达标项目个数/已完成项目个数）×100%。</w:t>
            </w:r>
          </w:p>
          <w:p w14:paraId="171B685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项目质量达标是指项目决算验收合格。</w:t>
            </w:r>
          </w:p>
        </w:tc>
        <w:tc>
          <w:tcPr>
            <w:tcW w:w="2373" w:type="dxa"/>
            <w:tcBorders>
              <w:top w:val="single" w:color="000000" w:sz="4" w:space="0"/>
              <w:left w:val="single" w:color="auto" w:sz="4" w:space="0"/>
              <w:right w:val="single" w:color="auto" w:sz="4" w:space="0"/>
            </w:tcBorders>
            <w:vAlign w:val="center"/>
          </w:tcPr>
          <w:p w14:paraId="7E5C7041">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1.项目质量达标率等于100%的，得满分；</w:t>
            </w:r>
          </w:p>
          <w:p w14:paraId="27608AC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2.项目质量达标率小于或等于99%的，得0分；</w:t>
            </w:r>
          </w:p>
          <w:p w14:paraId="147C83C4">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3.项目质量达标率在99%-100%之间的，在0和满分之间计算确定：</w:t>
            </w:r>
          </w:p>
          <w:p w14:paraId="0B15E63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得分=［某部门项目质量达标率-min（项目质量达标率）］/［max（项目质量达标率）-min（项目质量达标率）］×该指标分值。</w:t>
            </w:r>
          </w:p>
        </w:tc>
        <w:tc>
          <w:tcPr>
            <w:tcW w:w="764" w:type="dxa"/>
            <w:tcBorders>
              <w:top w:val="single" w:color="000000" w:sz="4" w:space="0"/>
              <w:left w:val="single" w:color="auto" w:sz="4" w:space="0"/>
              <w:bottom w:val="single" w:color="auto" w:sz="4" w:space="0"/>
              <w:right w:val="single" w:color="000000" w:sz="4" w:space="0"/>
            </w:tcBorders>
            <w:vAlign w:val="center"/>
          </w:tcPr>
          <w:p w14:paraId="68CE5556">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15</w:t>
            </w:r>
          </w:p>
        </w:tc>
      </w:tr>
      <w:tr w14:paraId="32F78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486234B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效果（20分）</w:t>
            </w:r>
          </w:p>
        </w:tc>
        <w:tc>
          <w:tcPr>
            <w:tcW w:w="743" w:type="dxa"/>
            <w:vMerge w:val="restart"/>
            <w:tcBorders>
              <w:top w:val="single" w:color="auto" w:sz="4" w:space="0"/>
              <w:left w:val="single" w:color="000000" w:sz="4" w:space="0"/>
              <w:right w:val="single" w:color="000000" w:sz="4" w:space="0"/>
            </w:tcBorders>
            <w:vAlign w:val="center"/>
          </w:tcPr>
          <w:p w14:paraId="203B4FE2">
            <w:pPr>
              <w:widowControl/>
              <w:spacing w:line="240" w:lineRule="exact"/>
              <w:jc w:val="left"/>
              <w:rPr>
                <w:rFonts w:hint="eastAsia" w:ascii="仿宋_GB2312" w:hAnsi="仿宋_GB2312" w:eastAsia="仿宋_GB2312" w:cs="仿宋_GB2312"/>
                <w:kern w:val="0"/>
                <w:sz w:val="21"/>
                <w:szCs w:val="21"/>
                <w:lang w:bidi="ar"/>
              </w:rPr>
            </w:pPr>
          </w:p>
          <w:p w14:paraId="4126CC9F">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履职效益情况</w:t>
            </w:r>
          </w:p>
          <w:p w14:paraId="7997114F">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（20分）</w:t>
            </w:r>
          </w:p>
        </w:tc>
        <w:tc>
          <w:tcPr>
            <w:tcW w:w="1275" w:type="dxa"/>
            <w:tcBorders>
              <w:top w:val="single" w:color="000000" w:sz="4" w:space="0"/>
              <w:left w:val="single" w:color="000000" w:sz="4" w:space="0"/>
              <w:bottom w:val="single" w:color="000000" w:sz="4" w:space="0"/>
              <w:right w:val="single" w:color="auto" w:sz="4" w:space="0"/>
            </w:tcBorders>
            <w:vAlign w:val="center"/>
          </w:tcPr>
          <w:p w14:paraId="038988B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经济效益</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14:paraId="4771E9D1">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部门及所属二级单位通过履行职责和预算安排支出项目的实施，对我市带来的经济影响。</w:t>
            </w:r>
          </w:p>
          <w:p w14:paraId="0A703A9D">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1.通过部门所属企事业单位改革，促进了企事业单位效益增长情况；</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2.通过预算支出项目的实施，促进了行业生产能力增长，从而带动行业经济效益增长；</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3.通过预算支出项目的实施，有效提高劳动效率，节约成本费用；</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4.通过预算支出项目的实施，降低了损耗，从而提高了生产效益；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5.通过预算支出项目的实施，完善了突发情况的监测预警，保障了生产安全，降低了生产损失。</w:t>
            </w:r>
          </w:p>
        </w:tc>
        <w:tc>
          <w:tcPr>
            <w:tcW w:w="2373" w:type="dxa"/>
            <w:tcBorders>
              <w:top w:val="single" w:color="000000" w:sz="4" w:space="0"/>
              <w:left w:val="single" w:color="auto" w:sz="4" w:space="0"/>
              <w:bottom w:val="single" w:color="000000" w:sz="4" w:space="0"/>
              <w:right w:val="single" w:color="auto" w:sz="4" w:space="0"/>
            </w:tcBorders>
            <w:vAlign w:val="center"/>
          </w:tcPr>
          <w:p w14:paraId="40FA320A">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根据不同部门履职的内容和特点，具体测算部门履职产生的经济效益。</w:t>
            </w:r>
          </w:p>
        </w:tc>
        <w:tc>
          <w:tcPr>
            <w:tcW w:w="764" w:type="dxa"/>
            <w:tcBorders>
              <w:top w:val="single" w:color="000000" w:sz="4" w:space="0"/>
              <w:left w:val="single" w:color="auto" w:sz="4" w:space="0"/>
              <w:bottom w:val="single" w:color="000000" w:sz="4" w:space="0"/>
              <w:right w:val="single" w:color="000000" w:sz="4" w:space="0"/>
            </w:tcBorders>
            <w:vAlign w:val="center"/>
          </w:tcPr>
          <w:p w14:paraId="633F0E5D">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4CA95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14:paraId="4E850A1E">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14:paraId="478B2F66">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356A9BD1">
            <w:pPr>
              <w:widowControl/>
              <w:spacing w:line="240" w:lineRule="exac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社会效益（5分）</w:t>
            </w:r>
          </w:p>
        </w:tc>
        <w:tc>
          <w:tcPr>
            <w:tcW w:w="3436" w:type="dxa"/>
            <w:tcBorders>
              <w:top w:val="single" w:color="000000" w:sz="4" w:space="0"/>
              <w:left w:val="single" w:color="auto" w:sz="4" w:space="0"/>
              <w:bottom w:val="single" w:color="000000" w:sz="4" w:space="0"/>
              <w:right w:val="single" w:color="auto" w:sz="4" w:space="0"/>
            </w:tcBorders>
            <w:vAlign w:val="center"/>
          </w:tcPr>
          <w:p w14:paraId="55129928">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部门及所属二级单位履行职责对社会发展所带来的直接或间接影响。</w:t>
            </w:r>
          </w:p>
          <w:p w14:paraId="6519654C">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1.通过部门所属企事业单位的改革，促进了企事业单位可持续发展，带动就业增长情况；</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2.通过预算支出项目的实施，是否明显促进了行业精神文明建设；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3.通过部门履职是否明显提高城乡居民生活水平，满足了人们日益增长的物质与文化生活需求；</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4.通过预算项目的实施，是否提高了劳动生产率，降低了劳动强度，促进了劳动人民的身心健康；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5.通过部门履职行业形象是否得到了大大提升了，增强了部门影响力。</w:t>
            </w:r>
          </w:p>
        </w:tc>
        <w:tc>
          <w:tcPr>
            <w:tcW w:w="2373" w:type="dxa"/>
            <w:tcBorders>
              <w:top w:val="single" w:color="000000" w:sz="4" w:space="0"/>
              <w:left w:val="single" w:color="auto" w:sz="4" w:space="0"/>
              <w:bottom w:val="single" w:color="000000" w:sz="4" w:space="0"/>
              <w:right w:val="single" w:color="auto" w:sz="4" w:space="0"/>
            </w:tcBorders>
            <w:vAlign w:val="center"/>
          </w:tcPr>
          <w:p w14:paraId="11AD2EA5">
            <w:pPr>
              <w:widowControl/>
              <w:spacing w:line="240" w:lineRule="exac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根据不同部门履职的内容和特点，具体测算部门履职产生的社会效益。</w:t>
            </w:r>
          </w:p>
        </w:tc>
        <w:tc>
          <w:tcPr>
            <w:tcW w:w="764" w:type="dxa"/>
            <w:tcBorders>
              <w:top w:val="single" w:color="000000" w:sz="4" w:space="0"/>
              <w:left w:val="single" w:color="auto" w:sz="4" w:space="0"/>
              <w:bottom w:val="single" w:color="000000" w:sz="4" w:space="0"/>
              <w:right w:val="single" w:color="000000" w:sz="4" w:space="0"/>
            </w:tcBorders>
            <w:vAlign w:val="center"/>
          </w:tcPr>
          <w:p w14:paraId="6B4DF6D8">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62480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14:paraId="05EED843">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14:paraId="7745DA91">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18B4A901">
            <w:pPr>
              <w:widowControl/>
              <w:spacing w:line="240" w:lineRule="exact"/>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生态效益（5分）</w:t>
            </w:r>
          </w:p>
        </w:tc>
        <w:tc>
          <w:tcPr>
            <w:tcW w:w="3436" w:type="dxa"/>
            <w:tcBorders>
              <w:top w:val="single" w:color="000000" w:sz="4" w:space="0"/>
              <w:left w:val="single" w:color="auto" w:sz="4" w:space="0"/>
              <w:bottom w:val="single" w:color="000000" w:sz="4" w:space="0"/>
              <w:right w:val="single" w:color="auto" w:sz="4" w:space="0"/>
            </w:tcBorders>
            <w:vAlign w:val="center"/>
          </w:tcPr>
          <w:p w14:paraId="6415CB57">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部门及所属二级单位履行职责对生态环境所带来的直接或间接影响。</w:t>
            </w:r>
          </w:p>
          <w:p w14:paraId="76207ED0">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1.通过预算支出项目的实施，绿色、节能环保新技术的应用和推广，明显带动各环节的节能减排，也具有一定的环境效益；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2.通过履职有效地控制虚假、伪劣、霉变等劣质产品进入市场，影响了人民生活质量，净化地市场环境；</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3.通过预算支出项目的实施，是否达到减少污染物排放；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4.通过预算支出项目的实施，周围环境得到了整治，面貌得到了改善。</w:t>
            </w:r>
          </w:p>
        </w:tc>
        <w:tc>
          <w:tcPr>
            <w:tcW w:w="2373" w:type="dxa"/>
            <w:tcBorders>
              <w:top w:val="single" w:color="000000" w:sz="4" w:space="0"/>
              <w:left w:val="single" w:color="auto" w:sz="4" w:space="0"/>
              <w:bottom w:val="single" w:color="000000" w:sz="4" w:space="0"/>
              <w:right w:val="single" w:color="auto" w:sz="4" w:space="0"/>
            </w:tcBorders>
            <w:vAlign w:val="center"/>
          </w:tcPr>
          <w:p w14:paraId="126B0267">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根据不同部门履职的内容和特点，具体测算部门履职产生的生态效益。</w:t>
            </w:r>
          </w:p>
        </w:tc>
        <w:tc>
          <w:tcPr>
            <w:tcW w:w="764" w:type="dxa"/>
            <w:tcBorders>
              <w:top w:val="single" w:color="000000" w:sz="4" w:space="0"/>
              <w:left w:val="single" w:color="auto" w:sz="4" w:space="0"/>
              <w:bottom w:val="single" w:color="000000" w:sz="4" w:space="0"/>
              <w:right w:val="single" w:color="000000" w:sz="4" w:space="0"/>
            </w:tcBorders>
            <w:vAlign w:val="center"/>
          </w:tcPr>
          <w:p w14:paraId="61C002CF">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28F09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6BB5298B">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14:paraId="7CB80936">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7728B27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服务对象满意度（5）</w:t>
            </w:r>
          </w:p>
        </w:tc>
        <w:tc>
          <w:tcPr>
            <w:tcW w:w="3436" w:type="dxa"/>
            <w:tcBorders>
              <w:top w:val="single" w:color="000000" w:sz="4" w:space="0"/>
              <w:left w:val="single" w:color="auto" w:sz="4" w:space="0"/>
              <w:bottom w:val="single" w:color="000000" w:sz="4" w:space="0"/>
              <w:right w:val="single" w:color="auto" w:sz="4" w:space="0"/>
            </w:tcBorders>
            <w:vAlign w:val="center"/>
          </w:tcPr>
          <w:p w14:paraId="7BA3794A">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通过对部门（单位）的服务对象对部门履职效果的满意程度调查，反映和考核社会公众或服务对象对部门履职的满意度。</w:t>
            </w:r>
          </w:p>
        </w:tc>
        <w:tc>
          <w:tcPr>
            <w:tcW w:w="2373" w:type="dxa"/>
            <w:tcBorders>
              <w:top w:val="single" w:color="000000" w:sz="4" w:space="0"/>
              <w:left w:val="single" w:color="auto" w:sz="4" w:space="0"/>
              <w:bottom w:val="single" w:color="000000" w:sz="4" w:space="0"/>
              <w:right w:val="single" w:color="auto" w:sz="4" w:space="0"/>
            </w:tcBorders>
            <w:vAlign w:val="center"/>
          </w:tcPr>
          <w:p w14:paraId="04FF2F88">
            <w:pPr>
              <w:widowControl/>
              <w:spacing w:line="2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按照满意度调查的优秀、良好、合格、不合格给予该项指标打分：</w:t>
            </w:r>
          </w:p>
          <w:p w14:paraId="5BD5FBA2">
            <w:pPr>
              <w:widowControl/>
              <w:spacing w:line="240" w:lineRule="exac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rPr>
              <w:t>优秀（5）；良好（3）；合格（1）；不合格（0）。</w:t>
            </w:r>
          </w:p>
        </w:tc>
        <w:tc>
          <w:tcPr>
            <w:tcW w:w="764" w:type="dxa"/>
            <w:tcBorders>
              <w:top w:val="single" w:color="000000" w:sz="4" w:space="0"/>
              <w:left w:val="single" w:color="auto" w:sz="4" w:space="0"/>
              <w:bottom w:val="single" w:color="000000" w:sz="4" w:space="0"/>
              <w:right w:val="single" w:color="000000" w:sz="4" w:space="0"/>
            </w:tcBorders>
            <w:vAlign w:val="center"/>
          </w:tcPr>
          <w:p w14:paraId="4B0B69F0">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467A5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 w:hRule="atLeast"/>
        </w:trPr>
        <w:tc>
          <w:tcPr>
            <w:tcW w:w="779" w:type="dxa"/>
            <w:tcBorders>
              <w:top w:val="single" w:color="000000" w:sz="4" w:space="0"/>
              <w:left w:val="single" w:color="000000" w:sz="4" w:space="0"/>
              <w:bottom w:val="single" w:color="000000" w:sz="4" w:space="0"/>
              <w:right w:val="single" w:color="000000" w:sz="4" w:space="0"/>
            </w:tcBorders>
            <w:vAlign w:val="center"/>
          </w:tcPr>
          <w:p w14:paraId="299E2A0C">
            <w:pPr>
              <w:spacing w:line="240" w:lineRule="exac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合计</w:t>
            </w:r>
          </w:p>
        </w:tc>
        <w:tc>
          <w:tcPr>
            <w:tcW w:w="743" w:type="dxa"/>
            <w:tcBorders>
              <w:left w:val="single" w:color="000000" w:sz="4" w:space="0"/>
              <w:bottom w:val="single" w:color="auto" w:sz="4" w:space="0"/>
              <w:right w:val="single" w:color="000000" w:sz="4" w:space="0"/>
            </w:tcBorders>
            <w:vAlign w:val="center"/>
          </w:tcPr>
          <w:p w14:paraId="7F8BC80E">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5AAC732C">
            <w:pPr>
              <w:widowControl/>
              <w:spacing w:line="240" w:lineRule="exact"/>
              <w:jc w:val="left"/>
              <w:rPr>
                <w:rFonts w:hint="eastAsia" w:ascii="仿宋_GB2312" w:hAnsi="仿宋_GB2312" w:eastAsia="仿宋_GB2312" w:cs="仿宋_GB2312"/>
                <w:kern w:val="0"/>
                <w:sz w:val="21"/>
                <w:szCs w:val="21"/>
                <w:lang w:bidi="ar"/>
              </w:rPr>
            </w:pPr>
          </w:p>
        </w:tc>
        <w:tc>
          <w:tcPr>
            <w:tcW w:w="3436" w:type="dxa"/>
            <w:tcBorders>
              <w:top w:val="single" w:color="000000" w:sz="4" w:space="0"/>
              <w:left w:val="single" w:color="auto" w:sz="4" w:space="0"/>
              <w:bottom w:val="single" w:color="000000" w:sz="4" w:space="0"/>
              <w:right w:val="single" w:color="auto" w:sz="4" w:space="0"/>
            </w:tcBorders>
            <w:vAlign w:val="center"/>
          </w:tcPr>
          <w:p w14:paraId="79CD29AA">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kern w:val="0"/>
                <w:sz w:val="21"/>
                <w:szCs w:val="21"/>
                <w:lang w:bidi="ar"/>
              </w:rPr>
            </w:pPr>
          </w:p>
        </w:tc>
        <w:tc>
          <w:tcPr>
            <w:tcW w:w="2373" w:type="dxa"/>
            <w:tcBorders>
              <w:top w:val="single" w:color="000000" w:sz="4" w:space="0"/>
              <w:left w:val="single" w:color="auto" w:sz="4" w:space="0"/>
              <w:bottom w:val="single" w:color="000000" w:sz="4" w:space="0"/>
              <w:right w:val="single" w:color="auto" w:sz="4" w:space="0"/>
            </w:tcBorders>
            <w:vAlign w:val="center"/>
          </w:tcPr>
          <w:p w14:paraId="58A794A7">
            <w:pPr>
              <w:widowControl/>
              <w:spacing w:line="240" w:lineRule="exact"/>
              <w:rPr>
                <w:rFonts w:hint="eastAsia" w:ascii="仿宋_GB2312" w:hAnsi="仿宋_GB2312" w:eastAsia="仿宋_GB2312" w:cs="仿宋_GB2312"/>
                <w:kern w:val="0"/>
                <w:sz w:val="21"/>
                <w:szCs w:val="21"/>
              </w:rPr>
            </w:pPr>
          </w:p>
        </w:tc>
        <w:tc>
          <w:tcPr>
            <w:tcW w:w="764" w:type="dxa"/>
            <w:tcBorders>
              <w:top w:val="single" w:color="000000" w:sz="4" w:space="0"/>
              <w:left w:val="single" w:color="auto" w:sz="4" w:space="0"/>
              <w:bottom w:val="single" w:color="000000" w:sz="4" w:space="0"/>
              <w:right w:val="single" w:color="000000" w:sz="4" w:space="0"/>
            </w:tcBorders>
            <w:vAlign w:val="center"/>
          </w:tcPr>
          <w:p w14:paraId="6211A1FC">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92</w:t>
            </w:r>
          </w:p>
        </w:tc>
      </w:tr>
    </w:tbl>
    <w:p w14:paraId="6F7104F4">
      <w:pPr>
        <w:spacing w:line="240" w:lineRule="exact"/>
        <w:rPr>
          <w:rFonts w:ascii="仿宋" w:hAnsi="仿宋" w:eastAsia="仿宋" w:cs="仿宋"/>
          <w:sz w:val="32"/>
          <w:szCs w:val="32"/>
        </w:rPr>
      </w:pPr>
    </w:p>
    <w:p w14:paraId="211BD41C">
      <w:pPr>
        <w:spacing w:line="240" w:lineRule="exact"/>
        <w:rPr>
          <w:rFonts w:ascii="仿宋" w:hAnsi="仿宋" w:eastAsia="仿宋" w:cs="仿宋"/>
          <w:sz w:val="32"/>
          <w:szCs w:val="32"/>
        </w:rPr>
      </w:pPr>
    </w:p>
    <w:p w14:paraId="70C849B6">
      <w:pPr>
        <w:spacing w:line="240" w:lineRule="exact"/>
        <w:rPr>
          <w:rFonts w:hint="eastAsia" w:ascii="仿宋" w:hAnsi="仿宋" w:eastAsia="仿宋" w:cs="仿宋"/>
          <w:sz w:val="32"/>
          <w:szCs w:val="32"/>
          <w:lang w:val="en-US" w:eastAsia="zh-CN"/>
        </w:rPr>
      </w:pPr>
    </w:p>
    <w:sectPr>
      <w:footerReference r:id="rId3" w:type="default"/>
      <w:footerReference r:id="rId4" w:type="even"/>
      <w:pgSz w:w="11906" w:h="16838"/>
      <w:pgMar w:top="1985" w:right="1418" w:bottom="1985" w:left="1418" w:header="851" w:footer="1701" w:gutter="0"/>
      <w:cols w:space="425"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 w:name="汉仪典雅体简">
    <w:panose1 w:val="00020600040101010101"/>
    <w:charset w:val="86"/>
    <w:family w:val="auto"/>
    <w:pitch w:val="default"/>
    <w:sig w:usb0="A00002BF" w:usb1="18EF7CFA" w:usb2="00000016" w:usb3="00000000" w:csb0="00040000" w:csb1="00000000"/>
  </w:font>
  <w:font w:name="汉仪字酷堂长林体W">
    <w:panose1 w:val="00020600040101010101"/>
    <w:charset w:val="86"/>
    <w:family w:val="auto"/>
    <w:pitch w:val="default"/>
    <w:sig w:usb0="8000003F" w:usb1="1AC104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8B92E">
    <w:pPr>
      <w:pStyle w:val="5"/>
      <w:framePr w:wrap="around" w:vAnchor="text" w:hAnchor="margin" w:xAlign="outside" w:y="1"/>
      <w:rPr>
        <w:rStyle w:val="11"/>
        <w:rFonts w:ascii="宋体" w:hAnsi="宋体" w:eastAsia="宋体"/>
        <w:sz w:val="28"/>
        <w:szCs w:val="28"/>
      </w:rPr>
    </w:pPr>
    <w:r>
      <w:rPr>
        <w:rStyle w:val="11"/>
        <w:rFonts w:hint="eastAsia" w:ascii="宋体" w:hAnsi="宋体" w:eastAsia="宋体"/>
        <w:sz w:val="28"/>
        <w:szCs w:val="28"/>
      </w:rPr>
      <w:t>-</w:t>
    </w:r>
    <w:r>
      <w:rPr>
        <w:rStyle w:val="11"/>
        <w:rFonts w:ascii="宋体" w:hAnsi="宋体" w:eastAsia="宋体"/>
        <w:sz w:val="28"/>
        <w:szCs w:val="28"/>
      </w:rPr>
      <w:fldChar w:fldCharType="begin"/>
    </w:r>
    <w:r>
      <w:rPr>
        <w:rStyle w:val="11"/>
        <w:rFonts w:ascii="宋体" w:hAnsi="宋体" w:eastAsia="宋体"/>
        <w:sz w:val="28"/>
        <w:szCs w:val="28"/>
      </w:rPr>
      <w:instrText xml:space="preserve">PAGE  </w:instrText>
    </w:r>
    <w:r>
      <w:rPr>
        <w:rStyle w:val="11"/>
        <w:rFonts w:ascii="宋体" w:hAnsi="宋体" w:eastAsia="宋体"/>
        <w:sz w:val="28"/>
        <w:szCs w:val="28"/>
      </w:rPr>
      <w:fldChar w:fldCharType="separate"/>
    </w:r>
    <w:r>
      <w:rPr>
        <w:rStyle w:val="11"/>
        <w:rFonts w:ascii="宋体" w:hAnsi="宋体" w:eastAsia="宋体"/>
        <w:sz w:val="28"/>
        <w:szCs w:val="28"/>
      </w:rPr>
      <w:t>6</w:t>
    </w:r>
    <w:r>
      <w:rPr>
        <w:rStyle w:val="11"/>
        <w:rFonts w:ascii="宋体" w:hAnsi="宋体" w:eastAsia="宋体"/>
        <w:sz w:val="28"/>
        <w:szCs w:val="28"/>
      </w:rPr>
      <w:fldChar w:fldCharType="end"/>
    </w:r>
    <w:r>
      <w:rPr>
        <w:rStyle w:val="11"/>
        <w:rFonts w:hint="eastAsia" w:ascii="宋体" w:hAnsi="宋体" w:eastAsia="宋体"/>
        <w:sz w:val="28"/>
        <w:szCs w:val="28"/>
      </w:rPr>
      <w:t>-</w:t>
    </w:r>
  </w:p>
  <w:p w14:paraId="2178F779">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AFE58">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14:paraId="066FAC4D">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3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933"/>
    <w:rsid w:val="00002F2C"/>
    <w:rsid w:val="000070A8"/>
    <w:rsid w:val="00016CA4"/>
    <w:rsid w:val="000324AE"/>
    <w:rsid w:val="00042933"/>
    <w:rsid w:val="0008033E"/>
    <w:rsid w:val="0008759D"/>
    <w:rsid w:val="00094F2B"/>
    <w:rsid w:val="000B0A83"/>
    <w:rsid w:val="000B6322"/>
    <w:rsid w:val="000C2CC1"/>
    <w:rsid w:val="000E4A5A"/>
    <w:rsid w:val="00103547"/>
    <w:rsid w:val="0017068B"/>
    <w:rsid w:val="00185A3C"/>
    <w:rsid w:val="00192D5A"/>
    <w:rsid w:val="001C59B3"/>
    <w:rsid w:val="001E0886"/>
    <w:rsid w:val="001F7E31"/>
    <w:rsid w:val="002071BC"/>
    <w:rsid w:val="00225AE6"/>
    <w:rsid w:val="00235F0F"/>
    <w:rsid w:val="00255783"/>
    <w:rsid w:val="00290BA1"/>
    <w:rsid w:val="002A6AEA"/>
    <w:rsid w:val="002F2268"/>
    <w:rsid w:val="003C50C2"/>
    <w:rsid w:val="0041099F"/>
    <w:rsid w:val="00436A1D"/>
    <w:rsid w:val="004379D7"/>
    <w:rsid w:val="004A68B1"/>
    <w:rsid w:val="004B64F3"/>
    <w:rsid w:val="004E3B64"/>
    <w:rsid w:val="005020C5"/>
    <w:rsid w:val="00567FE6"/>
    <w:rsid w:val="0058162A"/>
    <w:rsid w:val="005B3616"/>
    <w:rsid w:val="005E12FA"/>
    <w:rsid w:val="00683167"/>
    <w:rsid w:val="006A5056"/>
    <w:rsid w:val="006E64C9"/>
    <w:rsid w:val="007048FF"/>
    <w:rsid w:val="00712100"/>
    <w:rsid w:val="0071700D"/>
    <w:rsid w:val="00742652"/>
    <w:rsid w:val="00772600"/>
    <w:rsid w:val="007D5D41"/>
    <w:rsid w:val="007F01F9"/>
    <w:rsid w:val="00856BA1"/>
    <w:rsid w:val="00867620"/>
    <w:rsid w:val="008709E0"/>
    <w:rsid w:val="008A6A10"/>
    <w:rsid w:val="008A6A31"/>
    <w:rsid w:val="00904AF4"/>
    <w:rsid w:val="00905542"/>
    <w:rsid w:val="00917700"/>
    <w:rsid w:val="00956F74"/>
    <w:rsid w:val="009B0B5F"/>
    <w:rsid w:val="009C04DA"/>
    <w:rsid w:val="009C4C62"/>
    <w:rsid w:val="009E3627"/>
    <w:rsid w:val="009F53E7"/>
    <w:rsid w:val="00A11BF8"/>
    <w:rsid w:val="00A14A33"/>
    <w:rsid w:val="00A6449D"/>
    <w:rsid w:val="00A768DB"/>
    <w:rsid w:val="00AA09C8"/>
    <w:rsid w:val="00AD5F30"/>
    <w:rsid w:val="00B0681D"/>
    <w:rsid w:val="00B9023F"/>
    <w:rsid w:val="00BC1FDC"/>
    <w:rsid w:val="00BD0FD8"/>
    <w:rsid w:val="00C44804"/>
    <w:rsid w:val="00C6362A"/>
    <w:rsid w:val="00C81363"/>
    <w:rsid w:val="00CB27A5"/>
    <w:rsid w:val="00CD55ED"/>
    <w:rsid w:val="00CD63C0"/>
    <w:rsid w:val="00CE62A0"/>
    <w:rsid w:val="00D21F0C"/>
    <w:rsid w:val="00D366C1"/>
    <w:rsid w:val="00D877F7"/>
    <w:rsid w:val="00DB2D43"/>
    <w:rsid w:val="00E266F1"/>
    <w:rsid w:val="00EB16A8"/>
    <w:rsid w:val="00EC7904"/>
    <w:rsid w:val="00F72E93"/>
    <w:rsid w:val="00F87A11"/>
    <w:rsid w:val="00FB7E01"/>
    <w:rsid w:val="00FE5F4C"/>
    <w:rsid w:val="00FF39F6"/>
    <w:rsid w:val="05374814"/>
    <w:rsid w:val="0C8F0285"/>
    <w:rsid w:val="0F8F6BFC"/>
    <w:rsid w:val="107166F3"/>
    <w:rsid w:val="144D4E5A"/>
    <w:rsid w:val="1A8B1FEA"/>
    <w:rsid w:val="1C841DE7"/>
    <w:rsid w:val="3791647A"/>
    <w:rsid w:val="455969D8"/>
    <w:rsid w:val="48725571"/>
    <w:rsid w:val="4BDB04ED"/>
    <w:rsid w:val="526A3656"/>
    <w:rsid w:val="53CD5365"/>
    <w:rsid w:val="5D643D56"/>
    <w:rsid w:val="64283056"/>
    <w:rsid w:val="69BD0A47"/>
    <w:rsid w:val="6A543511"/>
    <w:rsid w:val="6A605B92"/>
    <w:rsid w:val="71A911C9"/>
    <w:rsid w:val="7793669D"/>
    <w:rsid w:val="7CCC213E"/>
    <w:rsid w:val="7D1E2A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spacing w:before="100" w:beforeAutospacing="1" w:after="100" w:afterAutospacing="1"/>
      <w:jc w:val="left"/>
      <w:outlineLvl w:val="0"/>
    </w:pPr>
    <w:rPr>
      <w:rFonts w:hint="eastAsia" w:ascii="宋体" w:hAnsi="宋体" w:eastAsia="宋体" w:cs="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autoSpaceDE w:val="0"/>
      <w:autoSpaceDN w:val="0"/>
      <w:adjustRightInd w:val="0"/>
      <w:snapToGrid w:val="0"/>
      <w:spacing w:line="588" w:lineRule="atLeast"/>
    </w:pPr>
    <w:rPr>
      <w:rFonts w:ascii="宋体" w:hAnsi="宋体" w:eastAsia="仿宋_GB2312"/>
      <w:spacing w:val="-2"/>
      <w:sz w:val="32"/>
      <w:szCs w:val="24"/>
    </w:rPr>
  </w:style>
  <w:style w:type="paragraph" w:styleId="4">
    <w:name w:val="Plain Text"/>
    <w:basedOn w:val="1"/>
    <w:link w:val="14"/>
    <w:qFormat/>
    <w:uiPriority w:val="0"/>
    <w:rPr>
      <w:rFonts w:ascii="宋体" w:hAnsi="Courier New" w:eastAsia="宋体" w:cs="Courier New"/>
      <w:szCs w:val="21"/>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page number"/>
    <w:basedOn w:val="9"/>
    <w:semiHidden/>
    <w:unhideWhenUsed/>
    <w:qFormat/>
    <w:uiPriority w:val="99"/>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纯文本 Char"/>
    <w:basedOn w:val="9"/>
    <w:link w:val="4"/>
    <w:qFormat/>
    <w:uiPriority w:val="0"/>
    <w:rPr>
      <w:rFonts w:ascii="宋体" w:hAnsi="Courier New" w:eastAsia="宋体" w:cs="Courier New"/>
      <w:szCs w:val="21"/>
    </w:rPr>
  </w:style>
  <w:style w:type="character" w:customStyle="1" w:styleId="15">
    <w:name w:val="标题 1 Char"/>
    <w:basedOn w:val="9"/>
    <w:link w:val="2"/>
    <w:qFormat/>
    <w:uiPriority w:val="9"/>
    <w:rPr>
      <w:rFonts w:ascii="宋体" w:hAnsi="宋体" w:eastAsia="宋体" w:cs="宋体"/>
      <w:b/>
      <w:kern w:val="44"/>
      <w:sz w:val="48"/>
      <w:szCs w:val="48"/>
    </w:rPr>
  </w:style>
  <w:style w:type="character" w:customStyle="1" w:styleId="16">
    <w:name w:val="font31"/>
    <w:basedOn w:val="9"/>
    <w:qFormat/>
    <w:uiPriority w:val="0"/>
    <w:rPr>
      <w:rFonts w:hint="eastAsia" w:ascii="宋体" w:hAnsi="宋体" w:eastAsia="宋体" w:cs="宋体"/>
      <w:b/>
      <w:color w:val="000000"/>
      <w:sz w:val="36"/>
      <w:szCs w:val="3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3829</Words>
  <Characters>4130</Characters>
  <Lines>37</Lines>
  <Paragraphs>10</Paragraphs>
  <TotalTime>376</TotalTime>
  <ScaleCrop>false</ScaleCrop>
  <LinksUpToDate>false</LinksUpToDate>
  <CharactersWithSpaces>4144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2016-02-22T07:07:00Z</dcterms:created>
  <dc:creator>Administrator</dc:creator>
  <cp:lastModifiedBy>飞奔的鳄鱼</cp:lastModifiedBy>
  <cp:lastPrinted>2018-11-29T03:23:00Z</cp:lastPrinted>
  <dcterms:modified xsi:type="dcterms:W3CDTF">2026-08-03T08:08:41Z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2C2B1037D0354BB8AB0C7C7452C8343F_13</vt:lpwstr>
  </property>
  <property fmtid="{D5CDD505-2E9C-101B-9397-08002B2CF9AE}" pid="4" name="KSOTemplateDocerSaveRecord">
    <vt:lpwstr>eyJoZGlkIjoiZDk1NGJhYmIyZTFiZTg1N2FmNTlkMzI1ODA1OGQ1OWUiLCJ1c2VySWQiOiIxMTIyNzA4MjAyIn0=</vt:lpwstr>
  </property>
</Properties>
</file>